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BE905E" w14:textId="57969579" w:rsidR="00771A04" w:rsidRPr="00771A04" w:rsidRDefault="00771A04" w:rsidP="00771A04">
      <w:pPr>
        <w:jc w:val="center"/>
        <w:rPr>
          <w:b/>
          <w:bCs/>
        </w:rPr>
      </w:pPr>
      <w:r w:rsidRPr="00771A04">
        <w:rPr>
          <w:b/>
          <w:bCs/>
        </w:rPr>
        <w:t>Méthodologie de la</w:t>
      </w:r>
      <w:r w:rsidRPr="00771A04">
        <w:rPr>
          <w:b/>
          <w:bCs/>
        </w:rPr>
        <w:t xml:space="preserve"> fiche d'arrêt de la Cour européenne des droits de l'homme (</w:t>
      </w:r>
    </w:p>
    <w:p w14:paraId="0A2344C9" w14:textId="4F127B40" w:rsidR="00771A04" w:rsidRPr="00771A04" w:rsidRDefault="00771A04" w:rsidP="00771A04"/>
    <w:p w14:paraId="44B559D6" w14:textId="77777777" w:rsidR="00771A04" w:rsidRPr="00771A04" w:rsidRDefault="00771A04" w:rsidP="00771A04">
      <w:pPr>
        <w:rPr>
          <w:b/>
          <w:bCs/>
        </w:rPr>
      </w:pPr>
      <w:r w:rsidRPr="00771A04">
        <w:rPr>
          <w:b/>
          <w:bCs/>
        </w:rPr>
        <w:t>1. Référence de l'arrêt</w:t>
      </w:r>
    </w:p>
    <w:p w14:paraId="7C4451F6" w14:textId="77777777" w:rsidR="00771A04" w:rsidRPr="00771A04" w:rsidRDefault="00771A04" w:rsidP="00771A04">
      <w:pPr>
        <w:numPr>
          <w:ilvl w:val="0"/>
          <w:numId w:val="1"/>
        </w:numPr>
      </w:pPr>
      <w:r w:rsidRPr="00771A04">
        <w:rPr>
          <w:b/>
          <w:bCs/>
        </w:rPr>
        <w:t>Nom de l'affaire</w:t>
      </w:r>
      <w:r w:rsidRPr="00771A04">
        <w:t xml:space="preserve"> : Indiquer le nom de l'affaire (ex. : "Affaire X c. État Y").</w:t>
      </w:r>
    </w:p>
    <w:p w14:paraId="640947CC" w14:textId="77777777" w:rsidR="00771A04" w:rsidRPr="00771A04" w:rsidRDefault="00771A04" w:rsidP="00771A04">
      <w:pPr>
        <w:numPr>
          <w:ilvl w:val="0"/>
          <w:numId w:val="1"/>
        </w:numPr>
      </w:pPr>
      <w:r w:rsidRPr="00771A04">
        <w:rPr>
          <w:b/>
          <w:bCs/>
        </w:rPr>
        <w:t>Numéro de l'arrêt</w:t>
      </w:r>
      <w:r w:rsidRPr="00771A04">
        <w:t xml:space="preserve"> : Mentionner le numéro d'affaire.</w:t>
      </w:r>
    </w:p>
    <w:p w14:paraId="531439A5" w14:textId="77777777" w:rsidR="00771A04" w:rsidRPr="00771A04" w:rsidRDefault="00771A04" w:rsidP="00771A04">
      <w:pPr>
        <w:numPr>
          <w:ilvl w:val="0"/>
          <w:numId w:val="1"/>
        </w:numPr>
      </w:pPr>
      <w:r w:rsidRPr="00771A04">
        <w:rPr>
          <w:b/>
          <w:bCs/>
        </w:rPr>
        <w:t>Date de l'arrêt</w:t>
      </w:r>
      <w:r w:rsidRPr="00771A04">
        <w:t xml:space="preserve"> : Préciser la date à laquelle l'arrêt a été rendu.</w:t>
      </w:r>
    </w:p>
    <w:p w14:paraId="3D78FCBB" w14:textId="18A28FAD" w:rsidR="00771A04" w:rsidRPr="00771A04" w:rsidRDefault="00771A04" w:rsidP="00771A04">
      <w:r w:rsidRPr="00771A04">
        <w:rPr>
          <w:b/>
          <w:bCs/>
        </w:rPr>
        <w:t>2. Faits</w:t>
      </w:r>
      <w:r>
        <w:rPr>
          <w:b/>
          <w:bCs/>
        </w:rPr>
        <w:t xml:space="preserve"> (</w:t>
      </w:r>
      <w:r w:rsidRPr="00771A04">
        <w:t>pas ceux visés dans la partie préliminaire à la décision</w:t>
      </w:r>
      <w:r>
        <w:t>)</w:t>
      </w:r>
    </w:p>
    <w:p w14:paraId="65846DA5" w14:textId="66E5108A" w:rsidR="00771A04" w:rsidRDefault="00771A04" w:rsidP="00771A04">
      <w:pPr>
        <w:numPr>
          <w:ilvl w:val="0"/>
          <w:numId w:val="2"/>
        </w:numPr>
      </w:pPr>
      <w:r w:rsidRPr="00771A04">
        <w:rPr>
          <w:b/>
          <w:bCs/>
        </w:rPr>
        <w:t>Résumé des faits</w:t>
      </w:r>
      <w:r w:rsidRPr="00771A04">
        <w:t xml:space="preserve"> : Décrire brièvement les faits pertinents de l'affaire, en précisant le contexte et les circonstances</w:t>
      </w:r>
      <w:r>
        <w:t> : reprendre seulement les faits auxquels la cour fait référence dans sa décision</w:t>
      </w:r>
    </w:p>
    <w:p w14:paraId="3DC3A453" w14:textId="4A340FDE" w:rsidR="00771A04" w:rsidRPr="00771A04" w:rsidRDefault="00771A04" w:rsidP="00771A04">
      <w:r>
        <w:rPr>
          <w:b/>
          <w:bCs/>
        </w:rPr>
        <w:t>3. Procédure </w:t>
      </w:r>
      <w:r w:rsidRPr="00771A04">
        <w:t>:</w:t>
      </w:r>
      <w:r>
        <w:t xml:space="preserve"> indiquez la décision qui a donné lieu à la saisine de la Cour, le positionnement du requérant par rapport à cette décision (contestation d’une décision négative ou positive)</w:t>
      </w:r>
    </w:p>
    <w:p w14:paraId="246F395F" w14:textId="33D99C79" w:rsidR="00771A04" w:rsidRPr="00771A04" w:rsidRDefault="00771A04" w:rsidP="00771A04">
      <w:pPr>
        <w:rPr>
          <w:b/>
          <w:bCs/>
        </w:rPr>
      </w:pPr>
      <w:r>
        <w:rPr>
          <w:b/>
          <w:bCs/>
        </w:rPr>
        <w:t>4</w:t>
      </w:r>
      <w:r w:rsidRPr="00771A04">
        <w:rPr>
          <w:b/>
          <w:bCs/>
        </w:rPr>
        <w:t>. Questions juridiques</w:t>
      </w:r>
    </w:p>
    <w:p w14:paraId="59F8B09A" w14:textId="659ABE26" w:rsidR="00771A04" w:rsidRDefault="00771A04" w:rsidP="00771A04">
      <w:pPr>
        <w:numPr>
          <w:ilvl w:val="0"/>
          <w:numId w:val="3"/>
        </w:numPr>
      </w:pPr>
      <w:r w:rsidRPr="00771A04">
        <w:rPr>
          <w:b/>
          <w:bCs/>
        </w:rPr>
        <w:t>Problématiques soulevées</w:t>
      </w:r>
      <w:r w:rsidRPr="00771A04">
        <w:t xml:space="preserve"> : Énumérer les principales questions posées à la Cour</w:t>
      </w:r>
      <w:r>
        <w:t xml:space="preserve"> et </w:t>
      </w:r>
      <w:r w:rsidR="00A95BC7">
        <w:t>leurs</w:t>
      </w:r>
      <w:r>
        <w:t xml:space="preserve"> fondement</w:t>
      </w:r>
      <w:r w:rsidR="00A95BC7">
        <w:t>s</w:t>
      </w:r>
      <w:r w:rsidRPr="00771A04">
        <w:t xml:space="preserve"> (ex. : violation de l'article 6, droit à un procès équitable)</w:t>
      </w:r>
      <w:r>
        <w:t> ; le cas échéant à la fois sur le terrain de la recevabilité, de l’applicabilité et de l’application</w:t>
      </w:r>
    </w:p>
    <w:p w14:paraId="02A09E2A" w14:textId="19FCA070" w:rsidR="00A95BC7" w:rsidRPr="00771A04" w:rsidRDefault="00A95BC7" w:rsidP="00A95BC7">
      <w:r>
        <w:rPr>
          <w:b/>
          <w:bCs/>
        </w:rPr>
        <w:t>5</w:t>
      </w:r>
      <w:r w:rsidRPr="00A95BC7">
        <w:t>.</w:t>
      </w:r>
      <w:r>
        <w:t xml:space="preserve"> </w:t>
      </w:r>
      <w:r w:rsidRPr="00A95BC7">
        <w:rPr>
          <w:b/>
          <w:bCs/>
        </w:rPr>
        <w:t>Arguments des parties</w:t>
      </w:r>
      <w:r>
        <w:t> : en quelques mots : présenter le positionnement des parties par rapport à la requête sur la recevabilité, l’applicabilité et l’application</w:t>
      </w:r>
    </w:p>
    <w:p w14:paraId="78373271" w14:textId="77777777" w:rsidR="00771A04" w:rsidRPr="00771A04" w:rsidRDefault="00771A04" w:rsidP="00771A04">
      <w:pPr>
        <w:rPr>
          <w:b/>
          <w:bCs/>
        </w:rPr>
      </w:pPr>
      <w:r w:rsidRPr="00771A04">
        <w:rPr>
          <w:b/>
          <w:bCs/>
        </w:rPr>
        <w:t>5. Décision de la Cour</w:t>
      </w:r>
    </w:p>
    <w:p w14:paraId="789701B9" w14:textId="569161EC" w:rsidR="00771A04" w:rsidRPr="00771A04" w:rsidRDefault="00771A04" w:rsidP="00771A04">
      <w:pPr>
        <w:numPr>
          <w:ilvl w:val="0"/>
          <w:numId w:val="5"/>
        </w:numPr>
      </w:pPr>
      <w:r w:rsidRPr="00771A04">
        <w:rPr>
          <w:b/>
          <w:bCs/>
        </w:rPr>
        <w:t>Constatations</w:t>
      </w:r>
      <w:r w:rsidRPr="00771A04">
        <w:t xml:space="preserve"> : Présenter la décision de la Cour concernant la violation ou non des droits invoqués</w:t>
      </w:r>
      <w:r>
        <w:t xml:space="preserve"> (préciser si ce sont les mêmes que ceux soulevés par le requérant et sinon expliquer pourquoi)</w:t>
      </w:r>
    </w:p>
    <w:p w14:paraId="46D31E14" w14:textId="3D6C0012" w:rsidR="00771A04" w:rsidRDefault="00771A04" w:rsidP="00771A04">
      <w:pPr>
        <w:numPr>
          <w:ilvl w:val="0"/>
          <w:numId w:val="5"/>
        </w:numPr>
      </w:pPr>
      <w:r w:rsidRPr="00771A04">
        <w:rPr>
          <w:b/>
          <w:bCs/>
        </w:rPr>
        <w:t>Motifs</w:t>
      </w:r>
      <w:r w:rsidRPr="00771A04">
        <w:t xml:space="preserve"> : Expliquer brièvement les raisons qui ont conduit la Cour à sa décisio</w:t>
      </w:r>
      <w:r>
        <w:t xml:space="preserve">n, les techniques d’interprétation qu’elle utilise, </w:t>
      </w:r>
    </w:p>
    <w:p w14:paraId="20EF6ECF" w14:textId="77777777" w:rsidR="00A95BC7" w:rsidRPr="00771A04" w:rsidRDefault="00A95BC7" w:rsidP="00A95BC7">
      <w:pPr>
        <w:ind w:left="720"/>
      </w:pPr>
    </w:p>
    <w:p w14:paraId="5832317F" w14:textId="77777777" w:rsidR="00A95BC7" w:rsidRDefault="00771A04" w:rsidP="00771A04">
      <w:pPr>
        <w:rPr>
          <w:b/>
          <w:bCs/>
        </w:rPr>
      </w:pPr>
      <w:r>
        <w:rPr>
          <w:b/>
          <w:bCs/>
        </w:rPr>
        <w:t xml:space="preserve">Présentez en quelques mots </w:t>
      </w:r>
      <w:r w:rsidR="00A95BC7">
        <w:rPr>
          <w:b/>
          <w:bCs/>
        </w:rPr>
        <w:t xml:space="preserve">pour préparer le commentaire </w:t>
      </w:r>
    </w:p>
    <w:p w14:paraId="77051539" w14:textId="18A1CB14" w:rsidR="00771A04" w:rsidRPr="00771A04" w:rsidRDefault="00771A04" w:rsidP="00771A04">
      <w:r w:rsidRPr="00771A04">
        <w:rPr>
          <w:b/>
          <w:bCs/>
        </w:rPr>
        <w:t>Impact de l'arrêt</w:t>
      </w:r>
      <w:r w:rsidRPr="00771A04">
        <w:t xml:space="preserve"> : implications de la décision pour le droit européen et les droits de l'homme.</w:t>
      </w:r>
    </w:p>
    <w:p w14:paraId="190C211F" w14:textId="77777777" w:rsidR="00771A04" w:rsidRPr="00771A04" w:rsidRDefault="00771A04" w:rsidP="00A95BC7">
      <w:r w:rsidRPr="00771A04">
        <w:rPr>
          <w:b/>
          <w:bCs/>
        </w:rPr>
        <w:t>Liens avec d'autres arrêts</w:t>
      </w:r>
      <w:r w:rsidRPr="00771A04">
        <w:t xml:space="preserve"> : Établir des liens avec d'autres décisions de la CEDH, si pertinent.</w:t>
      </w:r>
    </w:p>
    <w:p w14:paraId="25363D61" w14:textId="015F6E05" w:rsidR="00771A04" w:rsidRDefault="00771A04" w:rsidP="00771A04">
      <w:pPr>
        <w:rPr>
          <w:b/>
          <w:bCs/>
        </w:rPr>
      </w:pPr>
    </w:p>
    <w:p w14:paraId="4E7728A5" w14:textId="77777777" w:rsidR="00771A04" w:rsidRDefault="00771A04" w:rsidP="00771A04">
      <w:pPr>
        <w:rPr>
          <w:b/>
          <w:bCs/>
        </w:rPr>
      </w:pPr>
    </w:p>
    <w:p w14:paraId="090F6237" w14:textId="77777777" w:rsidR="00826BD4" w:rsidRDefault="00826BD4"/>
    <w:sectPr w:rsidR="00826B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F2E25C" w14:textId="77777777" w:rsidR="00771A04" w:rsidRDefault="00771A04" w:rsidP="00771A04">
      <w:pPr>
        <w:spacing w:after="0" w:line="240" w:lineRule="auto"/>
      </w:pPr>
      <w:r>
        <w:separator/>
      </w:r>
    </w:p>
  </w:endnote>
  <w:endnote w:type="continuationSeparator" w:id="0">
    <w:p w14:paraId="1520CC5D" w14:textId="77777777" w:rsidR="00771A04" w:rsidRDefault="00771A04" w:rsidP="00771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2D8322" w14:textId="77777777" w:rsidR="00771A04" w:rsidRDefault="00771A04" w:rsidP="00771A04">
      <w:pPr>
        <w:spacing w:after="0" w:line="240" w:lineRule="auto"/>
      </w:pPr>
      <w:r>
        <w:separator/>
      </w:r>
    </w:p>
  </w:footnote>
  <w:footnote w:type="continuationSeparator" w:id="0">
    <w:p w14:paraId="24AB9E34" w14:textId="77777777" w:rsidR="00771A04" w:rsidRDefault="00771A04" w:rsidP="00771A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27CB4"/>
    <w:multiLevelType w:val="multilevel"/>
    <w:tmpl w:val="A372E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AF580A"/>
    <w:multiLevelType w:val="multilevel"/>
    <w:tmpl w:val="91E81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683554"/>
    <w:multiLevelType w:val="multilevel"/>
    <w:tmpl w:val="4B709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5E2F8D"/>
    <w:multiLevelType w:val="multilevel"/>
    <w:tmpl w:val="D04C9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5D63C7"/>
    <w:multiLevelType w:val="multilevel"/>
    <w:tmpl w:val="1FDC8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330132"/>
    <w:multiLevelType w:val="multilevel"/>
    <w:tmpl w:val="F3D4C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576CF0"/>
    <w:multiLevelType w:val="multilevel"/>
    <w:tmpl w:val="E3BC3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83199A"/>
    <w:multiLevelType w:val="multilevel"/>
    <w:tmpl w:val="D6005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1082723">
    <w:abstractNumId w:val="6"/>
  </w:num>
  <w:num w:numId="2" w16cid:durableId="1686129342">
    <w:abstractNumId w:val="0"/>
  </w:num>
  <w:num w:numId="3" w16cid:durableId="492795058">
    <w:abstractNumId w:val="1"/>
  </w:num>
  <w:num w:numId="4" w16cid:durableId="1956019772">
    <w:abstractNumId w:val="2"/>
  </w:num>
  <w:num w:numId="5" w16cid:durableId="1296107876">
    <w:abstractNumId w:val="3"/>
  </w:num>
  <w:num w:numId="6" w16cid:durableId="1745757721">
    <w:abstractNumId w:val="7"/>
  </w:num>
  <w:num w:numId="7" w16cid:durableId="2033459863">
    <w:abstractNumId w:val="5"/>
  </w:num>
  <w:num w:numId="8" w16cid:durableId="16310105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A04"/>
    <w:rsid w:val="00771A04"/>
    <w:rsid w:val="00826BD4"/>
    <w:rsid w:val="00A95BC7"/>
    <w:rsid w:val="00DE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CB72D"/>
  <w15:chartTrackingRefBased/>
  <w15:docId w15:val="{768F665F-B9E2-4043-B6BC-D670C3F73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71A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71A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71A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71A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71A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71A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71A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71A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71A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71A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71A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71A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71A0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71A0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71A0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71A0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71A0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71A0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71A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71A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71A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71A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71A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71A0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71A0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71A0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71A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71A0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71A04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771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71A04"/>
  </w:style>
  <w:style w:type="paragraph" w:styleId="Pieddepage">
    <w:name w:val="footer"/>
    <w:basedOn w:val="Normal"/>
    <w:link w:val="PieddepageCar"/>
    <w:uiPriority w:val="99"/>
    <w:unhideWhenUsed/>
    <w:rsid w:val="00771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71A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4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4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63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96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41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02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348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4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1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1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5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73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24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799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Adeline Gouttenoire</dc:creator>
  <cp:keywords/>
  <dc:description/>
  <cp:lastModifiedBy>Adeline Gouttenoire</cp:lastModifiedBy>
  <cp:revision>1</cp:revision>
  <dcterms:created xsi:type="dcterms:W3CDTF">2024-10-29T14:43:00Z</dcterms:created>
  <dcterms:modified xsi:type="dcterms:W3CDTF">2024-10-29T14:56:00Z</dcterms:modified>
</cp:coreProperties>
</file>