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A" w:rsidRDefault="003B34BA" w:rsidP="003B34BA">
      <w:r>
        <w:t xml:space="preserve">Consultation juridique. </w:t>
      </w:r>
    </w:p>
    <w:p w:rsidR="003B34BA" w:rsidRDefault="003B34BA" w:rsidP="003B34BA"/>
    <w:p w:rsidR="003B34BA" w:rsidRDefault="003B34BA" w:rsidP="003B34BA">
      <w:r>
        <w:t xml:space="preserve">La Ville de </w:t>
      </w:r>
      <w:proofErr w:type="spellStart"/>
      <w:r>
        <w:t>Nouillorc</w:t>
      </w:r>
      <w:proofErr w:type="spellEnd"/>
      <w:r>
        <w:t xml:space="preserve"> a attribué la gestion du Parc central, vaste espace boisé aménagé en centre-ville à la Société Manhattan</w:t>
      </w:r>
      <w:r w:rsidR="00667CED">
        <w:t xml:space="preserve"> dans le cadre d’un bail emphytéotique administratif</w:t>
      </w:r>
      <w:r>
        <w:t>. Le parc est ouvert au public qui s'y livre librement à de nombreuses activités sportives pour lesquelles le parc a été spécialement aménagé</w:t>
      </w:r>
    </w:p>
    <w:p w:rsidR="003B34BA" w:rsidRDefault="003B34BA" w:rsidP="003B34BA"/>
    <w:p w:rsidR="003B34BA" w:rsidRDefault="003B34BA" w:rsidP="003B34BA">
      <w:r>
        <w:t xml:space="preserve">La société </w:t>
      </w:r>
      <w:proofErr w:type="gramStart"/>
      <w:r>
        <w:t xml:space="preserve">Manhattan  </w:t>
      </w:r>
      <w:proofErr w:type="spellStart"/>
      <w:r>
        <w:t>entertainment</w:t>
      </w:r>
      <w:proofErr w:type="spellEnd"/>
      <w:proofErr w:type="gramEnd"/>
      <w:r>
        <w:t xml:space="preserve"> a confié par contrat l'exploitation d'un point de restauration et d'une boutique de souvenirs à l'entreprise Shop, </w:t>
      </w:r>
      <w:proofErr w:type="spellStart"/>
      <w:r>
        <w:t>Chickens</w:t>
      </w:r>
      <w:proofErr w:type="spellEnd"/>
      <w:r>
        <w:t xml:space="preserve">&amp; Biscuits. </w:t>
      </w:r>
    </w:p>
    <w:p w:rsidR="003B34BA" w:rsidRDefault="003B34BA" w:rsidP="003B34BA"/>
    <w:p w:rsidR="003B34BA" w:rsidRDefault="003B34BA" w:rsidP="003B34BA">
      <w:r>
        <w:t xml:space="preserve">1. La société du Green Lung qui était titulaire auparavant d'une autorisation lui permettant d'occuper cet emplacement délivré par la Ville s'étonne de ce qu'aucune procédure de mise en concurrence n'ait été suivie préalablement à la signature de ce contrat. </w:t>
      </w:r>
    </w:p>
    <w:p w:rsidR="003B34BA" w:rsidRDefault="003B34BA" w:rsidP="003B34BA">
      <w:r>
        <w:t xml:space="preserve">Pouvez-vous la renseigner ? A-t-elle éventuellement des possibilités d'agir en justice ? Devant quel juge ? </w:t>
      </w:r>
    </w:p>
    <w:p w:rsidR="003B34BA" w:rsidRPr="00621288" w:rsidRDefault="00187BD4" w:rsidP="003B34BA">
      <w:pPr>
        <w:rPr>
          <w:color w:val="FF0000"/>
        </w:rPr>
      </w:pPr>
      <w:r w:rsidRPr="00621288">
        <w:rPr>
          <w:color w:val="FF0000"/>
        </w:rPr>
        <w:t xml:space="preserve">La question est discutée en doctrine (Voir Article Thomas Vaseux). L’étudiant (e) doit prendre parti en reprenant les arguments </w:t>
      </w:r>
      <w:r w:rsidR="0079164D">
        <w:rPr>
          <w:color w:val="FF0000"/>
        </w:rPr>
        <w:t xml:space="preserve">favorables </w:t>
      </w:r>
      <w:bookmarkStart w:id="0" w:name="_GoBack"/>
      <w:bookmarkEnd w:id="0"/>
      <w:r w:rsidRPr="00621288">
        <w:rPr>
          <w:color w:val="FF0000"/>
        </w:rPr>
        <w:t>à sa thèse.</w:t>
      </w:r>
    </w:p>
    <w:p w:rsidR="00187BD4" w:rsidRPr="00621288" w:rsidRDefault="00187BD4" w:rsidP="003B34BA">
      <w:pPr>
        <w:rPr>
          <w:color w:val="FF0000"/>
        </w:rPr>
      </w:pPr>
      <w:r w:rsidRPr="00621288">
        <w:rPr>
          <w:color w:val="FF0000"/>
        </w:rPr>
        <w:t>Le juge compétent dépend de la natur</w:t>
      </w:r>
      <w:r w:rsidR="0005163B" w:rsidRPr="00621288">
        <w:rPr>
          <w:color w:val="FF0000"/>
        </w:rPr>
        <w:t>e du contrat (TC 1956 Société des</w:t>
      </w:r>
      <w:r w:rsidRPr="00621288">
        <w:rPr>
          <w:color w:val="FF0000"/>
        </w:rPr>
        <w:t xml:space="preserve"> Steeple </w:t>
      </w:r>
      <w:proofErr w:type="spellStart"/>
      <w:r w:rsidRPr="00621288">
        <w:rPr>
          <w:color w:val="FF0000"/>
        </w:rPr>
        <w:t>c</w:t>
      </w:r>
      <w:r w:rsidR="0005163B" w:rsidRPr="00621288">
        <w:rPr>
          <w:color w:val="FF0000"/>
        </w:rPr>
        <w:t>hase</w:t>
      </w:r>
      <w:proofErr w:type="spellEnd"/>
      <w:r w:rsidR="0005163B" w:rsidRPr="00621288">
        <w:rPr>
          <w:color w:val="FF0000"/>
        </w:rPr>
        <w:t xml:space="preserve">) </w:t>
      </w:r>
    </w:p>
    <w:p w:rsidR="0005163B" w:rsidRPr="00621288" w:rsidRDefault="0005163B" w:rsidP="003B34BA">
      <w:pPr>
        <w:rPr>
          <w:color w:val="FF0000"/>
        </w:rPr>
      </w:pPr>
      <w:r w:rsidRPr="00621288">
        <w:rPr>
          <w:color w:val="FF0000"/>
        </w:rPr>
        <w:t xml:space="preserve">Ici l’activité exercé n’est pas une activité de </w:t>
      </w:r>
      <w:proofErr w:type="gramStart"/>
      <w:r w:rsidRPr="00621288">
        <w:rPr>
          <w:color w:val="FF0000"/>
        </w:rPr>
        <w:t>service  public</w:t>
      </w:r>
      <w:proofErr w:type="gramEnd"/>
      <w:r w:rsidRPr="00621288">
        <w:rPr>
          <w:color w:val="FF0000"/>
        </w:rPr>
        <w:t xml:space="preserve"> en conséquence le ju</w:t>
      </w:r>
      <w:r w:rsidR="00667CED" w:rsidRPr="00621288">
        <w:rPr>
          <w:color w:val="FF0000"/>
        </w:rPr>
        <w:t>ge compétent est le juge civil : le BEA initial n’exige pas une activité de service public mais seulement d’IG ; 2 la sous-location concerne une activité purement commerciale</w:t>
      </w:r>
    </w:p>
    <w:p w:rsidR="0005163B" w:rsidRPr="00621288" w:rsidRDefault="0005163B" w:rsidP="003B34BA">
      <w:pPr>
        <w:rPr>
          <w:color w:val="FF0000"/>
        </w:rPr>
      </w:pPr>
      <w:r w:rsidRPr="00621288">
        <w:rPr>
          <w:color w:val="FF0000"/>
        </w:rPr>
        <w:t>Ce qui soulève la question de savoir s’il existe une voie d’action spécifique devant le JJ pour contester l’absence de mise en concurrence.</w:t>
      </w:r>
    </w:p>
    <w:p w:rsidR="003B34BA" w:rsidRDefault="003B34BA" w:rsidP="003B34BA">
      <w:r>
        <w:t xml:space="preserve">2. Très </w:t>
      </w:r>
      <w:proofErr w:type="gramStart"/>
      <w:r>
        <w:t>vite ,</w:t>
      </w:r>
      <w:proofErr w:type="gramEnd"/>
      <w:r>
        <w:t xml:space="preserve"> les relations entre la société </w:t>
      </w:r>
      <w:proofErr w:type="spellStart"/>
      <w:r>
        <w:t>Manhanttan</w:t>
      </w:r>
      <w:proofErr w:type="spellEnd"/>
      <w:r>
        <w:t xml:space="preserve"> </w:t>
      </w:r>
      <w:proofErr w:type="spellStart"/>
      <w:r>
        <w:t>entertainment</w:t>
      </w:r>
      <w:proofErr w:type="spellEnd"/>
      <w:r>
        <w:t xml:space="preserve"> et l'entreprise Shops, </w:t>
      </w:r>
      <w:proofErr w:type="spellStart"/>
      <w:r>
        <w:t>Chickens</w:t>
      </w:r>
      <w:proofErr w:type="spellEnd"/>
      <w:r>
        <w:t xml:space="preserve"> &amp; Biscuits (SCB)  se dégradent </w:t>
      </w:r>
    </w:p>
    <w:p w:rsidR="003B34BA" w:rsidRDefault="003B34BA" w:rsidP="003B34BA"/>
    <w:p w:rsidR="003B34BA" w:rsidRDefault="003B34BA" w:rsidP="003B34BA">
      <w:r>
        <w:t xml:space="preserve">    L'entreprise SCB ne verse pas la totalité des redevances fixées par le contrat qu'elle juge excessives au regard de l'activité du lieu et ne respecte pas non plus les jours et les heures d'ouverture du restaurant et </w:t>
      </w:r>
      <w:proofErr w:type="gramStart"/>
      <w:r>
        <w:t>de la boutique prévus</w:t>
      </w:r>
      <w:proofErr w:type="gramEnd"/>
      <w:r>
        <w:t xml:space="preserve"> également par le contrat</w:t>
      </w:r>
    </w:p>
    <w:p w:rsidR="003B34BA" w:rsidRDefault="003B34BA" w:rsidP="003B34BA"/>
    <w:p w:rsidR="003B34BA" w:rsidRDefault="003B34BA" w:rsidP="003B34BA">
      <w:r>
        <w:t xml:space="preserve">La société Manhattan envisage d'obtenir la résiliation du contrat. Aucune clause du contrat ne prévoit cependant cette possibilité. La société peut-elle agir unilatéralement ou </w:t>
      </w:r>
      <w:proofErr w:type="spellStart"/>
      <w:r>
        <w:t>doit-elle</w:t>
      </w:r>
      <w:proofErr w:type="spellEnd"/>
      <w:r>
        <w:t xml:space="preserve"> aller devant le </w:t>
      </w:r>
      <w:proofErr w:type="gramStart"/>
      <w:r>
        <w:t>juge  pour</w:t>
      </w:r>
      <w:proofErr w:type="gramEnd"/>
      <w:r>
        <w:t xml:space="preserve"> obtenir la fin des relations contractuelles. </w:t>
      </w:r>
    </w:p>
    <w:p w:rsidR="003B34BA" w:rsidRPr="00621288" w:rsidRDefault="0005163B" w:rsidP="003B34BA">
      <w:pPr>
        <w:rPr>
          <w:color w:val="FF0000"/>
        </w:rPr>
      </w:pPr>
      <w:r w:rsidRPr="00621288">
        <w:rPr>
          <w:color w:val="FF0000"/>
        </w:rPr>
        <w:t>Dès lors que le contrat est de droit privé. La jurisprudence du CE 2015 Société Le jardin d’acclimatation qui ouvre à l’occupant principal la possibilité de prendre une mesure unilatérale de résiliation n’est pas applicable. Un recours devant le juge civil est nécessaire pour obtenir la résolution judiciaire du contrat</w:t>
      </w:r>
    </w:p>
    <w:p w:rsidR="003B34BA" w:rsidRPr="00621288" w:rsidRDefault="003B34BA" w:rsidP="003B34BA">
      <w:r w:rsidRPr="00621288">
        <w:lastRenderedPageBreak/>
        <w:t>Informé des intentions de la société Manhattan, l'entreprise SCB fait valoir qu'en cas d'action en justice, elle n'hésitera pas à former une demande reconventionnelle afin d'obtenir la requalification du contrat en bail commercial.</w:t>
      </w:r>
    </w:p>
    <w:p w:rsidR="003B34BA" w:rsidRDefault="003B34BA" w:rsidP="003B34BA"/>
    <w:p w:rsidR="003B34BA" w:rsidRDefault="003B34BA" w:rsidP="003B34BA">
      <w:r>
        <w:t>Quel est l'intérêt de cette démarche ? Vous parait-elle susceptible d'être acceptée ?</w:t>
      </w:r>
    </w:p>
    <w:p w:rsidR="003B34BA" w:rsidRPr="005C7F64" w:rsidRDefault="0005163B" w:rsidP="003B34BA">
      <w:pPr>
        <w:rPr>
          <w:color w:val="FF0000"/>
        </w:rPr>
      </w:pPr>
      <w:r w:rsidRPr="005C7F64">
        <w:rPr>
          <w:color w:val="FF0000"/>
        </w:rPr>
        <w:t>La cour de cassation (</w:t>
      </w:r>
      <w:r w:rsidR="00621288">
        <w:rPr>
          <w:color w:val="FF0000"/>
        </w:rPr>
        <w:t xml:space="preserve">voir </w:t>
      </w:r>
      <w:proofErr w:type="spellStart"/>
      <w:r w:rsidRPr="005C7F64">
        <w:rPr>
          <w:color w:val="FF0000"/>
        </w:rPr>
        <w:t>Yolka</w:t>
      </w:r>
      <w:proofErr w:type="spellEnd"/>
      <w:r w:rsidRPr="005C7F64">
        <w:rPr>
          <w:color w:val="FF0000"/>
        </w:rPr>
        <w:t xml:space="preserve">) a jugé que le bail commercial n’était pas ouvert sur le domaine public y compris pour les sous-occupant qui exerce une activité commerciale. </w:t>
      </w:r>
    </w:p>
    <w:p w:rsidR="0005163B" w:rsidRPr="005C7F64" w:rsidRDefault="0005163B" w:rsidP="003B34BA">
      <w:pPr>
        <w:rPr>
          <w:color w:val="FF0000"/>
        </w:rPr>
      </w:pPr>
      <w:r w:rsidRPr="005C7F64">
        <w:rPr>
          <w:color w:val="FF0000"/>
        </w:rPr>
        <w:t>Cette solution est critiquée par la doctrine. Elle est en outre antérieure à la loi Pinel. Une bonne copie plaidera pour la transposition de la loi Pinel au sous-occupant dès lors que l’entreprise SCB est fondée à faire valoir l’existence d’une clientèle.</w:t>
      </w:r>
    </w:p>
    <w:p w:rsidR="0005163B" w:rsidRDefault="00FD0F84" w:rsidP="003B34BA">
      <w:r>
        <w:t>.</w:t>
      </w:r>
    </w:p>
    <w:p w:rsidR="003B34BA" w:rsidRDefault="003B34BA" w:rsidP="003B34BA">
      <w:r>
        <w:t xml:space="preserve">Par l'intermédiaire de son avocat, elle prévient qu'elle demandera également l'indemnisation des </w:t>
      </w:r>
      <w:r w:rsidRPr="0005163B">
        <w:t>équipements</w:t>
      </w:r>
      <w:r>
        <w:t xml:space="preserve"> qu'elle vient de financer et non amortis du fait de cette résiliation anticipée.  Elle explique à cet égard que le contrat conclu avec la société Manhattan s'apparente à un bail emphytéotique l</w:t>
      </w:r>
      <w:r w:rsidR="005C7F64">
        <w:t xml:space="preserve">ui conférant des droits réels. </w:t>
      </w:r>
    </w:p>
    <w:p w:rsidR="003B34BA" w:rsidRDefault="003B34BA" w:rsidP="003B34BA">
      <w:r>
        <w:t xml:space="preserve">Le gérant de la société </w:t>
      </w:r>
      <w:proofErr w:type="spellStart"/>
      <w:r>
        <w:t>Manathan</w:t>
      </w:r>
      <w:proofErr w:type="spellEnd"/>
      <w:r>
        <w:t xml:space="preserve"> n'avait pas envisagé la question sous cet angle, il craint d'avoir été mal conseillé par son</w:t>
      </w:r>
      <w:r w:rsidR="005C7F64">
        <w:t xml:space="preserve"> avocat. Pouvez-vous le rassurer</w:t>
      </w:r>
      <w:r>
        <w:t xml:space="preserve"> ?</w:t>
      </w:r>
    </w:p>
    <w:p w:rsidR="003B34BA" w:rsidRPr="00667CED" w:rsidRDefault="005C7F64" w:rsidP="005C7F64">
      <w:pPr>
        <w:rPr>
          <w:color w:val="FF0000"/>
        </w:rPr>
      </w:pPr>
      <w:r w:rsidRPr="00667CED">
        <w:rPr>
          <w:color w:val="FF0000"/>
        </w:rPr>
        <w:t xml:space="preserve">Par l’arrêt Société </w:t>
      </w:r>
      <w:proofErr w:type="spellStart"/>
      <w:r w:rsidRPr="00667CED">
        <w:rPr>
          <w:color w:val="FF0000"/>
        </w:rPr>
        <w:t>Carilis</w:t>
      </w:r>
      <w:proofErr w:type="spellEnd"/>
      <w:r w:rsidRPr="00667CED">
        <w:rPr>
          <w:color w:val="FF0000"/>
        </w:rPr>
        <w:t xml:space="preserve">, la cour administrative d’appel de Marseille a donné quelques éléments de réponse. Le juge y étend le régime juridique des biens de retour aux biens construits par le sous-occupant du domaine public lorsque ce dernier s’est vu confier – par subdélégation – une partie des missions de service public gérées par l’occupant principal. Ce qui n’est pas le cas ici </w:t>
      </w:r>
    </w:p>
    <w:p w:rsidR="005C7F64" w:rsidRPr="00667CED" w:rsidRDefault="00FF1CF3" w:rsidP="005C7F64">
      <w:pPr>
        <w:rPr>
          <w:color w:val="FF0000"/>
        </w:rPr>
      </w:pPr>
      <w:r w:rsidRPr="00667CED">
        <w:rPr>
          <w:color w:val="FF0000"/>
        </w:rPr>
        <w:t xml:space="preserve">En dehors des biens de retour, c’est au contrat de sous-occupation peut expressément se prononcer sur le statut des biens construits par le sous-occupant. Les parties peuvent ainsi faire échec au jeu de l’accession au profit du propriétaire public en accordant – pour la durée du titre – la propriété des biens construits par le sous-occupant à ce dernier ou à l’occupant principal (CE 1997 Soc. </w:t>
      </w:r>
      <w:proofErr w:type="spellStart"/>
      <w:r w:rsidRPr="00667CED">
        <w:rPr>
          <w:color w:val="FF0000"/>
        </w:rPr>
        <w:t>Sagifa</w:t>
      </w:r>
      <w:proofErr w:type="spellEnd"/>
      <w:r w:rsidRPr="00667CED">
        <w:rPr>
          <w:color w:val="FF0000"/>
        </w:rPr>
        <w:t>)</w:t>
      </w:r>
    </w:p>
    <w:p w:rsidR="00FF1CF3" w:rsidRPr="00667CED" w:rsidRDefault="00FF1CF3" w:rsidP="00667CED">
      <w:pPr>
        <w:rPr>
          <w:color w:val="FF0000"/>
        </w:rPr>
      </w:pPr>
      <w:r w:rsidRPr="00667CED">
        <w:rPr>
          <w:color w:val="FF0000"/>
        </w:rPr>
        <w:t xml:space="preserve">La société SC&amp;B n’a pas besoin d’invoquer la signature d’une sorte de bail emphytéotique. D’abord par ce qu’un tel bail ne peut être conclu que par l’autorité domaniale (loi de 1988/ CGCT). Ensuite, parce que les lois de 1988 et 1994 en prévoyant la constitution de droits réels sur le domaine public n’ont pas remis cause la jurisprudence </w:t>
      </w:r>
      <w:proofErr w:type="spellStart"/>
      <w:r w:rsidRPr="00667CED">
        <w:rPr>
          <w:color w:val="FF0000"/>
        </w:rPr>
        <w:t>Sagifa</w:t>
      </w:r>
      <w:proofErr w:type="spellEnd"/>
      <w:r w:rsidRPr="00667CED">
        <w:rPr>
          <w:color w:val="FF0000"/>
        </w:rPr>
        <w:t>. Le droit de superficie qui découle de l’occupation du domaine public n’a pas besoin de résulter de l’attribution de droits réel qui doivent être prévus expressément. Car ces deux types de droit de superficie obéissent à des règles différentes : l</w:t>
      </w:r>
      <w:r w:rsidR="00667CED" w:rsidRPr="00667CED">
        <w:rPr>
          <w:color w:val="FF0000"/>
        </w:rPr>
        <w:t>’un est précaire </w:t>
      </w:r>
      <w:proofErr w:type="gramStart"/>
      <w:r w:rsidR="00667CED" w:rsidRPr="00667CED">
        <w:rPr>
          <w:color w:val="FF0000"/>
        </w:rPr>
        <w:t xml:space="preserve">; </w:t>
      </w:r>
      <w:r w:rsidRPr="00667CED">
        <w:rPr>
          <w:color w:val="FF0000"/>
        </w:rPr>
        <w:t xml:space="preserve"> l’autre</w:t>
      </w:r>
      <w:proofErr w:type="gramEnd"/>
      <w:r w:rsidRPr="00667CED">
        <w:rPr>
          <w:color w:val="FF0000"/>
        </w:rPr>
        <w:t xml:space="preserve"> est stable :  les  droits réels prévus par la loi sont garantis pour la durée du contrat </w:t>
      </w:r>
      <w:r w:rsidR="00F7612C">
        <w:rPr>
          <w:color w:val="FF0000"/>
        </w:rPr>
        <w:t>et</w:t>
      </w:r>
      <w:r w:rsidRPr="00667CED">
        <w:rPr>
          <w:color w:val="FF0000"/>
        </w:rPr>
        <w:t xml:space="preserve"> offre la possibilit</w:t>
      </w:r>
      <w:r w:rsidR="00F7612C">
        <w:rPr>
          <w:color w:val="FF0000"/>
        </w:rPr>
        <w:t>é de recourir au crédit-bail ou à l’hypothèque.</w:t>
      </w:r>
    </w:p>
    <w:p w:rsidR="003B34BA" w:rsidRDefault="003B34BA" w:rsidP="003B34BA">
      <w:r>
        <w:t xml:space="preserve">3. L'affaire se complique. Lassée du conflit opposant les deux entreprises, la Ville de </w:t>
      </w:r>
      <w:proofErr w:type="spellStart"/>
      <w:r>
        <w:t>Nouillorc</w:t>
      </w:r>
      <w:proofErr w:type="spellEnd"/>
      <w:r>
        <w:t xml:space="preserve"> qui reproche à la Société </w:t>
      </w:r>
      <w:proofErr w:type="spellStart"/>
      <w:r>
        <w:t>Manathan</w:t>
      </w:r>
      <w:proofErr w:type="spellEnd"/>
      <w:r>
        <w:t xml:space="preserve"> sa désinvolture dans le choix du sous-concessionnaire entend prendre tout le monde de vitesse et procéder elle-même à la résiliation du contrat principal qui l'unit au concessionnaire de premier rang.</w:t>
      </w:r>
    </w:p>
    <w:p w:rsidR="003B34BA" w:rsidRDefault="003B34BA" w:rsidP="003B34BA"/>
    <w:p w:rsidR="003B34BA" w:rsidRDefault="003B34BA" w:rsidP="003B34BA">
      <w:r>
        <w:t>La Société Manhattan a-t-elle</w:t>
      </w:r>
      <w:r w:rsidR="00667CED">
        <w:t xml:space="preserve"> la possibilité de s'y opposer </w:t>
      </w:r>
      <w:r>
        <w:t xml:space="preserve">en justice ? </w:t>
      </w:r>
    </w:p>
    <w:p w:rsidR="003B34BA" w:rsidRPr="00917235" w:rsidRDefault="00917235" w:rsidP="003B34BA">
      <w:pPr>
        <w:rPr>
          <w:color w:val="FF0000"/>
        </w:rPr>
      </w:pPr>
      <w:r>
        <w:rPr>
          <w:color w:val="FF0000"/>
        </w:rPr>
        <w:t xml:space="preserve">Oui </w:t>
      </w:r>
      <w:r w:rsidR="006F1FC4" w:rsidRPr="00917235">
        <w:rPr>
          <w:color w:val="FF0000"/>
        </w:rPr>
        <w:t>CE 2012 Société Orange : recours en reprise des relations contractuelles</w:t>
      </w:r>
    </w:p>
    <w:p w:rsidR="00055F03" w:rsidRDefault="003B34BA" w:rsidP="003B34BA">
      <w:r>
        <w:lastRenderedPageBreak/>
        <w:t xml:space="preserve">Et qu'en est-il de la Société SCB ? </w:t>
      </w:r>
      <w:proofErr w:type="spellStart"/>
      <w:r>
        <w:t>Pourra-t-elle</w:t>
      </w:r>
      <w:proofErr w:type="spellEnd"/>
      <w:r>
        <w:t xml:space="preserve"> obtenir une </w:t>
      </w:r>
      <w:proofErr w:type="gramStart"/>
      <w:r>
        <w:t xml:space="preserve">indemnisation </w:t>
      </w:r>
      <w:r w:rsidR="006F1FC4">
        <w:t xml:space="preserve"> de</w:t>
      </w:r>
      <w:proofErr w:type="gramEnd"/>
      <w:r w:rsidR="006F1FC4">
        <w:t xml:space="preserve"> la part de l’administration </w:t>
      </w:r>
      <w:r>
        <w:t>voire l'annulation de cette mesure de résiliation ?</w:t>
      </w:r>
    </w:p>
    <w:p w:rsidR="001B5BD2" w:rsidRPr="0025476C" w:rsidRDefault="001B5BD2" w:rsidP="0025476C">
      <w:pPr>
        <w:rPr>
          <w:color w:val="C00000"/>
        </w:rPr>
      </w:pPr>
      <w:r w:rsidRPr="0025476C">
        <w:rPr>
          <w:color w:val="C00000"/>
        </w:rPr>
        <w:t xml:space="preserve">Voir TA Versailles / CAA Marseille 2021/ conclusions </w:t>
      </w:r>
      <w:proofErr w:type="spellStart"/>
      <w:r w:rsidRPr="0025476C">
        <w:rPr>
          <w:color w:val="C00000"/>
        </w:rPr>
        <w:t>Pelissier</w:t>
      </w:r>
      <w:proofErr w:type="spellEnd"/>
      <w:r w:rsidR="00917235" w:rsidRPr="0025476C">
        <w:rPr>
          <w:color w:val="C00000"/>
        </w:rPr>
        <w:t xml:space="preserve">. </w:t>
      </w:r>
    </w:p>
    <w:p w:rsidR="00917235" w:rsidRPr="0025476C" w:rsidRDefault="00917235" w:rsidP="0025476C">
      <w:pPr>
        <w:rPr>
          <w:color w:val="C00000"/>
        </w:rPr>
      </w:pPr>
      <w:r w:rsidRPr="0025476C">
        <w:rPr>
          <w:color w:val="C00000"/>
        </w:rPr>
        <w:t xml:space="preserve">Les tiers </w:t>
      </w:r>
      <w:proofErr w:type="gramStart"/>
      <w:r w:rsidRPr="0025476C">
        <w:rPr>
          <w:color w:val="C00000"/>
        </w:rPr>
        <w:t>peuvent</w:t>
      </w:r>
      <w:r w:rsidR="00621288" w:rsidRPr="0025476C">
        <w:rPr>
          <w:color w:val="C00000"/>
        </w:rPr>
        <w:t xml:space="preserve"> </w:t>
      </w:r>
      <w:r w:rsidRPr="0025476C">
        <w:rPr>
          <w:color w:val="C00000"/>
        </w:rPr>
        <w:t xml:space="preserve"> former</w:t>
      </w:r>
      <w:proofErr w:type="gramEnd"/>
      <w:r w:rsidRPr="0025476C">
        <w:rPr>
          <w:color w:val="C00000"/>
        </w:rPr>
        <w:t xml:space="preserve"> </w:t>
      </w:r>
      <w:r w:rsidR="00621288" w:rsidRPr="0025476C">
        <w:rPr>
          <w:color w:val="C00000"/>
        </w:rPr>
        <w:t xml:space="preserve">traditionnellement </w:t>
      </w:r>
      <w:r w:rsidRPr="0025476C">
        <w:rPr>
          <w:color w:val="C00000"/>
        </w:rPr>
        <w:t>un REP contre l’acte détachable du contrat qu’est la résiliation (CE 1987 TV6</w:t>
      </w:r>
      <w:r w:rsidR="00621288" w:rsidRPr="0025476C">
        <w:rPr>
          <w:color w:val="C00000"/>
        </w:rPr>
        <w:t xml:space="preserve">). Mais le CE a admis la possibilité désormais de former un RPC contre un refus de résiliation (CE2017 SMPAT). Dans ses conclusions Gilles </w:t>
      </w:r>
      <w:proofErr w:type="spellStart"/>
      <w:r w:rsidR="00621288" w:rsidRPr="0025476C">
        <w:rPr>
          <w:color w:val="C00000"/>
        </w:rPr>
        <w:t>Pelissier</w:t>
      </w:r>
      <w:proofErr w:type="spellEnd"/>
      <w:r w:rsidR="00621288" w:rsidRPr="0025476C">
        <w:rPr>
          <w:color w:val="C00000"/>
        </w:rPr>
        <w:t xml:space="preserve"> est peu favorable à l’extension automatique de ce recours contre les mesures de résiliation excluant l’idée d’une reprise des relations contractuelles à l’initiative d’un tiers. Le TA de Versailles a franchi le pas uniquement en qualifiant le recours du tiers de RPC et ne lui offrant que la possibilité d’obtenir une indemnisation. </w:t>
      </w:r>
    </w:p>
    <w:p w:rsidR="00621288" w:rsidRPr="0025476C" w:rsidRDefault="00621288" w:rsidP="0025476C">
      <w:pPr>
        <w:rPr>
          <w:color w:val="C00000"/>
        </w:rPr>
      </w:pPr>
      <w:r w:rsidRPr="0025476C">
        <w:rPr>
          <w:color w:val="C00000"/>
        </w:rPr>
        <w:t>Cette indemnisation ne pourra pas se faire sur la base de la jurisprudence Jonathan Loisirs (responsabilité contractuelle) mais sur la base de la responsabilité quasi-délictuelle (comme le sous-traitant dans le cas d’un marché public) d’où pour une résiliation fautive, ce qui ne parait pas être le cas ici. Résiliation justifiée par l’intérêt du domaine.</w:t>
      </w:r>
    </w:p>
    <w:p w:rsidR="00425CA6" w:rsidRDefault="00425CA6">
      <w:r>
        <w:br w:type="page"/>
      </w:r>
    </w:p>
    <w:sectPr w:rsidR="00425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E1D44"/>
    <w:multiLevelType w:val="hybridMultilevel"/>
    <w:tmpl w:val="BFFA8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BA"/>
    <w:rsid w:val="0005163B"/>
    <w:rsid w:val="00055F03"/>
    <w:rsid w:val="00187BD4"/>
    <w:rsid w:val="001B5BD2"/>
    <w:rsid w:val="0025476C"/>
    <w:rsid w:val="003B34BA"/>
    <w:rsid w:val="00425CA6"/>
    <w:rsid w:val="005C7F64"/>
    <w:rsid w:val="00621288"/>
    <w:rsid w:val="00667CED"/>
    <w:rsid w:val="006F1FC4"/>
    <w:rsid w:val="007532D7"/>
    <w:rsid w:val="00777ED9"/>
    <w:rsid w:val="0079164D"/>
    <w:rsid w:val="00917235"/>
    <w:rsid w:val="00F7612C"/>
    <w:rsid w:val="00FD0F84"/>
    <w:rsid w:val="00FF1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3DCA"/>
  <w15:chartTrackingRefBased/>
  <w15:docId w15:val="{7E63886E-B7E8-473A-9871-9782B3A2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next w:val="Normal"/>
    <w:link w:val="Titre5Car"/>
    <w:autoRedefine/>
    <w:qFormat/>
    <w:rsid w:val="007532D7"/>
    <w:pPr>
      <w:spacing w:before="240" w:after="60" w:line="240" w:lineRule="auto"/>
      <w:jc w:val="both"/>
      <w:outlineLvl w:val="4"/>
    </w:pPr>
    <w:rPr>
      <w:b/>
      <w:bCs/>
      <w:i/>
      <w:iCs/>
      <w:caps/>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7532D7"/>
    <w:rPr>
      <w:b/>
      <w:bCs/>
      <w:i/>
      <w:iCs/>
      <w:caps/>
      <w:color w:val="FF0000"/>
      <w:sz w:val="24"/>
    </w:rPr>
  </w:style>
  <w:style w:type="paragraph" w:styleId="Paragraphedeliste">
    <w:name w:val="List Paragraph"/>
    <w:basedOn w:val="Normal"/>
    <w:uiPriority w:val="34"/>
    <w:qFormat/>
    <w:rsid w:val="0025476C"/>
    <w:pPr>
      <w:ind w:left="720"/>
      <w:contextualSpacing/>
    </w:pPr>
  </w:style>
  <w:style w:type="paragraph" w:styleId="Textedebulles">
    <w:name w:val="Balloon Text"/>
    <w:basedOn w:val="Normal"/>
    <w:link w:val="TextedebullesCar"/>
    <w:uiPriority w:val="99"/>
    <w:semiHidden/>
    <w:unhideWhenUsed/>
    <w:rsid w:val="00425C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5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Brisson</dc:creator>
  <cp:keywords/>
  <dc:description/>
  <cp:lastModifiedBy>Jean-Francois Brisson</cp:lastModifiedBy>
  <cp:revision>3</cp:revision>
  <cp:lastPrinted>2024-10-28T10:18:00Z</cp:lastPrinted>
  <dcterms:created xsi:type="dcterms:W3CDTF">2024-11-16T17:12:00Z</dcterms:created>
  <dcterms:modified xsi:type="dcterms:W3CDTF">2024-11-16T17:13:00Z</dcterms:modified>
</cp:coreProperties>
</file>