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6E" w:rsidRPr="00B50A6E" w:rsidRDefault="00B50A6E" w:rsidP="00B50A6E">
      <w:pPr>
        <w:keepNext/>
        <w:keepLines/>
        <w:spacing w:before="40" w:after="0"/>
        <w:outlineLvl w:val="2"/>
        <w:rPr>
          <w:rFonts w:ascii="Times New Roman" w:eastAsiaTheme="majorEastAsia" w:hAnsi="Times New Roman" w:cs="Times New Roman"/>
          <w:color w:val="1F4D78" w:themeColor="accent1" w:themeShade="7F"/>
          <w:sz w:val="24"/>
          <w:szCs w:val="24"/>
        </w:rPr>
      </w:pPr>
      <w:r>
        <w:rPr>
          <w:rFonts w:ascii="Times New Roman" w:eastAsiaTheme="majorEastAsia" w:hAnsi="Times New Roman" w:cs="Times New Roman"/>
          <w:color w:val="1F4D78" w:themeColor="accent1" w:themeShade="7F"/>
          <w:sz w:val="24"/>
          <w:szCs w:val="24"/>
        </w:rPr>
        <w:t xml:space="preserve">Leçon 10 : </w:t>
      </w:r>
      <w:proofErr w:type="gramStart"/>
      <w:r>
        <w:rPr>
          <w:rFonts w:ascii="Times New Roman" w:eastAsiaTheme="majorEastAsia" w:hAnsi="Times New Roman" w:cs="Times New Roman"/>
          <w:color w:val="1F4D78" w:themeColor="accent1" w:themeShade="7F"/>
          <w:sz w:val="24"/>
          <w:szCs w:val="24"/>
        </w:rPr>
        <w:t xml:space="preserve">Les </w:t>
      </w:r>
      <w:r w:rsidRPr="00B50A6E">
        <w:rPr>
          <w:rFonts w:ascii="Times New Roman" w:eastAsiaTheme="majorEastAsia" w:hAnsi="Times New Roman" w:cs="Times New Roman"/>
          <w:color w:val="1F4D78" w:themeColor="accent1" w:themeShade="7F"/>
          <w:sz w:val="24"/>
          <w:szCs w:val="24"/>
        </w:rPr>
        <w:t xml:space="preserve"> sous</w:t>
      </w:r>
      <w:proofErr w:type="gramEnd"/>
      <w:r w:rsidRPr="00B50A6E">
        <w:rPr>
          <w:rFonts w:ascii="Times New Roman" w:eastAsiaTheme="majorEastAsia" w:hAnsi="Times New Roman" w:cs="Times New Roman"/>
          <w:color w:val="1F4D78" w:themeColor="accent1" w:themeShade="7F"/>
          <w:sz w:val="24"/>
          <w:szCs w:val="24"/>
        </w:rPr>
        <w:t>-concessions</w:t>
      </w:r>
      <w:r>
        <w:rPr>
          <w:rFonts w:ascii="Times New Roman" w:eastAsiaTheme="majorEastAsia" w:hAnsi="Times New Roman" w:cs="Times New Roman"/>
          <w:color w:val="1F4D78" w:themeColor="accent1" w:themeShade="7F"/>
          <w:sz w:val="24"/>
          <w:szCs w:val="24"/>
        </w:rPr>
        <w:t xml:space="preserve"> d’occupation</w:t>
      </w:r>
    </w:p>
    <w:p w:rsidR="00B50A6E" w:rsidRPr="00B50A6E" w:rsidRDefault="00B50A6E" w:rsidP="00B50A6E">
      <w:pPr>
        <w:spacing w:before="120" w:after="240"/>
        <w:jc w:val="both"/>
        <w:rPr>
          <w:rFonts w:ascii="Times New Roman" w:hAnsi="Times New Roman" w:cs="Times New Roman"/>
        </w:rPr>
      </w:pP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La sous-occupation – ou « sous-location » – du domaine public peut se définir comme une occupation secondaire d’un immeuble relevant du domaine public, autorisée par l’occupant principal de la dépendance domaniale.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Elle n’engage que l’occupant principal et le sous-occupant, l’Administration n’étant pas juridiquement liée avec le sous-occupant, mais seulement avec l’occupant principal.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La sous-occupation se distingue ainsi de la cession du titre d’occupation</w:t>
      </w:r>
    </w:p>
    <w:p w:rsidR="00B50A6E" w:rsidRPr="00B50A6E" w:rsidRDefault="00B50A6E" w:rsidP="00B50A6E">
      <w:pPr>
        <w:spacing w:before="120" w:after="240"/>
        <w:jc w:val="both"/>
        <w:rPr>
          <w:rFonts w:ascii="Times New Roman" w:hAnsi="Times New Roman" w:cs="Times New Roman"/>
        </w:rPr>
      </w:pP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La sous-occupation du domaine public est aujourd’hui très fréquente.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En pratique, elle permet</w:t>
      </w:r>
      <w:r w:rsidR="00AD1571">
        <w:rPr>
          <w:rFonts w:ascii="Times New Roman" w:hAnsi="Times New Roman" w:cs="Times New Roman"/>
        </w:rPr>
        <w:t xml:space="preserve"> </w:t>
      </w:r>
      <w:r w:rsidRPr="00B50A6E">
        <w:rPr>
          <w:rFonts w:ascii="Times New Roman" w:hAnsi="Times New Roman" w:cs="Times New Roman"/>
        </w:rPr>
        <w:t xml:space="preserve">à l’occupant principal du domaine public de répondre aux besoins des usagers tout en valorisant la dépendance occupée. </w:t>
      </w:r>
    </w:p>
    <w:p w:rsidR="00B50A6E" w:rsidRPr="00B50A6E" w:rsidRDefault="00AD1571" w:rsidP="00B50A6E">
      <w:pPr>
        <w:spacing w:before="120" w:after="240"/>
        <w:jc w:val="both"/>
        <w:rPr>
          <w:rFonts w:ascii="Times New Roman" w:hAnsi="Times New Roman" w:cs="Times New Roman"/>
        </w:rPr>
      </w:pPr>
      <w:r>
        <w:rPr>
          <w:rFonts w:ascii="Times New Roman" w:hAnsi="Times New Roman" w:cs="Times New Roman"/>
        </w:rPr>
        <w:t>L</w:t>
      </w:r>
      <w:r w:rsidR="00B50A6E" w:rsidRPr="00B50A6E">
        <w:rPr>
          <w:rFonts w:ascii="Times New Roman" w:hAnsi="Times New Roman" w:cs="Times New Roman"/>
        </w:rPr>
        <w:t>’organisation d</w:t>
      </w:r>
      <w:r>
        <w:rPr>
          <w:rFonts w:ascii="Times New Roman" w:hAnsi="Times New Roman" w:cs="Times New Roman"/>
        </w:rPr>
        <w:t>es Jeux Olympiques 2024 souligné l’importance de ces questions :  le législateur a</w:t>
      </w:r>
      <w:r w:rsidR="00B50A6E" w:rsidRPr="00B50A6E">
        <w:rPr>
          <w:rFonts w:ascii="Times New Roman" w:hAnsi="Times New Roman" w:cs="Times New Roman"/>
        </w:rPr>
        <w:t xml:space="preserve"> créé une procédure ad hoc de délivrance des titres de sous-occupation entre le comité d’organisation des jeux et les partenaires de marketing olympique.</w:t>
      </w:r>
    </w:p>
    <w:p w:rsidR="00B50A6E" w:rsidRPr="00B50A6E" w:rsidRDefault="00B50A6E" w:rsidP="00B50A6E">
      <w:pPr>
        <w:spacing w:before="120" w:after="240"/>
        <w:jc w:val="both"/>
        <w:rPr>
          <w:rFonts w:ascii="Times New Roman" w:hAnsi="Times New Roman" w:cs="Times New Roman"/>
        </w:rPr>
      </w:pP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La sous-occupation du domaine public constitue une occupation superposée, simultanée et partielle </w:t>
      </w:r>
    </w:p>
    <w:p w:rsidR="00B50A6E" w:rsidRPr="00B50A6E" w:rsidRDefault="00B50A6E" w:rsidP="00B50A6E">
      <w:pPr>
        <w:numPr>
          <w:ilvl w:val="1"/>
          <w:numId w:val="2"/>
        </w:numPr>
        <w:spacing w:before="120" w:after="240"/>
        <w:contextualSpacing/>
        <w:jc w:val="both"/>
        <w:rPr>
          <w:rFonts w:ascii="Times New Roman" w:hAnsi="Times New Roman" w:cs="Times New Roman"/>
        </w:rPr>
      </w:pPr>
      <w:r w:rsidRPr="00B50A6E">
        <w:rPr>
          <w:rFonts w:ascii="Times New Roman" w:hAnsi="Times New Roman" w:cs="Times New Roman"/>
        </w:rPr>
        <w:t xml:space="preserve">Superposée, car le sous-occupant se trouve sur la même dépendance domaniale que l’occupant principal. </w:t>
      </w:r>
    </w:p>
    <w:p w:rsidR="00B50A6E" w:rsidRPr="00B50A6E" w:rsidRDefault="00B50A6E" w:rsidP="00B50A6E">
      <w:pPr>
        <w:numPr>
          <w:ilvl w:val="1"/>
          <w:numId w:val="2"/>
        </w:numPr>
        <w:spacing w:before="120" w:after="240"/>
        <w:contextualSpacing/>
        <w:jc w:val="both"/>
        <w:rPr>
          <w:rFonts w:ascii="Times New Roman" w:hAnsi="Times New Roman" w:cs="Times New Roman"/>
        </w:rPr>
      </w:pPr>
      <w:r w:rsidRPr="00B50A6E">
        <w:rPr>
          <w:rFonts w:ascii="Times New Roman" w:hAnsi="Times New Roman" w:cs="Times New Roman"/>
        </w:rPr>
        <w:t>Simultanée, car la présence du sous-occupant n’éteint pas les droits de l’occupant principal sur la dépendance domaniale qu’il occupe.</w:t>
      </w:r>
    </w:p>
    <w:p w:rsidR="00B50A6E" w:rsidRPr="00B50A6E" w:rsidRDefault="00B50A6E" w:rsidP="00B50A6E">
      <w:pPr>
        <w:numPr>
          <w:ilvl w:val="1"/>
          <w:numId w:val="2"/>
        </w:numPr>
        <w:spacing w:before="120" w:after="240"/>
        <w:contextualSpacing/>
        <w:jc w:val="both"/>
        <w:rPr>
          <w:rFonts w:ascii="Times New Roman" w:hAnsi="Times New Roman" w:cs="Times New Roman"/>
        </w:rPr>
      </w:pPr>
      <w:r w:rsidRPr="00B50A6E">
        <w:rPr>
          <w:rFonts w:ascii="Times New Roman" w:hAnsi="Times New Roman" w:cs="Times New Roman"/>
        </w:rPr>
        <w:t xml:space="preserve">Partielle, car elle ne porte, en principe, que sur une partie de la dépendance utilisée privativement par l’occupant principal </w:t>
      </w:r>
    </w:p>
    <w:p w:rsidR="00AD1571" w:rsidRDefault="00AD1571" w:rsidP="00B50A6E">
      <w:pPr>
        <w:spacing w:before="120" w:after="240"/>
        <w:jc w:val="both"/>
        <w:rPr>
          <w:rFonts w:ascii="Times New Roman" w:hAnsi="Times New Roman" w:cs="Times New Roman"/>
        </w:rPr>
      </w:pP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Le régime de la sous-occupation domaniale demeure difficile à appréhender, tant en ce qui concerne les conditions d’accès du sous-occupant au domaine public que ses droits lors de l’exécution et à l’expiration du titre </w:t>
      </w:r>
      <w:proofErr w:type="gramStart"/>
      <w:r w:rsidRPr="00B50A6E">
        <w:rPr>
          <w:rFonts w:ascii="Times New Roman" w:hAnsi="Times New Roman" w:cs="Times New Roman"/>
        </w:rPr>
        <w:t>ou  sous</w:t>
      </w:r>
      <w:proofErr w:type="gramEnd"/>
      <w:r w:rsidRPr="00B50A6E">
        <w:rPr>
          <w:rFonts w:ascii="Times New Roman" w:hAnsi="Times New Roman" w:cs="Times New Roman"/>
        </w:rPr>
        <w:t>-titre d’occupation.</w:t>
      </w:r>
    </w:p>
    <w:p w:rsidR="00B50A6E" w:rsidRPr="00B50A6E" w:rsidRDefault="00B50A6E" w:rsidP="00B50A6E">
      <w:pPr>
        <w:spacing w:before="120" w:after="240"/>
        <w:jc w:val="both"/>
        <w:rPr>
          <w:rFonts w:ascii="Times New Roman" w:hAnsi="Times New Roman" w:cs="Times New Roman"/>
        </w:rPr>
      </w:pPr>
    </w:p>
    <w:p w:rsidR="00B50A6E" w:rsidRPr="00B50A6E" w:rsidRDefault="00AD1571" w:rsidP="00AD1571">
      <w:pPr>
        <w:keepNext/>
        <w:keepLines/>
        <w:spacing w:before="40" w:after="0"/>
        <w:outlineLvl w:val="2"/>
        <w:rPr>
          <w:rFonts w:ascii="Times New Roman" w:eastAsiaTheme="majorEastAsia" w:hAnsi="Times New Roman" w:cs="Times New Roman"/>
          <w:i/>
          <w:iCs/>
          <w:color w:val="2E74B5" w:themeColor="accent1" w:themeShade="BF"/>
        </w:rPr>
      </w:pPr>
      <w:r>
        <w:rPr>
          <w:rFonts w:ascii="Times New Roman" w:eastAsiaTheme="majorEastAsia" w:hAnsi="Times New Roman" w:cs="Times New Roman"/>
          <w:i/>
          <w:iCs/>
          <w:color w:val="2E74B5" w:themeColor="accent1" w:themeShade="BF"/>
        </w:rPr>
        <w:t>SECTION</w:t>
      </w:r>
      <w:r w:rsidRPr="00B50A6E">
        <w:rPr>
          <w:rFonts w:ascii="Times New Roman" w:eastAsiaTheme="majorEastAsia" w:hAnsi="Times New Roman" w:cs="Times New Roman"/>
          <w:i/>
          <w:iCs/>
          <w:color w:val="2E74B5" w:themeColor="accent1" w:themeShade="BF"/>
        </w:rPr>
        <w:t xml:space="preserve"> 1 LES CONDITIONS D’ACCES DU SOUS-OCCUPANT DU DOMAINE PUBLIC</w:t>
      </w:r>
    </w:p>
    <w:p w:rsidR="00B50A6E" w:rsidRPr="00B50A6E" w:rsidRDefault="00B50A6E" w:rsidP="00B50A6E">
      <w:pPr>
        <w:rPr>
          <w:rFonts w:ascii="Times New Roman" w:hAnsi="Times New Roman" w:cs="Times New Roman"/>
        </w:rPr>
      </w:pPr>
      <w:r w:rsidRPr="00B50A6E">
        <w:rPr>
          <w:rFonts w:ascii="Times New Roman" w:hAnsi="Times New Roman" w:cs="Times New Roman"/>
        </w:rPr>
        <w:t>Plusieurs questions sont en débat</w:t>
      </w:r>
    </w:p>
    <w:p w:rsidR="00B50A6E" w:rsidRPr="00B50A6E" w:rsidRDefault="00AD1571" w:rsidP="00AD1571">
      <w:pPr>
        <w:keepNext/>
        <w:keepLines/>
        <w:spacing w:before="40" w:after="0"/>
        <w:outlineLvl w:val="3"/>
        <w:rPr>
          <w:rFonts w:ascii="Times New Roman" w:eastAsiaTheme="majorEastAsia" w:hAnsi="Times New Roman" w:cs="Times New Roman"/>
          <w:color w:val="2E74B5" w:themeColor="accent1" w:themeShade="BF"/>
        </w:rPr>
      </w:pPr>
      <w:r>
        <w:rPr>
          <w:rFonts w:ascii="Times New Roman" w:eastAsiaTheme="majorEastAsia" w:hAnsi="Times New Roman" w:cs="Times New Roman"/>
          <w:color w:val="2E74B5" w:themeColor="accent1" w:themeShade="BF"/>
        </w:rPr>
        <w:t>§.1</w:t>
      </w:r>
      <w:r w:rsidR="00B50A6E" w:rsidRPr="00B50A6E">
        <w:rPr>
          <w:rFonts w:ascii="Times New Roman" w:eastAsiaTheme="majorEastAsia" w:hAnsi="Times New Roman" w:cs="Times New Roman"/>
          <w:color w:val="2E74B5" w:themeColor="accent1" w:themeShade="BF"/>
        </w:rPr>
        <w:t xml:space="preserve"> L’attribution du titre de sous occupation par l’occupant principal</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Qui attribue le titre de sous-occupation du domaine public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Le candidat à la sous-occupation du domaine public tient son « sous-titre » directement auprès de l’occupant principal.</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La question est de savoir si l’occupant principal peut librement consentir un titre de sous-occupation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lastRenderedPageBreak/>
        <w:t xml:space="preserve">En raison du caractère strictement personnel d’un titre d’occupation du domaine public, on peut a priori légitimement douter de la possibilité pour l’occupant d’octroyer des titres de sous-occupation à des tiers.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 xml:space="preserve">Le code général de la propriété des personnes publiques ne contient d’ailleurs aucune disposition analogue à celle de l’article 1717 du code civil, lequel énonce, au sujet du louage de choses, que « le preneur a le droit de sous-louer, et même de céder son bail à un autre, si cette faculté ne lui a pas été interdite ».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En conséquence, sur le domaine public, l’autorité gestionnaire peut expressément autoriser, ou au contraire empêcher, l’occupant à consentir un titre de sous-occupation.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En tout état de cause, l’occupant devra se conformer aux stipulations de son titre.</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Mais qu’en est-il dans le silence du titre d’occupation principal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Plusieurs éléments militent en faveur de la possibilité pour l’occupant principal du domaine public de sous-louer </w:t>
      </w:r>
    </w:p>
    <w:p w:rsidR="00B50A6E" w:rsidRPr="00B50A6E" w:rsidRDefault="00B50A6E" w:rsidP="00B50A6E">
      <w:pPr>
        <w:numPr>
          <w:ilvl w:val="1"/>
          <w:numId w:val="7"/>
        </w:numPr>
        <w:spacing w:before="120" w:after="240"/>
        <w:contextualSpacing/>
        <w:jc w:val="both"/>
        <w:rPr>
          <w:rFonts w:ascii="Times New Roman" w:hAnsi="Times New Roman" w:cs="Times New Roman"/>
        </w:rPr>
      </w:pPr>
      <w:proofErr w:type="gramStart"/>
      <w:r w:rsidRPr="00B50A6E">
        <w:rPr>
          <w:rFonts w:ascii="Times New Roman" w:hAnsi="Times New Roman" w:cs="Times New Roman"/>
        </w:rPr>
        <w:t>aucune</w:t>
      </w:r>
      <w:proofErr w:type="gramEnd"/>
      <w:r w:rsidRPr="00B50A6E">
        <w:rPr>
          <w:rFonts w:ascii="Times New Roman" w:hAnsi="Times New Roman" w:cs="Times New Roman"/>
        </w:rPr>
        <w:t xml:space="preserve"> interdiction de « sous- contracter » n’est consacré en droit public</w:t>
      </w:r>
    </w:p>
    <w:p w:rsidR="00B50A6E" w:rsidRPr="00B50A6E" w:rsidRDefault="00B50A6E" w:rsidP="00B50A6E">
      <w:pPr>
        <w:numPr>
          <w:ilvl w:val="1"/>
          <w:numId w:val="7"/>
        </w:numPr>
        <w:jc w:val="both"/>
        <w:rPr>
          <w:rFonts w:ascii="Times New Roman" w:hAnsi="Times New Roman"/>
        </w:rPr>
      </w:pPr>
      <w:r w:rsidRPr="00B50A6E">
        <w:rPr>
          <w:rFonts w:ascii="Times New Roman" w:hAnsi="Times New Roman"/>
        </w:rPr>
        <w:t>La sous-traitance est admise dans les contrats de la commande publique 7.</w:t>
      </w:r>
    </w:p>
    <w:p w:rsidR="00B50A6E" w:rsidRPr="00B50A6E" w:rsidRDefault="00B50A6E" w:rsidP="00B50A6E">
      <w:pPr>
        <w:numPr>
          <w:ilvl w:val="1"/>
          <w:numId w:val="7"/>
        </w:numPr>
        <w:spacing w:before="120" w:after="240"/>
        <w:contextualSpacing/>
        <w:jc w:val="both"/>
        <w:rPr>
          <w:rFonts w:ascii="Times New Roman" w:hAnsi="Times New Roman" w:cs="Times New Roman"/>
        </w:rPr>
      </w:pPr>
      <w:proofErr w:type="gramStart"/>
      <w:r w:rsidRPr="00B50A6E">
        <w:rPr>
          <w:rFonts w:ascii="Times New Roman" w:hAnsi="Times New Roman" w:cs="Times New Roman"/>
        </w:rPr>
        <w:t>La  patrimonialisation</w:t>
      </w:r>
      <w:proofErr w:type="gramEnd"/>
      <w:r w:rsidRPr="00B50A6E">
        <w:rPr>
          <w:rFonts w:ascii="Times New Roman" w:hAnsi="Times New Roman" w:cs="Times New Roman"/>
        </w:rPr>
        <w:t xml:space="preserve"> des autorisations administratives invite à reconnaitre les sous-occupations 9. </w:t>
      </w:r>
      <w:proofErr w:type="gramStart"/>
      <w:r w:rsidRPr="00B50A6E">
        <w:rPr>
          <w:rFonts w:ascii="Times New Roman" w:hAnsi="Times New Roman" w:cs="Times New Roman"/>
        </w:rPr>
        <w:t>en</w:t>
      </w:r>
      <w:proofErr w:type="gramEnd"/>
      <w:r w:rsidRPr="00B50A6E">
        <w:rPr>
          <w:rFonts w:ascii="Times New Roman" w:hAnsi="Times New Roman" w:cs="Times New Roman"/>
        </w:rPr>
        <w:t xml:space="preserve"> dehors d’une autorisation expresse,.</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En pratique la sous-occupation domaniale est fréquente et que le juge n’a jamais mis en cause la possibilité pour l’occupant de consentir des sous-occupations lorsque cela ne lui est pas interdit par son titre. 11.</w:t>
      </w:r>
    </w:p>
    <w:p w:rsidR="00B50A6E" w:rsidRPr="00B50A6E" w:rsidRDefault="00AD1571" w:rsidP="00AD1571">
      <w:pPr>
        <w:keepNext/>
        <w:keepLines/>
        <w:spacing w:before="40" w:after="0"/>
        <w:outlineLvl w:val="3"/>
        <w:rPr>
          <w:rFonts w:ascii="Times New Roman" w:eastAsiaTheme="majorEastAsia" w:hAnsi="Times New Roman" w:cs="Times New Roman"/>
          <w:color w:val="2E74B5" w:themeColor="accent1" w:themeShade="BF"/>
        </w:rPr>
      </w:pPr>
      <w:r>
        <w:rPr>
          <w:rFonts w:ascii="Times New Roman" w:eastAsiaTheme="majorEastAsia" w:hAnsi="Times New Roman" w:cs="Times New Roman"/>
          <w:color w:val="2E74B5" w:themeColor="accent1" w:themeShade="BF"/>
        </w:rPr>
        <w:t xml:space="preserve">§.2 </w:t>
      </w:r>
      <w:r w:rsidR="00B50A6E" w:rsidRPr="00B50A6E">
        <w:rPr>
          <w:rFonts w:ascii="Times New Roman" w:eastAsiaTheme="majorEastAsia" w:hAnsi="Times New Roman" w:cs="Times New Roman"/>
          <w:color w:val="2E74B5" w:themeColor="accent1" w:themeShade="BF"/>
        </w:rPr>
        <w:t>La nécessité d’obtenir l’agrément du sous-occupant par l’administration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L’agrément préalable du gestionnaire domanial est-il obligatoire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La jurisprudence semble exiger l’agrément préalable du sous- occupant. Cette solution se justifie doublement.</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 xml:space="preserve">D’une part, l’agrément est fréquemment exigé lors de la conclusion de sous- contrats (par ex, article L. 2193-10 du code de la commande publique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 xml:space="preserve">En cas de cession d’un titre d’occupation, le juge exige l’agrément de l’autorité gestionnaire 14. C’est une conséquence du caractère personnel du titre qui persiste en cas de sous concession domaniale. </w:t>
      </w:r>
    </w:p>
    <w:p w:rsidR="00B50A6E" w:rsidRPr="00B50A6E" w:rsidRDefault="00AD1571" w:rsidP="00AD1571">
      <w:pPr>
        <w:keepNext/>
        <w:keepLines/>
        <w:spacing w:before="40" w:after="0"/>
        <w:outlineLvl w:val="3"/>
        <w:rPr>
          <w:rFonts w:ascii="Times New Roman" w:eastAsiaTheme="majorEastAsia" w:hAnsi="Times New Roman" w:cs="Times New Roman"/>
          <w:color w:val="2E74B5" w:themeColor="accent1" w:themeShade="BF"/>
        </w:rPr>
      </w:pPr>
      <w:r>
        <w:rPr>
          <w:rFonts w:ascii="Times New Roman" w:eastAsiaTheme="majorEastAsia" w:hAnsi="Times New Roman" w:cs="Times New Roman"/>
          <w:color w:val="2E74B5" w:themeColor="accent1" w:themeShade="BF"/>
        </w:rPr>
        <w:t>§3</w:t>
      </w:r>
      <w:r w:rsidR="00B50A6E" w:rsidRPr="00B50A6E">
        <w:rPr>
          <w:rFonts w:ascii="Times New Roman" w:eastAsiaTheme="majorEastAsia" w:hAnsi="Times New Roman" w:cs="Times New Roman"/>
          <w:color w:val="2E74B5" w:themeColor="accent1" w:themeShade="BF"/>
        </w:rPr>
        <w:t>. Interrogations sur la nécessité d’organiser une procédure de sélection du sous-occupant</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L’accès du sous-occupant au domaine public est-il subordonné à l’organisation d’une procédure de mise en concurrence domaniale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 xml:space="preserve">La doctrine est divisée. </w:t>
      </w:r>
    </w:p>
    <w:p w:rsidR="00B50A6E" w:rsidRPr="00B50A6E" w:rsidRDefault="00B50A6E" w:rsidP="00B50A6E">
      <w:pPr>
        <w:tabs>
          <w:tab w:val="num" w:pos="720"/>
        </w:tabs>
        <w:ind w:left="720" w:hanging="360"/>
        <w:jc w:val="both"/>
        <w:rPr>
          <w:rFonts w:ascii="Times New Roman" w:hAnsi="Times New Roman"/>
        </w:rPr>
      </w:pPr>
      <w:r w:rsidRPr="00B50A6E">
        <w:rPr>
          <w:rFonts w:ascii="Times New Roman" w:hAnsi="Times New Roman"/>
        </w:rPr>
        <w:t xml:space="preserve">L’article L. 2122-1-1 du CGPPP </w:t>
      </w:r>
      <w:proofErr w:type="gramStart"/>
      <w:r w:rsidRPr="00B50A6E">
        <w:rPr>
          <w:rFonts w:ascii="Times New Roman" w:hAnsi="Times New Roman"/>
        </w:rPr>
        <w:t>ne  mentionne</w:t>
      </w:r>
      <w:proofErr w:type="gramEnd"/>
      <w:r w:rsidRPr="00B50A6E">
        <w:rPr>
          <w:rFonts w:ascii="Times New Roman" w:hAnsi="Times New Roman"/>
        </w:rPr>
        <w:t xml:space="preserve"> pas expressément la sous-concession : l’occupant est une entreprise privée soumis aux exigences de concurrence. Cependant, le sous-occupant du domaine public n’est pas non plus expressément exclu du champ d’application de cette procédure. On peut donc estimer avec la doctrine majoritaire que l’article L. 2122-1-1 du CGPPP s’applique à tout bénéficiaire d’un titre qui occupe ou utilise le domaine public « en vue d’une exploitation économique ». </w:t>
      </w:r>
    </w:p>
    <w:p w:rsidR="00B50A6E" w:rsidRPr="00B50A6E" w:rsidRDefault="00B50A6E" w:rsidP="00B50A6E">
      <w:pPr>
        <w:tabs>
          <w:tab w:val="num" w:pos="720"/>
        </w:tabs>
        <w:ind w:left="720" w:hanging="360"/>
        <w:jc w:val="both"/>
        <w:rPr>
          <w:rFonts w:ascii="Times New Roman" w:hAnsi="Times New Roman"/>
        </w:rPr>
      </w:pPr>
      <w:r w:rsidRPr="00B50A6E">
        <w:rPr>
          <w:rFonts w:ascii="Times New Roman" w:hAnsi="Times New Roman"/>
        </w:rPr>
        <w:lastRenderedPageBreak/>
        <w:t xml:space="preserve">D’autres auteurs </w:t>
      </w:r>
      <w:proofErr w:type="gramStart"/>
      <w:r w:rsidRPr="00B50A6E">
        <w:rPr>
          <w:rFonts w:ascii="Times New Roman" w:hAnsi="Times New Roman"/>
        </w:rPr>
        <w:t>exigent  une</w:t>
      </w:r>
      <w:proofErr w:type="gramEnd"/>
      <w:r w:rsidRPr="00B50A6E">
        <w:rPr>
          <w:rFonts w:ascii="Times New Roman" w:hAnsi="Times New Roman"/>
        </w:rPr>
        <w:t xml:space="preserve"> clarification législative.. La loi n° 2018-202 du 26 mars 2018 relative à l’organisation des jeux Olympiques et Paralympiques de 2024 a jeté un certain trouble. </w:t>
      </w:r>
      <w:proofErr w:type="gramStart"/>
      <w:r w:rsidRPr="00B50A6E">
        <w:rPr>
          <w:rFonts w:ascii="Times New Roman" w:hAnsi="Times New Roman"/>
        </w:rPr>
        <w:t>Elle  exonère</w:t>
      </w:r>
      <w:proofErr w:type="gramEnd"/>
      <w:r w:rsidRPr="00B50A6E">
        <w:rPr>
          <w:rFonts w:ascii="Times New Roman" w:hAnsi="Times New Roman"/>
        </w:rPr>
        <w:t xml:space="preserve"> expressément du champ d’application de l’article L. 2122-1-1  la délivrance, par le comité d’organisation des jeux, de titres de sous-occupation au partenaire de marketing olympique. Il serait possible d’en déduire qu’en l’absence de dérogation, l’article L. 2122-1-1 est donc applicable à la délivrance de titres de sous-occupation.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A défaut de mise de concurrence, la sous-concession pourrait être un moyen de contourner/ neutraliser l’obligation de suivre une procédure de publicité et de sélection préalables en accordant une autorisation à un occupant principal fictif </w:t>
      </w:r>
    </w:p>
    <w:p w:rsidR="00B50A6E" w:rsidRPr="00B50A6E" w:rsidRDefault="00B50A6E" w:rsidP="00B50A6E">
      <w:pPr>
        <w:numPr>
          <w:ilvl w:val="1"/>
          <w:numId w:val="2"/>
        </w:numPr>
        <w:spacing w:before="120" w:after="240"/>
        <w:contextualSpacing/>
        <w:jc w:val="both"/>
        <w:rPr>
          <w:rFonts w:ascii="Times New Roman" w:hAnsi="Times New Roman" w:cs="Times New Roman"/>
        </w:rPr>
      </w:pPr>
      <w:r w:rsidRPr="00B50A6E">
        <w:rPr>
          <w:rFonts w:ascii="Times New Roman" w:hAnsi="Times New Roman" w:cs="Times New Roman"/>
        </w:rPr>
        <w:t xml:space="preserve">Voir Conclusions Olivier </w:t>
      </w:r>
      <w:proofErr w:type="spellStart"/>
      <w:r w:rsidRPr="00B50A6E">
        <w:rPr>
          <w:rFonts w:ascii="Times New Roman" w:hAnsi="Times New Roman" w:cs="Times New Roman"/>
        </w:rPr>
        <w:t>Guillaumont</w:t>
      </w:r>
      <w:proofErr w:type="spellEnd"/>
      <w:r w:rsidRPr="00B50A6E">
        <w:rPr>
          <w:rFonts w:ascii="Times New Roman" w:hAnsi="Times New Roman" w:cs="Times New Roman"/>
        </w:rPr>
        <w:t xml:space="preserve"> dans ses conclusions sur l’arrêt Société </w:t>
      </w:r>
      <w:proofErr w:type="spellStart"/>
      <w:r w:rsidRPr="00B50A6E">
        <w:rPr>
          <w:rFonts w:ascii="Times New Roman" w:hAnsi="Times New Roman" w:cs="Times New Roman"/>
        </w:rPr>
        <w:t>Vildor</w:t>
      </w:r>
      <w:proofErr w:type="spellEnd"/>
      <w:r w:rsidRPr="00B50A6E">
        <w:rPr>
          <w:rFonts w:ascii="Times New Roman" w:hAnsi="Times New Roman" w:cs="Times New Roman"/>
        </w:rPr>
        <w:t xml:space="preserve"> rendu par la cour administrative d’appel de Marseille le 21 avril 2023 20.</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Mais, dans ce cas, il reviendrait à l’occupant principal d’organiser la procédure de mise en concurrence afin de sélectionner le sous-occupant </w:t>
      </w:r>
    </w:p>
    <w:p w:rsidR="00B50A6E" w:rsidRPr="00B50A6E" w:rsidRDefault="00B50A6E" w:rsidP="00B50A6E">
      <w:pPr>
        <w:numPr>
          <w:ilvl w:val="1"/>
          <w:numId w:val="2"/>
        </w:numPr>
        <w:spacing w:before="120" w:after="240"/>
        <w:contextualSpacing/>
        <w:jc w:val="both"/>
        <w:rPr>
          <w:rFonts w:ascii="Times New Roman" w:hAnsi="Times New Roman" w:cs="Times New Roman"/>
        </w:rPr>
      </w:pPr>
      <w:r w:rsidRPr="00B50A6E">
        <w:rPr>
          <w:rFonts w:ascii="Times New Roman" w:hAnsi="Times New Roman" w:cs="Times New Roman"/>
        </w:rPr>
        <w:t>Ce qui parait aller à l’encontre des textes notamment de la directives services qui vise les « autorités »</w:t>
      </w:r>
    </w:p>
    <w:p w:rsidR="00B50A6E" w:rsidRPr="00B50A6E" w:rsidRDefault="00B50A6E" w:rsidP="00B50A6E">
      <w:pPr>
        <w:numPr>
          <w:ilvl w:val="4"/>
          <w:numId w:val="1"/>
        </w:numPr>
        <w:jc w:val="both"/>
        <w:rPr>
          <w:rFonts w:ascii="Times New Roman" w:hAnsi="Times New Roman"/>
        </w:rPr>
      </w:pPr>
      <w:r w:rsidRPr="00B50A6E">
        <w:rPr>
          <w:rFonts w:ascii="Times New Roman" w:hAnsi="Times New Roman"/>
        </w:rPr>
        <w:t>On sait que ce que n’est pas le cas de l’administration en tant que propriétaire du domaine privé : CE 2 décembre 2022 Ville de Biarritz</w:t>
      </w:r>
    </w:p>
    <w:p w:rsidR="00B50A6E" w:rsidRPr="00B50A6E" w:rsidRDefault="00B50A6E" w:rsidP="00B50A6E">
      <w:pPr>
        <w:numPr>
          <w:ilvl w:val="4"/>
          <w:numId w:val="1"/>
        </w:numPr>
        <w:jc w:val="both"/>
        <w:rPr>
          <w:rFonts w:ascii="Times New Roman" w:hAnsi="Times New Roman"/>
        </w:rPr>
      </w:pPr>
      <w:r w:rsidRPr="00B50A6E">
        <w:rPr>
          <w:rFonts w:ascii="Times New Roman" w:hAnsi="Times New Roman"/>
        </w:rPr>
        <w:t>Ce qui est encore moins le cas d’un occupant principal exerçant une activité commerciale lui-même soumis aux exigences de la concurrence</w:t>
      </w:r>
    </w:p>
    <w:p w:rsidR="00B50A6E" w:rsidRPr="00B50A6E" w:rsidRDefault="00B50A6E" w:rsidP="00B50A6E">
      <w:pPr>
        <w:numPr>
          <w:ilvl w:val="5"/>
          <w:numId w:val="1"/>
        </w:numPr>
        <w:jc w:val="both"/>
        <w:rPr>
          <w:rFonts w:ascii="Times New Roman" w:hAnsi="Times New Roman"/>
        </w:rPr>
      </w:pPr>
      <w:r w:rsidRPr="00B50A6E">
        <w:rPr>
          <w:rFonts w:ascii="Times New Roman" w:hAnsi="Times New Roman"/>
        </w:rPr>
        <w:t>D’autant que comme on le verra le juge compétent pourrait être le juge judiciaire…</w:t>
      </w:r>
    </w:p>
    <w:p w:rsidR="00B50A6E" w:rsidRPr="00B50A6E" w:rsidRDefault="00B50A6E" w:rsidP="00B50A6E">
      <w:pPr>
        <w:numPr>
          <w:ilvl w:val="2"/>
          <w:numId w:val="1"/>
        </w:numPr>
        <w:jc w:val="both"/>
        <w:rPr>
          <w:rFonts w:ascii="Times New Roman" w:hAnsi="Times New Roman"/>
        </w:rPr>
      </w:pPr>
      <w:r w:rsidRPr="00B50A6E">
        <w:rPr>
          <w:rFonts w:ascii="Times New Roman" w:hAnsi="Times New Roman"/>
        </w:rPr>
        <w:t>Sauf à ce que le titulaire de la concession principale soit lui-même une personne morale de droit public : ainsi des communes en matière de sous-concession de plage</w:t>
      </w:r>
    </w:p>
    <w:p w:rsidR="00B50A6E" w:rsidRPr="00B50A6E" w:rsidRDefault="00B50A6E" w:rsidP="00B50A6E">
      <w:pPr>
        <w:numPr>
          <w:ilvl w:val="3"/>
          <w:numId w:val="1"/>
        </w:numPr>
        <w:jc w:val="both"/>
        <w:rPr>
          <w:rFonts w:ascii="Times New Roman" w:hAnsi="Times New Roman"/>
        </w:rPr>
      </w:pPr>
      <w:r w:rsidRPr="00B50A6E">
        <w:rPr>
          <w:rFonts w:ascii="Times New Roman" w:hAnsi="Times New Roman"/>
        </w:rPr>
        <w:t>Le contentieux de leur passation est d’ailleurs très important devant le juge administratif</w:t>
      </w:r>
    </w:p>
    <w:p w:rsidR="00B50A6E" w:rsidRPr="00B50A6E" w:rsidRDefault="00B50A6E" w:rsidP="00B50A6E">
      <w:pPr>
        <w:numPr>
          <w:ilvl w:val="4"/>
          <w:numId w:val="1"/>
        </w:numPr>
        <w:jc w:val="both"/>
        <w:rPr>
          <w:rFonts w:ascii="Times New Roman" w:hAnsi="Times New Roman"/>
        </w:rPr>
      </w:pPr>
      <w:proofErr w:type="spellStart"/>
      <w:r w:rsidRPr="00B50A6E">
        <w:rPr>
          <w:rFonts w:ascii="Times New Roman" w:hAnsi="Times New Roman"/>
        </w:rPr>
        <w:t>Cf</w:t>
      </w:r>
      <w:proofErr w:type="spellEnd"/>
      <w:r w:rsidRPr="00B50A6E">
        <w:rPr>
          <w:rFonts w:ascii="Times New Roman" w:hAnsi="Times New Roman"/>
        </w:rPr>
        <w:t xml:space="preserve"> L’affaire à rebondissement des Chalets jumeaux "CE, 10 mars 2023, n° 464816 et n° 464830, </w:t>
      </w:r>
      <w:proofErr w:type="spellStart"/>
      <w:r w:rsidRPr="00B50A6E">
        <w:rPr>
          <w:rFonts w:ascii="Times New Roman" w:hAnsi="Times New Roman"/>
        </w:rPr>
        <w:t>Cne</w:t>
      </w:r>
      <w:proofErr w:type="spellEnd"/>
      <w:r w:rsidRPr="00B50A6E">
        <w:rPr>
          <w:rFonts w:ascii="Times New Roman" w:hAnsi="Times New Roman"/>
        </w:rPr>
        <w:t xml:space="preserve"> Ramatuelle : "</w:t>
      </w:r>
    </w:p>
    <w:p w:rsidR="00B50A6E" w:rsidRPr="00B50A6E" w:rsidRDefault="00B50A6E" w:rsidP="00B50A6E">
      <w:pPr>
        <w:numPr>
          <w:ilvl w:val="4"/>
          <w:numId w:val="1"/>
        </w:numPr>
        <w:jc w:val="both"/>
        <w:rPr>
          <w:rFonts w:ascii="Times New Roman" w:hAnsi="Times New Roman"/>
        </w:rPr>
      </w:pPr>
      <w:r w:rsidRPr="00B50A6E">
        <w:rPr>
          <w:rFonts w:ascii="Times New Roman" w:hAnsi="Times New Roman"/>
        </w:rPr>
        <w:t>Mais les concessions de plage sont qualifiées de concessions attribués pour les besoins du service public balnéaire (CG3P, art. R.2124-31 issu d’un décret du 26 mai 2006 entérinant la solution de CE 21 juin 2000 La plage de chez Joseph)</w:t>
      </w:r>
    </w:p>
    <w:p w:rsidR="00B50A6E" w:rsidRPr="00B50A6E" w:rsidRDefault="00B50A6E" w:rsidP="00B50A6E">
      <w:pPr>
        <w:numPr>
          <w:ilvl w:val="5"/>
          <w:numId w:val="1"/>
        </w:numPr>
        <w:jc w:val="both"/>
        <w:rPr>
          <w:rFonts w:ascii="Times New Roman" w:hAnsi="Times New Roman"/>
        </w:rPr>
      </w:pPr>
      <w:r w:rsidRPr="00B50A6E">
        <w:rPr>
          <w:rFonts w:ascii="Times New Roman" w:hAnsi="Times New Roman"/>
        </w:rPr>
        <w:t xml:space="preserve"> </w:t>
      </w:r>
      <w:proofErr w:type="gramStart"/>
      <w:r w:rsidRPr="00B50A6E">
        <w:rPr>
          <w:rFonts w:ascii="Times New Roman" w:hAnsi="Times New Roman"/>
        </w:rPr>
        <w:t>et</w:t>
      </w:r>
      <w:proofErr w:type="gramEnd"/>
      <w:r w:rsidRPr="00B50A6E">
        <w:rPr>
          <w:rFonts w:ascii="Times New Roman" w:hAnsi="Times New Roman"/>
        </w:rPr>
        <w:t xml:space="preserve"> les sous-concessions sont en conséquence soumises aux obligations de publicité et de transparence prévues pour les DSP par le CGCT (CG3P, art. R2124-31)</w:t>
      </w:r>
    </w:p>
    <w:p w:rsidR="00B50A6E" w:rsidRPr="00B50A6E" w:rsidRDefault="00B50A6E" w:rsidP="00B50A6E">
      <w:pPr>
        <w:numPr>
          <w:ilvl w:val="5"/>
          <w:numId w:val="1"/>
        </w:numPr>
        <w:jc w:val="both"/>
        <w:rPr>
          <w:rFonts w:ascii="Times New Roman" w:hAnsi="Times New Roman"/>
        </w:rPr>
      </w:pPr>
      <w:r w:rsidRPr="00B50A6E">
        <w:rPr>
          <w:rFonts w:ascii="Times New Roman" w:hAnsi="Times New Roman"/>
        </w:rPr>
        <w:t>A moins que la sous-concession n’est pas pour objet l’exploitation du service public balnéaire mais par exemple : l’exploitation d’un restaurant ou la mise à disposition de matériel</w:t>
      </w:r>
    </w:p>
    <w:p w:rsidR="00B50A6E" w:rsidRPr="00B50A6E" w:rsidRDefault="00B50A6E" w:rsidP="00AD1571">
      <w:pPr>
        <w:numPr>
          <w:ilvl w:val="2"/>
          <w:numId w:val="1"/>
        </w:numPr>
        <w:jc w:val="both"/>
        <w:rPr>
          <w:rFonts w:ascii="Times New Roman" w:hAnsi="Times New Roman" w:cs="Times New Roman"/>
        </w:rPr>
      </w:pPr>
      <w:r w:rsidRPr="00B50A6E">
        <w:rPr>
          <w:rFonts w:ascii="Times New Roman" w:hAnsi="Times New Roman"/>
        </w:rPr>
        <w:t xml:space="preserve"> </w:t>
      </w:r>
      <w:r w:rsidRPr="00B50A6E">
        <w:rPr>
          <w:rFonts w:ascii="Times New Roman" w:hAnsi="Times New Roman" w:cs="Times New Roman"/>
        </w:rPr>
        <w:t xml:space="preserve">Mais que penser du cas d’un occupant délégataire d’une mission de service public ? </w:t>
      </w:r>
    </w:p>
    <w:p w:rsidR="00B50A6E" w:rsidRPr="00B50A6E" w:rsidRDefault="00AD1571" w:rsidP="00AD1571">
      <w:pPr>
        <w:keepNext/>
        <w:keepLines/>
        <w:spacing w:before="40" w:after="0"/>
        <w:outlineLvl w:val="2"/>
        <w:rPr>
          <w:rFonts w:ascii="Times New Roman" w:eastAsiaTheme="majorEastAsia" w:hAnsi="Times New Roman" w:cs="Times New Roman"/>
          <w:color w:val="2E74B5" w:themeColor="accent1" w:themeShade="BF"/>
        </w:rPr>
      </w:pPr>
      <w:r>
        <w:rPr>
          <w:rFonts w:ascii="Times New Roman" w:eastAsiaTheme="majorEastAsia" w:hAnsi="Times New Roman" w:cs="Times New Roman"/>
          <w:color w:val="2E74B5" w:themeColor="accent1" w:themeShade="BF"/>
        </w:rPr>
        <w:lastRenderedPageBreak/>
        <w:t xml:space="preserve">SECTION 2 ; </w:t>
      </w:r>
      <w:r w:rsidRPr="00B50A6E">
        <w:rPr>
          <w:rFonts w:ascii="Times New Roman" w:eastAsiaTheme="majorEastAsia" w:hAnsi="Times New Roman" w:cs="Times New Roman"/>
          <w:color w:val="2E74B5" w:themeColor="accent1" w:themeShade="BF"/>
        </w:rPr>
        <w:t>LES DROITS DU SOUS-OCCUPANT PENDANT LA DUREE DU CONTRAT DE SOUS-CONCESSION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Ils dépendent de la nature juridique du sous-titre d’occupation et des droits préalablement consentis à l’occupant principal</w:t>
      </w:r>
    </w:p>
    <w:p w:rsidR="00B50A6E" w:rsidRPr="00B50A6E" w:rsidRDefault="00AD1571" w:rsidP="00AD1571">
      <w:pPr>
        <w:keepNext/>
        <w:keepLines/>
        <w:spacing w:before="40" w:after="0"/>
        <w:outlineLvl w:val="3"/>
        <w:rPr>
          <w:rFonts w:ascii="Times New Roman" w:eastAsiaTheme="majorEastAsia" w:hAnsi="Times New Roman" w:cs="Times New Roman"/>
          <w:color w:val="2E74B5" w:themeColor="accent1" w:themeShade="BF"/>
        </w:rPr>
      </w:pPr>
      <w:r>
        <w:rPr>
          <w:rFonts w:ascii="Times New Roman" w:eastAsiaTheme="majorEastAsia" w:hAnsi="Times New Roman" w:cs="Times New Roman"/>
          <w:color w:val="2E74B5" w:themeColor="accent1" w:themeShade="BF"/>
        </w:rPr>
        <w:t>§1</w:t>
      </w:r>
      <w:r w:rsidR="00B50A6E" w:rsidRPr="00B50A6E">
        <w:rPr>
          <w:rFonts w:ascii="Times New Roman" w:eastAsiaTheme="majorEastAsia" w:hAnsi="Times New Roman" w:cs="Times New Roman"/>
          <w:color w:val="2E74B5" w:themeColor="accent1" w:themeShade="BF"/>
        </w:rPr>
        <w:t>. La nature juridique duale des sous-titre d’occupation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Quelle est la nature juridique d’un contrat de sous-occupation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Selon l’article L. 2331-1 du CGPPP – reprenant l’article 1er du décret-loi du 17 juin 1938 –, les contrats d’occupation du domaine public conclus par les « personnes publiques ou leurs concessionnaires » relèvent de la compétence du juge administratif. Par détermination de la loi, il était donc possible de soutenir que toutes les conventions de sous-occupation du domaine public – indépendamment de la nature juridique des parties au contrat – sont des contrats administratifs.</w:t>
      </w:r>
    </w:p>
    <w:p w:rsidR="00B50A6E" w:rsidRPr="00B50A6E" w:rsidRDefault="00B50A6E" w:rsidP="00B50A6E">
      <w:pPr>
        <w:rPr>
          <w:color w:val="FF0000"/>
        </w:rPr>
      </w:pPr>
      <w:r w:rsidRPr="00B50A6E">
        <w:rPr>
          <w:rFonts w:ascii="Times New Roman" w:hAnsi="Times New Roman" w:cs="Times New Roman"/>
        </w:rPr>
        <w:t>•</w:t>
      </w:r>
      <w:r w:rsidRPr="00B50A6E">
        <w:rPr>
          <w:rFonts w:ascii="Times New Roman" w:hAnsi="Times New Roman" w:cs="Times New Roman"/>
        </w:rPr>
        <w:tab/>
        <w:t xml:space="preserve">Pourtant, le Tribunal des conflits a interprété de façon restrictive la notion de concessionnaire, en limitant sa portée aux seuls occupants en charge d’une mission de service </w:t>
      </w:r>
      <w:proofErr w:type="gramStart"/>
      <w:r w:rsidRPr="00B50A6E">
        <w:rPr>
          <w:rFonts w:ascii="Times New Roman" w:hAnsi="Times New Roman" w:cs="Times New Roman"/>
        </w:rPr>
        <w:t xml:space="preserve">public </w:t>
      </w:r>
      <w:r w:rsidRPr="00B50A6E">
        <w:rPr>
          <w:color w:val="FF0000"/>
        </w:rPr>
        <w:t>.</w:t>
      </w:r>
      <w:proofErr w:type="gramEnd"/>
      <w:r w:rsidRPr="00B50A6E">
        <w:rPr>
          <w:color w:val="FF0000"/>
        </w:rPr>
        <w:tab/>
        <w:t xml:space="preserve">T. </w:t>
      </w:r>
      <w:proofErr w:type="spellStart"/>
      <w:r w:rsidRPr="00B50A6E">
        <w:rPr>
          <w:color w:val="FF0000"/>
        </w:rPr>
        <w:t>confl</w:t>
      </w:r>
      <w:proofErr w:type="spellEnd"/>
      <w:r w:rsidRPr="00B50A6E">
        <w:rPr>
          <w:color w:val="FF0000"/>
        </w:rPr>
        <w:t>., 10 juill. 1956, Sté des Steeple-chases de France : Lebon, p. 587 ;</w:t>
      </w:r>
    </w:p>
    <w:p w:rsidR="00B50A6E" w:rsidRPr="00B50A6E" w:rsidRDefault="00B50A6E" w:rsidP="00B50A6E">
      <w:pPr>
        <w:rPr>
          <w:color w:val="FF0000"/>
        </w:rPr>
      </w:pPr>
      <w:r w:rsidRPr="00B50A6E">
        <w:rPr>
          <w:color w:val="FF0000"/>
        </w:rPr>
        <w:t xml:space="preserve"> TC 14 mai 2012, Madame Gilles c/ Sté d’exploitation et événements de Paris : </w:t>
      </w:r>
    </w:p>
    <w:p w:rsidR="00B50A6E" w:rsidRPr="00B50A6E" w:rsidRDefault="00B50A6E" w:rsidP="00B50A6E">
      <w:pPr>
        <w:rPr>
          <w:color w:val="FF0000"/>
        </w:rPr>
      </w:pPr>
      <w:r w:rsidRPr="00B50A6E">
        <w:rPr>
          <w:color w:val="FF0000"/>
        </w:rPr>
        <w:t xml:space="preserve">Considérant que, par convention du 27 août 1990 et avenant du 28 avril 1994, la ville de Paris a confié la gestion du stade du Parc des Princes et de ses abords à la Société d'exploitation sports et événements (la S.E.S.E.) ; que cette dernière a conclu le 26 janvier 1994 avec la société Coquelicot promotion, dont la gérante était Mme Gilles une convention l'autorisant à installer dans le stade et à ses abords des points de vente de produits dérivés des manifestations sportives et lui conférant l'exclusivité de la vente de ces produits ; que la S.E.S.E. a mis fin à cette convention avant le terme prévu ; que Mme A...et </w:t>
      </w:r>
      <w:proofErr w:type="spellStart"/>
      <w:r w:rsidRPr="00B50A6E">
        <w:rPr>
          <w:color w:val="FF0000"/>
        </w:rPr>
        <w:t>MmeB</w:t>
      </w:r>
      <w:proofErr w:type="spellEnd"/>
      <w:r w:rsidRPr="00B50A6E">
        <w:rPr>
          <w:color w:val="FF0000"/>
        </w:rPr>
        <w:t>..., mandataire liquidateur de la société Coquelicot promotion, ont devant le juge administratif recherché la responsabilité de la S.E.S.E. dans la résiliation du contrat du 26 janvier 1994 garantissant à la société Coquelicot promotion l'exclusivité de la vente des produits dérivés ;</w:t>
      </w:r>
    </w:p>
    <w:p w:rsidR="00B50A6E" w:rsidRPr="00B50A6E" w:rsidRDefault="00B50A6E" w:rsidP="00B50A6E">
      <w:pPr>
        <w:tabs>
          <w:tab w:val="num" w:pos="720"/>
        </w:tabs>
        <w:ind w:left="720" w:hanging="360"/>
        <w:jc w:val="both"/>
        <w:rPr>
          <w:rFonts w:ascii="Times New Roman" w:hAnsi="Times New Roman"/>
        </w:rPr>
      </w:pPr>
      <w:r w:rsidRPr="00B50A6E">
        <w:rPr>
          <w:rFonts w:ascii="Times New Roman" w:hAnsi="Times New Roman"/>
        </w:rPr>
        <w:t xml:space="preserve">Ainsi, seuls les contrats d’occupation du domaine public conclus par les concessionnaires – publics ou privés – de service public avec des sous-occupants du domaine public sont qualifiés d’administratifs, et relèveront de la compétence administrative, par détermination législative. </w:t>
      </w:r>
    </w:p>
    <w:p w:rsidR="00B50A6E" w:rsidRPr="00B50A6E" w:rsidRDefault="00B50A6E" w:rsidP="00B50A6E">
      <w:pPr>
        <w:tabs>
          <w:tab w:val="num" w:pos="720"/>
        </w:tabs>
        <w:ind w:left="720" w:hanging="360"/>
        <w:jc w:val="both"/>
        <w:rPr>
          <w:rFonts w:ascii="Times New Roman" w:hAnsi="Times New Roman"/>
        </w:rPr>
      </w:pPr>
      <w:r w:rsidRPr="00B50A6E">
        <w:rPr>
          <w:rFonts w:ascii="Times New Roman" w:hAnsi="Times New Roman"/>
        </w:rPr>
        <w:t>Les autres conventions de sous-occupation du domaine public seront, en principe, des contrats de droit privé.</w:t>
      </w:r>
    </w:p>
    <w:p w:rsidR="00B50A6E" w:rsidRPr="00B50A6E" w:rsidRDefault="00AD1571" w:rsidP="00AD1571">
      <w:pPr>
        <w:keepNext/>
        <w:keepLines/>
        <w:spacing w:before="40" w:after="0"/>
        <w:outlineLvl w:val="3"/>
        <w:rPr>
          <w:rFonts w:ascii="Times New Roman" w:eastAsiaTheme="majorEastAsia" w:hAnsi="Times New Roman" w:cs="Times New Roman"/>
          <w:color w:val="2E74B5" w:themeColor="accent1" w:themeShade="BF"/>
        </w:rPr>
      </w:pPr>
      <w:r>
        <w:rPr>
          <w:rFonts w:ascii="Times New Roman" w:eastAsiaTheme="majorEastAsia" w:hAnsi="Times New Roman" w:cs="Times New Roman"/>
          <w:color w:val="2E74B5" w:themeColor="accent1" w:themeShade="BF"/>
        </w:rPr>
        <w:t>§ 2</w:t>
      </w:r>
      <w:r w:rsidR="00B50A6E" w:rsidRPr="00B50A6E">
        <w:rPr>
          <w:rFonts w:ascii="Times New Roman" w:eastAsiaTheme="majorEastAsia" w:hAnsi="Times New Roman" w:cs="Times New Roman"/>
          <w:color w:val="2E74B5" w:themeColor="accent1" w:themeShade="BF"/>
        </w:rPr>
        <w:t>. Des droits dépendant du titre d’occupation principal</w:t>
      </w:r>
    </w:p>
    <w:p w:rsidR="00B50A6E" w:rsidRPr="00B50A6E" w:rsidRDefault="00B50A6E" w:rsidP="00B50A6E">
      <w:pPr>
        <w:spacing w:before="120" w:after="240"/>
        <w:jc w:val="both"/>
        <w:rPr>
          <w:rFonts w:ascii="Times New Roman" w:hAnsi="Times New Roman" w:cs="Times New Roman"/>
        </w:rPr>
      </w:pP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L’occupant principal ne peut consentir au sous-occupant plus de droits qu’il n’en a.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Ce principe a plusieurs conséquences</w:t>
      </w:r>
    </w:p>
    <w:p w:rsidR="00B50A6E" w:rsidRPr="00B50A6E" w:rsidRDefault="00AD1571" w:rsidP="00AD1571">
      <w:pPr>
        <w:keepNext/>
        <w:keepLines/>
        <w:spacing w:before="40" w:after="0"/>
        <w:outlineLvl w:val="4"/>
        <w:rPr>
          <w:rFonts w:ascii="Times New Roman" w:eastAsiaTheme="majorEastAsia" w:hAnsi="Times New Roman" w:cs="Times New Roman"/>
          <w:color w:val="1F4D78" w:themeColor="accent1" w:themeShade="7F"/>
        </w:rPr>
      </w:pPr>
      <w:r>
        <w:rPr>
          <w:rFonts w:ascii="Times New Roman" w:eastAsiaTheme="majorEastAsia" w:hAnsi="Times New Roman" w:cs="Times New Roman"/>
          <w:color w:val="1F4D78" w:themeColor="accent1" w:themeShade="7F"/>
        </w:rPr>
        <w:t>A.</w:t>
      </w:r>
      <w:r w:rsidRPr="00B50A6E">
        <w:rPr>
          <w:rFonts w:ascii="Times New Roman" w:eastAsiaTheme="majorEastAsia" w:hAnsi="Times New Roman" w:cs="Times New Roman"/>
          <w:color w:val="1F4D78" w:themeColor="accent1" w:themeShade="7F"/>
        </w:rPr>
        <w:t xml:space="preserve"> LA DUREE DE LA SOUS-CONCESSION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Le délai de sous-</w:t>
      </w:r>
      <w:proofErr w:type="gramStart"/>
      <w:r w:rsidRPr="00B50A6E">
        <w:rPr>
          <w:rFonts w:ascii="Times New Roman" w:hAnsi="Times New Roman" w:cs="Times New Roman"/>
        </w:rPr>
        <w:t>occupation  est</w:t>
      </w:r>
      <w:proofErr w:type="gramEnd"/>
      <w:r w:rsidRPr="00B50A6E">
        <w:rPr>
          <w:rFonts w:ascii="Times New Roman" w:hAnsi="Times New Roman" w:cs="Times New Roman"/>
        </w:rPr>
        <w:t xml:space="preserve"> enfermé à l’intérieur du délai d’occupation autorisé par le titre initial ; la durée du premier ne pouvant excéder celle du second </w:t>
      </w:r>
    </w:p>
    <w:p w:rsidR="00B50A6E" w:rsidRPr="00B50A6E" w:rsidRDefault="00B50A6E" w:rsidP="00B50A6E">
      <w:pPr>
        <w:tabs>
          <w:tab w:val="num" w:pos="720"/>
        </w:tabs>
        <w:ind w:left="720" w:hanging="360"/>
        <w:jc w:val="both"/>
        <w:rPr>
          <w:rFonts w:ascii="Times New Roman" w:hAnsi="Times New Roman"/>
        </w:rPr>
      </w:pPr>
      <w:r w:rsidRPr="00B50A6E">
        <w:rPr>
          <w:rFonts w:ascii="Times New Roman" w:hAnsi="Times New Roman"/>
        </w:rPr>
        <w:t xml:space="preserve">Une exception à cette règle existe néanmoins lorsque l’occupant principal est titulaire d’un contrat de concession. </w:t>
      </w:r>
    </w:p>
    <w:p w:rsidR="00B50A6E" w:rsidRPr="00B50A6E" w:rsidRDefault="00B50A6E" w:rsidP="00B50A6E">
      <w:pPr>
        <w:numPr>
          <w:ilvl w:val="0"/>
          <w:numId w:val="4"/>
        </w:numPr>
        <w:spacing w:before="120" w:after="240"/>
        <w:ind w:left="708"/>
        <w:contextualSpacing/>
        <w:jc w:val="both"/>
        <w:rPr>
          <w:rFonts w:ascii="Times New Roman" w:hAnsi="Times New Roman" w:cs="Times New Roman"/>
        </w:rPr>
      </w:pPr>
      <w:r w:rsidRPr="00B50A6E">
        <w:rPr>
          <w:rFonts w:ascii="Times New Roman" w:hAnsi="Times New Roman" w:cs="Times New Roman"/>
        </w:rPr>
        <w:lastRenderedPageBreak/>
        <w:t xml:space="preserve">L’article L. 3132- 3 du code de la commande publique dispose en effet que « le concessionnaire peut être autorisé, avec l’accord expressément formulé de l’autorité concédante, à conclure des baux ou droits réels d’une durée excédant celle du contrat de concession ». </w:t>
      </w:r>
    </w:p>
    <w:p w:rsidR="00B50A6E" w:rsidRPr="00B50A6E" w:rsidRDefault="00B50A6E" w:rsidP="00B50A6E">
      <w:pPr>
        <w:numPr>
          <w:ilvl w:val="0"/>
          <w:numId w:val="4"/>
        </w:numPr>
        <w:spacing w:before="120" w:after="240"/>
        <w:ind w:left="708"/>
        <w:contextualSpacing/>
        <w:jc w:val="both"/>
        <w:rPr>
          <w:rFonts w:ascii="Times New Roman" w:hAnsi="Times New Roman" w:cs="Times New Roman"/>
        </w:rPr>
      </w:pPr>
      <w:r w:rsidRPr="00B50A6E">
        <w:rPr>
          <w:rFonts w:ascii="Times New Roman" w:hAnsi="Times New Roman"/>
        </w:rPr>
        <w:t>Cette exception se justifie par le transfert des titres de sous- occupation à l’autorité concédante</w:t>
      </w:r>
      <w:r w:rsidRPr="00B50A6E">
        <w:rPr>
          <w:rFonts w:ascii="Times New Roman" w:hAnsi="Times New Roman" w:cs="Times New Roman"/>
        </w:rPr>
        <w:t xml:space="preserve"> à l’expiration du titre d’occupation principal 27. </w:t>
      </w:r>
    </w:p>
    <w:p w:rsidR="00B50A6E" w:rsidRPr="00B50A6E" w:rsidRDefault="00B50A6E" w:rsidP="00B50A6E">
      <w:pPr>
        <w:numPr>
          <w:ilvl w:val="1"/>
          <w:numId w:val="2"/>
        </w:numPr>
        <w:spacing w:before="120" w:after="240"/>
        <w:contextualSpacing/>
        <w:jc w:val="both"/>
        <w:rPr>
          <w:rFonts w:ascii="Times New Roman" w:hAnsi="Times New Roman" w:cs="Times New Roman"/>
        </w:rPr>
      </w:pPr>
      <w:r w:rsidRPr="00B50A6E">
        <w:rPr>
          <w:rFonts w:ascii="Times New Roman" w:hAnsi="Times New Roman" w:cs="Times New Roman"/>
        </w:rPr>
        <w:t>Le contrat de concession doit alors expressément prévoir la possibilité pour le concessionnaire de délivrer un titre de sous-occupation dont la durée excède celle du contrat de concession.</w:t>
      </w:r>
    </w:p>
    <w:p w:rsidR="00B50A6E" w:rsidRPr="00B50A6E" w:rsidRDefault="00AD1571" w:rsidP="00AD1571">
      <w:pPr>
        <w:keepNext/>
        <w:keepLines/>
        <w:spacing w:before="40" w:after="0"/>
        <w:outlineLvl w:val="4"/>
        <w:rPr>
          <w:rFonts w:ascii="Times New Roman" w:eastAsiaTheme="majorEastAsia" w:hAnsi="Times New Roman" w:cs="Times New Roman"/>
          <w:color w:val="1F4D78" w:themeColor="accent1" w:themeShade="7F"/>
        </w:rPr>
      </w:pPr>
      <w:r>
        <w:rPr>
          <w:rFonts w:ascii="Times New Roman" w:eastAsiaTheme="majorEastAsia" w:hAnsi="Times New Roman" w:cs="Times New Roman"/>
          <w:color w:val="1F4D78" w:themeColor="accent1" w:themeShade="7F"/>
        </w:rPr>
        <w:t>B.</w:t>
      </w:r>
      <w:r w:rsidRPr="00B50A6E">
        <w:rPr>
          <w:rFonts w:ascii="Times New Roman" w:eastAsiaTheme="majorEastAsia" w:hAnsi="Times New Roman" w:cs="Times New Roman"/>
          <w:color w:val="1F4D78" w:themeColor="accent1" w:themeShade="7F"/>
        </w:rPr>
        <w:t xml:space="preserve"> LE MONTANT DE LA REDEVANCE</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Le montant de la redevance de sous-occupation est lié au montant de la redevance principale</w:t>
      </w:r>
    </w:p>
    <w:p w:rsidR="00B50A6E" w:rsidRPr="00B50A6E" w:rsidRDefault="00B50A6E" w:rsidP="00B50A6E">
      <w:pPr>
        <w:numPr>
          <w:ilvl w:val="0"/>
          <w:numId w:val="5"/>
        </w:numPr>
        <w:spacing w:before="120" w:after="240"/>
        <w:contextualSpacing/>
        <w:jc w:val="both"/>
        <w:rPr>
          <w:rFonts w:ascii="Times New Roman" w:hAnsi="Times New Roman" w:cs="Times New Roman"/>
        </w:rPr>
      </w:pPr>
      <w:r w:rsidRPr="00B50A6E">
        <w:rPr>
          <w:rFonts w:ascii="Times New Roman" w:hAnsi="Times New Roman" w:cs="Times New Roman"/>
        </w:rPr>
        <w:t>Si l’occupant principal est libre du montant de la sous-redevance. Cependant l’Administration doit tenir compte des bénéfices susceptibles d’être perçus par l’occupant au titre des sous-locations qu’il consent afin d’en tirer les conséquences sur le montant de la redevance domaniale 28. Cette dernière peut d’ailleurs être modulée « à la hausse » en cas de spéculation sur le prix de la sous-occupation domaniale.</w:t>
      </w:r>
    </w:p>
    <w:p w:rsidR="00B50A6E" w:rsidRDefault="00AD1571" w:rsidP="00775265">
      <w:pPr>
        <w:keepNext/>
        <w:keepLines/>
        <w:spacing w:before="40" w:after="0"/>
        <w:outlineLvl w:val="5"/>
        <w:rPr>
          <w:rFonts w:ascii="Times New Roman" w:eastAsiaTheme="majorEastAsia" w:hAnsi="Times New Roman" w:cs="Times New Roman"/>
          <w:color w:val="1F4D78" w:themeColor="accent1" w:themeShade="7F"/>
        </w:rPr>
      </w:pPr>
      <w:r>
        <w:rPr>
          <w:rFonts w:ascii="Times New Roman" w:eastAsiaTheme="majorEastAsia" w:hAnsi="Times New Roman" w:cs="Times New Roman"/>
          <w:color w:val="1F4D78" w:themeColor="accent1" w:themeShade="7F"/>
        </w:rPr>
        <w:t>C.</w:t>
      </w:r>
      <w:r w:rsidRPr="00B50A6E">
        <w:rPr>
          <w:rFonts w:ascii="Times New Roman" w:eastAsiaTheme="majorEastAsia" w:hAnsi="Times New Roman" w:cs="Times New Roman"/>
          <w:color w:val="1F4D78" w:themeColor="accent1" w:themeShade="7F"/>
        </w:rPr>
        <w:t xml:space="preserve"> </w:t>
      </w:r>
      <w:r w:rsidR="00775265">
        <w:rPr>
          <w:rFonts w:ascii="Times New Roman" w:eastAsiaTheme="majorEastAsia" w:hAnsi="Times New Roman" w:cs="Times New Roman"/>
          <w:color w:val="1F4D78" w:themeColor="accent1" w:themeShade="7F"/>
        </w:rPr>
        <w:t>LA PROPRIETE DES BIENS EDIFIES SUR LE DOMAINE PUBLIC</w:t>
      </w:r>
    </w:p>
    <w:p w:rsidR="00775265" w:rsidRDefault="00775265" w:rsidP="00775265">
      <w:pPr>
        <w:keepNext/>
        <w:keepLines/>
        <w:spacing w:before="40" w:after="0"/>
        <w:outlineLvl w:val="4"/>
        <w:rPr>
          <w:rFonts w:ascii="Times New Roman" w:eastAsiaTheme="majorEastAsia" w:hAnsi="Times New Roman" w:cs="Times New Roman"/>
          <w:color w:val="1F4D78" w:themeColor="accent1" w:themeShade="7F"/>
        </w:rPr>
      </w:pPr>
      <w:r w:rsidRPr="00775265">
        <w:rPr>
          <w:rFonts w:ascii="Times New Roman" w:eastAsiaTheme="majorEastAsia" w:hAnsi="Times New Roman" w:cs="Times New Roman"/>
          <w:color w:val="1F4D78" w:themeColor="accent1" w:themeShade="7F"/>
        </w:rPr>
        <w:t xml:space="preserve">Les difficultés juridiques concernent en fait le cas </w:t>
      </w:r>
      <w:proofErr w:type="gramStart"/>
      <w:r w:rsidRPr="00775265">
        <w:rPr>
          <w:rFonts w:ascii="Times New Roman" w:eastAsiaTheme="majorEastAsia" w:hAnsi="Times New Roman" w:cs="Times New Roman"/>
          <w:color w:val="1F4D78" w:themeColor="accent1" w:themeShade="7F"/>
        </w:rPr>
        <w:t>où  le</w:t>
      </w:r>
      <w:proofErr w:type="gramEnd"/>
      <w:r w:rsidRPr="00775265">
        <w:rPr>
          <w:rFonts w:ascii="Times New Roman" w:eastAsiaTheme="majorEastAsia" w:hAnsi="Times New Roman" w:cs="Times New Roman"/>
          <w:color w:val="1F4D78" w:themeColor="accent1" w:themeShade="7F"/>
        </w:rPr>
        <w:t xml:space="preserve"> sous-occupant peut être amené à édifier des biens sur le domaine public. </w:t>
      </w:r>
    </w:p>
    <w:p w:rsidR="00775265" w:rsidRPr="00775265" w:rsidRDefault="00775265" w:rsidP="00775265">
      <w:pPr>
        <w:keepNext/>
        <w:keepLines/>
        <w:spacing w:before="40" w:after="0"/>
        <w:outlineLvl w:val="4"/>
        <w:rPr>
          <w:rFonts w:ascii="Times New Roman" w:eastAsiaTheme="majorEastAsia" w:hAnsi="Times New Roman" w:cs="Times New Roman"/>
          <w:color w:val="1F4D78" w:themeColor="accent1" w:themeShade="7F"/>
        </w:rPr>
      </w:pPr>
      <w:r>
        <w:rPr>
          <w:rFonts w:ascii="Times New Roman" w:eastAsiaTheme="majorEastAsia" w:hAnsi="Times New Roman" w:cs="Times New Roman"/>
          <w:color w:val="1F4D78" w:themeColor="accent1" w:themeShade="7F"/>
        </w:rPr>
        <w:t xml:space="preserve">La question est de savoir alors </w:t>
      </w:r>
      <w:r w:rsidRPr="00775265">
        <w:rPr>
          <w:rFonts w:ascii="Times New Roman" w:eastAsiaTheme="majorEastAsia" w:hAnsi="Times New Roman" w:cs="Times New Roman"/>
          <w:color w:val="1F4D78" w:themeColor="accent1" w:themeShade="7F"/>
        </w:rPr>
        <w:t>comment concilier les principes de la domanialité publique et les stipulations de la co</w:t>
      </w:r>
      <w:r>
        <w:rPr>
          <w:rFonts w:ascii="Times New Roman" w:eastAsiaTheme="majorEastAsia" w:hAnsi="Times New Roman" w:cs="Times New Roman"/>
          <w:color w:val="1F4D78" w:themeColor="accent1" w:themeShade="7F"/>
        </w:rPr>
        <w:t>nvention de sous-occupation ?</w:t>
      </w:r>
    </w:p>
    <w:p w:rsidR="00775265" w:rsidRPr="00775265" w:rsidRDefault="00775265" w:rsidP="00775265">
      <w:pPr>
        <w:keepNext/>
        <w:keepLines/>
        <w:spacing w:before="40" w:after="0"/>
        <w:outlineLvl w:val="4"/>
        <w:rPr>
          <w:rFonts w:ascii="Times New Roman" w:eastAsiaTheme="majorEastAsia" w:hAnsi="Times New Roman" w:cs="Times New Roman"/>
          <w:color w:val="1F4D78" w:themeColor="accent1" w:themeShade="7F"/>
        </w:rPr>
      </w:pPr>
      <w:r w:rsidRPr="00775265">
        <w:rPr>
          <w:rFonts w:ascii="Times New Roman" w:eastAsiaTheme="majorEastAsia" w:hAnsi="Times New Roman" w:cs="Times New Roman"/>
          <w:color w:val="1F4D78" w:themeColor="accent1" w:themeShade="7F"/>
        </w:rPr>
        <w:t xml:space="preserve">Par l’arrêt Société </w:t>
      </w:r>
      <w:proofErr w:type="spellStart"/>
      <w:r w:rsidRPr="00775265">
        <w:rPr>
          <w:rFonts w:ascii="Times New Roman" w:eastAsiaTheme="majorEastAsia" w:hAnsi="Times New Roman" w:cs="Times New Roman"/>
          <w:color w:val="1F4D78" w:themeColor="accent1" w:themeShade="7F"/>
        </w:rPr>
        <w:t>Carilis</w:t>
      </w:r>
      <w:proofErr w:type="spellEnd"/>
      <w:r w:rsidRPr="00775265">
        <w:rPr>
          <w:rFonts w:ascii="Times New Roman" w:eastAsiaTheme="majorEastAsia" w:hAnsi="Times New Roman" w:cs="Times New Roman"/>
          <w:color w:val="1F4D78" w:themeColor="accent1" w:themeShade="7F"/>
        </w:rPr>
        <w:t>, la cour administrative d’appel de Marseille a donné quelques éléments de réponse 37. 37.</w:t>
      </w:r>
      <w:r w:rsidRPr="00775265">
        <w:rPr>
          <w:rFonts w:ascii="Times New Roman" w:eastAsiaTheme="majorEastAsia" w:hAnsi="Times New Roman" w:cs="Times New Roman"/>
          <w:color w:val="1F4D78" w:themeColor="accent1" w:themeShade="7F"/>
        </w:rPr>
        <w:tab/>
        <w:t xml:space="preserve">CAA Marseille, 15 mai 2017, n° 16MA04042 : JCP A 2017, 2182, note Chr. Roux. </w:t>
      </w:r>
      <w:r w:rsidRPr="00775265">
        <w:rPr>
          <w:rFonts w:ascii="Cambria Math" w:eastAsiaTheme="majorEastAsia" w:hAnsi="Cambria Math" w:cs="Cambria Math"/>
          <w:color w:val="1F4D78" w:themeColor="accent1" w:themeShade="7F"/>
        </w:rPr>
        <w:t>↩</w:t>
      </w:r>
      <w:r w:rsidRPr="00775265">
        <w:rPr>
          <w:rFonts w:ascii="Times New Roman" w:eastAsiaTheme="majorEastAsia" w:hAnsi="Times New Roman" w:cs="Times New Roman"/>
          <w:color w:val="1F4D78" w:themeColor="accent1" w:themeShade="7F"/>
        </w:rPr>
        <w:t>︎</w:t>
      </w:r>
    </w:p>
    <w:p w:rsidR="00775265" w:rsidRPr="00775265" w:rsidRDefault="00775265" w:rsidP="00775265">
      <w:pPr>
        <w:keepNext/>
        <w:keepLines/>
        <w:spacing w:before="40" w:after="0"/>
        <w:outlineLvl w:val="4"/>
        <w:rPr>
          <w:rFonts w:ascii="Times New Roman" w:eastAsiaTheme="majorEastAsia" w:hAnsi="Times New Roman" w:cs="Times New Roman"/>
          <w:color w:val="1F4D78" w:themeColor="accent1" w:themeShade="7F"/>
        </w:rPr>
      </w:pPr>
      <w:r w:rsidRPr="00775265">
        <w:rPr>
          <w:rFonts w:ascii="Times New Roman" w:eastAsiaTheme="majorEastAsia" w:hAnsi="Times New Roman" w:cs="Times New Roman"/>
          <w:color w:val="1F4D78" w:themeColor="accent1" w:themeShade="7F"/>
        </w:rPr>
        <w:t>•</w:t>
      </w:r>
      <w:r w:rsidRPr="00775265">
        <w:rPr>
          <w:rFonts w:ascii="Times New Roman" w:eastAsiaTheme="majorEastAsia" w:hAnsi="Times New Roman" w:cs="Times New Roman"/>
          <w:color w:val="1F4D78" w:themeColor="accent1" w:themeShade="7F"/>
        </w:rPr>
        <w:tab/>
        <w:t>D’une part, le juge y étend le régime juridique des biens de retour aux biens construits par le sous-occupant du domaine public lorsque ce dernier s’est vu confier – par subdélégation – une partie des missions de service public gérées par l’occupant principal.</w:t>
      </w:r>
    </w:p>
    <w:p w:rsidR="00775265" w:rsidRDefault="00775265" w:rsidP="00775265">
      <w:pPr>
        <w:keepNext/>
        <w:keepLines/>
        <w:spacing w:before="40" w:after="0"/>
        <w:outlineLvl w:val="4"/>
        <w:rPr>
          <w:rFonts w:ascii="Times New Roman" w:eastAsiaTheme="majorEastAsia" w:hAnsi="Times New Roman" w:cs="Times New Roman"/>
          <w:color w:val="1F4D78" w:themeColor="accent1" w:themeShade="7F"/>
        </w:rPr>
      </w:pPr>
      <w:r w:rsidRPr="00775265">
        <w:rPr>
          <w:rFonts w:ascii="Times New Roman" w:eastAsiaTheme="majorEastAsia" w:hAnsi="Times New Roman" w:cs="Times New Roman"/>
          <w:color w:val="1F4D78" w:themeColor="accent1" w:themeShade="7F"/>
        </w:rPr>
        <w:t>•</w:t>
      </w:r>
      <w:r w:rsidRPr="00775265">
        <w:rPr>
          <w:rFonts w:ascii="Times New Roman" w:eastAsiaTheme="majorEastAsia" w:hAnsi="Times New Roman" w:cs="Times New Roman"/>
          <w:color w:val="1F4D78" w:themeColor="accent1" w:themeShade="7F"/>
        </w:rPr>
        <w:tab/>
        <w:t xml:space="preserve">En dehors </w:t>
      </w:r>
      <w:r>
        <w:rPr>
          <w:rFonts w:ascii="Times New Roman" w:eastAsiaTheme="majorEastAsia" w:hAnsi="Times New Roman" w:cs="Times New Roman"/>
          <w:color w:val="1F4D78" w:themeColor="accent1" w:themeShade="7F"/>
        </w:rPr>
        <w:t xml:space="preserve">du cas </w:t>
      </w:r>
      <w:r w:rsidRPr="00775265">
        <w:rPr>
          <w:rFonts w:ascii="Times New Roman" w:eastAsiaTheme="majorEastAsia" w:hAnsi="Times New Roman" w:cs="Times New Roman"/>
          <w:color w:val="1F4D78" w:themeColor="accent1" w:themeShade="7F"/>
        </w:rPr>
        <w:t xml:space="preserve">des biens de </w:t>
      </w:r>
      <w:proofErr w:type="gramStart"/>
      <w:r w:rsidRPr="00775265">
        <w:rPr>
          <w:rFonts w:ascii="Times New Roman" w:eastAsiaTheme="majorEastAsia" w:hAnsi="Times New Roman" w:cs="Times New Roman"/>
          <w:color w:val="1F4D78" w:themeColor="accent1" w:themeShade="7F"/>
        </w:rPr>
        <w:t>retour,  le</w:t>
      </w:r>
      <w:proofErr w:type="gramEnd"/>
      <w:r w:rsidRPr="00775265">
        <w:rPr>
          <w:rFonts w:ascii="Times New Roman" w:eastAsiaTheme="majorEastAsia" w:hAnsi="Times New Roman" w:cs="Times New Roman"/>
          <w:color w:val="1F4D78" w:themeColor="accent1" w:themeShade="7F"/>
        </w:rPr>
        <w:t xml:space="preserve"> contrat de sous-occupation peut expressément se prononcer sur le statut des biens construits par le sous-occupant. </w:t>
      </w:r>
    </w:p>
    <w:p w:rsidR="00775265" w:rsidRDefault="00775265" w:rsidP="00775265">
      <w:pPr>
        <w:pStyle w:val="Paragraphedeliste"/>
        <w:keepNext/>
        <w:keepLines/>
        <w:numPr>
          <w:ilvl w:val="0"/>
          <w:numId w:val="10"/>
        </w:numPr>
        <w:spacing w:before="40" w:after="0"/>
        <w:outlineLvl w:val="5"/>
        <w:rPr>
          <w:rFonts w:ascii="Times New Roman" w:eastAsiaTheme="majorEastAsia" w:hAnsi="Times New Roman" w:cs="Times New Roman"/>
          <w:color w:val="1F4D78" w:themeColor="accent1" w:themeShade="7F"/>
        </w:rPr>
      </w:pPr>
      <w:r w:rsidRPr="00775265">
        <w:rPr>
          <w:rFonts w:ascii="Times New Roman" w:eastAsiaTheme="majorEastAsia" w:hAnsi="Times New Roman" w:cs="Times New Roman"/>
          <w:color w:val="1F4D78" w:themeColor="accent1" w:themeShade="7F"/>
        </w:rPr>
        <w:t>Les parties peuvent ainsi faire échec au jeu de l’accession au profit du propriétaire public en accordant – pour la durée du titre – la propriété des biens construits par le sous-occupant à ce dernier ou à l’occupant principal.</w:t>
      </w:r>
    </w:p>
    <w:p w:rsidR="00775265" w:rsidRDefault="00775265" w:rsidP="00775265">
      <w:pPr>
        <w:pStyle w:val="Paragraphedeliste"/>
        <w:keepNext/>
        <w:keepLines/>
        <w:numPr>
          <w:ilvl w:val="0"/>
          <w:numId w:val="10"/>
        </w:numPr>
        <w:spacing w:before="40" w:after="0"/>
        <w:outlineLvl w:val="5"/>
        <w:rPr>
          <w:rFonts w:ascii="Times New Roman" w:eastAsiaTheme="majorEastAsia" w:hAnsi="Times New Roman" w:cs="Times New Roman"/>
          <w:color w:val="1F4D78" w:themeColor="accent1" w:themeShade="7F"/>
        </w:rPr>
      </w:pPr>
      <w:r>
        <w:rPr>
          <w:rFonts w:ascii="Times New Roman" w:eastAsiaTheme="majorEastAsia" w:hAnsi="Times New Roman" w:cs="Times New Roman"/>
          <w:color w:val="1F4D78" w:themeColor="accent1" w:themeShade="7F"/>
        </w:rPr>
        <w:t>C’est une transposition de la jurisprudence CE 1997 SAGIFA à la situation du sous occupation.</w:t>
      </w:r>
    </w:p>
    <w:p w:rsidR="00B50A6E" w:rsidRPr="00775265" w:rsidRDefault="00775265" w:rsidP="00775265">
      <w:pPr>
        <w:keepNext/>
        <w:keepLines/>
        <w:spacing w:before="40" w:after="0"/>
        <w:outlineLvl w:val="5"/>
        <w:rPr>
          <w:rFonts w:ascii="Times New Roman" w:eastAsiaTheme="majorEastAsia" w:hAnsi="Times New Roman" w:cs="Times New Roman"/>
          <w:color w:val="1F4D78" w:themeColor="accent1" w:themeShade="7F"/>
        </w:rPr>
      </w:pPr>
      <w:r w:rsidRPr="00775265">
        <w:rPr>
          <w:rFonts w:ascii="Times New Roman" w:hAnsi="Times New Roman" w:cs="Times New Roman"/>
        </w:rPr>
        <w:t>Par contre, l</w:t>
      </w:r>
      <w:r w:rsidR="00B50A6E" w:rsidRPr="00775265">
        <w:rPr>
          <w:rFonts w:ascii="Times New Roman" w:hAnsi="Times New Roman" w:cs="Times New Roman"/>
        </w:rPr>
        <w:t>es textes autorisant la constitution de droits réels « administratifs » (BEA, AOTDR) sur le domaine public font obstacle à ce qu’un occupant consente de tels droits au sous- occupant, dès lors que ces instruments ne sont utilisables que par le propriétaire public.</w:t>
      </w:r>
    </w:p>
    <w:p w:rsidR="00B50A6E" w:rsidRPr="00B50A6E" w:rsidRDefault="00B50A6E" w:rsidP="00B50A6E">
      <w:pPr>
        <w:numPr>
          <w:ilvl w:val="0"/>
          <w:numId w:val="5"/>
        </w:numPr>
        <w:spacing w:before="120" w:after="240"/>
        <w:contextualSpacing/>
        <w:jc w:val="both"/>
        <w:rPr>
          <w:rFonts w:ascii="Times New Roman" w:hAnsi="Times New Roman" w:cs="Times New Roman"/>
        </w:rPr>
      </w:pPr>
      <w:r w:rsidRPr="00B50A6E">
        <w:rPr>
          <w:rFonts w:ascii="Times New Roman" w:hAnsi="Times New Roman" w:cs="Times New Roman"/>
        </w:rPr>
        <w:t>Sauf dérogation législative, l’occupant principal n’est donc pas habilité à consentir au sous-occupant des dro</w:t>
      </w:r>
      <w:r w:rsidR="00775265">
        <w:rPr>
          <w:rFonts w:ascii="Times New Roman" w:hAnsi="Times New Roman" w:cs="Times New Roman"/>
        </w:rPr>
        <w:t>its réels sur le domaine public lui permettant de recourir à l’hypothèque ou au crédit-bail</w:t>
      </w:r>
    </w:p>
    <w:p w:rsidR="00B50A6E" w:rsidRPr="00B50A6E" w:rsidRDefault="00775265" w:rsidP="00775265">
      <w:pPr>
        <w:keepNext/>
        <w:keepLines/>
        <w:spacing w:before="40" w:after="0"/>
        <w:outlineLvl w:val="4"/>
        <w:rPr>
          <w:rFonts w:ascii="Times New Roman" w:eastAsiaTheme="majorEastAsia" w:hAnsi="Times New Roman" w:cs="Times New Roman"/>
          <w:color w:val="1F4D78" w:themeColor="accent1" w:themeShade="7F"/>
        </w:rPr>
      </w:pPr>
      <w:r>
        <w:rPr>
          <w:rFonts w:ascii="Times New Roman" w:eastAsiaTheme="majorEastAsia" w:hAnsi="Times New Roman" w:cs="Times New Roman"/>
          <w:color w:val="1F4D78" w:themeColor="accent1" w:themeShade="7F"/>
        </w:rPr>
        <w:t xml:space="preserve">D. </w:t>
      </w:r>
      <w:r w:rsidRPr="00B50A6E">
        <w:rPr>
          <w:rFonts w:ascii="Times New Roman" w:eastAsiaTheme="majorEastAsia" w:hAnsi="Times New Roman" w:cs="Times New Roman"/>
          <w:color w:val="1F4D78" w:themeColor="accent1" w:themeShade="7F"/>
        </w:rPr>
        <w:t>L’IMPOSSIBILITE DE CONSENTIR UN BAIL COMMERCIAL AU PROFIT DU SOUS-OCCUPANT</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En raison du principe de précarité des titres d’occupation du domaine public, l’interdiction pour l’Administration de conclure avec l’occupant principal un bail commercial empêche l’occupant principal de conclure, sur le domaine public, un tel bail avec le sous-occupant.</w:t>
      </w:r>
    </w:p>
    <w:p w:rsidR="00B50A6E" w:rsidRPr="00B50A6E" w:rsidRDefault="00B50A6E" w:rsidP="00B50A6E">
      <w:pPr>
        <w:rPr>
          <w:color w:val="FF0000"/>
        </w:rPr>
      </w:pPr>
      <w:r w:rsidRPr="00B50A6E">
        <w:rPr>
          <w:rFonts w:ascii="Times New Roman" w:hAnsi="Times New Roman" w:cs="Times New Roman"/>
        </w:rPr>
        <w:t>•</w:t>
      </w:r>
      <w:r w:rsidRPr="00B50A6E">
        <w:rPr>
          <w:rFonts w:ascii="Times New Roman" w:hAnsi="Times New Roman" w:cs="Times New Roman"/>
        </w:rPr>
        <w:tab/>
        <w:t>Cette solution est discutée en doctrine (</w:t>
      </w:r>
      <w:r w:rsidRPr="00B50A6E">
        <w:rPr>
          <w:color w:val="FF0000"/>
        </w:rPr>
        <w:t xml:space="preserve">En ce sens, v. Ph. </w:t>
      </w:r>
      <w:proofErr w:type="spellStart"/>
      <w:r w:rsidRPr="00B50A6E">
        <w:rPr>
          <w:color w:val="FF0000"/>
        </w:rPr>
        <w:t>Yolka</w:t>
      </w:r>
      <w:proofErr w:type="spellEnd"/>
      <w:r w:rsidRPr="00B50A6E">
        <w:rPr>
          <w:color w:val="FF0000"/>
        </w:rPr>
        <w:t>, Les baux commerciaux « de second rang » sur le domaine public : une illégalité discutable : JCP A 2013, p. 2040.)</w:t>
      </w:r>
    </w:p>
    <w:p w:rsidR="00B50A6E" w:rsidRPr="00B50A6E" w:rsidRDefault="00B50A6E" w:rsidP="00B50A6E">
      <w:pPr>
        <w:spacing w:before="120" w:after="240"/>
        <w:ind w:left="1416"/>
        <w:jc w:val="both"/>
        <w:rPr>
          <w:rFonts w:ascii="Times New Roman" w:hAnsi="Times New Roman" w:cs="Times New Roman"/>
        </w:rPr>
      </w:pPr>
      <w:r w:rsidRPr="00B50A6E">
        <w:rPr>
          <w:rFonts w:ascii="Times New Roman" w:hAnsi="Times New Roman" w:cs="Times New Roman"/>
        </w:rPr>
        <w:lastRenderedPageBreak/>
        <w:t xml:space="preserve"> 1. le bail consenti au sous- occupant n’est pas opposable à l’Administration ; il prend fin avec le titre d’occupation de « premier rang » (voir leçon suivante)</w:t>
      </w:r>
    </w:p>
    <w:p w:rsidR="00B50A6E" w:rsidRPr="00775265" w:rsidRDefault="00B50A6E" w:rsidP="00775265">
      <w:pPr>
        <w:spacing w:before="120" w:after="240"/>
        <w:ind w:left="1416"/>
        <w:jc w:val="both"/>
        <w:rPr>
          <w:rFonts w:ascii="Times New Roman" w:hAnsi="Times New Roman" w:cs="Times New Roman"/>
        </w:rPr>
      </w:pPr>
      <w:r w:rsidRPr="00B50A6E">
        <w:rPr>
          <w:rFonts w:ascii="Times New Roman" w:hAnsi="Times New Roman" w:cs="Times New Roman"/>
        </w:rPr>
        <w:t>2. La Cour de cassation a néanmoins jugé que l’interdiction pour l’occupant principal de consentir un bail commercial sur le domaine public s’étend aux biens dont il est reconnu propriétaire pour la durée du titre 36. Or, le principe de précarité – qui justifie l’interdiction des baux commerciaux sur le domaine public – ne devrait pas trouver à s’appliquer aux biens privés de l’occupant domanial (quand bien même seraient-ils édifiés sur le domaine public). Il serait possible juger que le bail commercial cesse avec l’occupation principal avec une indemnisation à la clé de la perte de clientèle (mais le droit au renouvellement serait tenu en échec). Ce qui revient à la loi Pinel</w:t>
      </w:r>
    </w:p>
    <w:p w:rsidR="00B50A6E" w:rsidRPr="00B50A6E" w:rsidRDefault="00B50A6E" w:rsidP="00B50A6E">
      <w:pPr>
        <w:keepNext/>
        <w:keepLines/>
        <w:spacing w:before="40" w:after="0"/>
        <w:outlineLvl w:val="4"/>
        <w:rPr>
          <w:rFonts w:ascii="Times New Roman" w:eastAsiaTheme="majorEastAsia" w:hAnsi="Times New Roman" w:cs="Times New Roman"/>
          <w:color w:val="2E74B5" w:themeColor="accent1" w:themeShade="BF"/>
        </w:rPr>
      </w:pPr>
      <w:r w:rsidRPr="00B50A6E">
        <w:rPr>
          <w:rFonts w:ascii="Times New Roman" w:eastAsiaTheme="majorEastAsia" w:hAnsi="Times New Roman" w:cs="Times New Roman"/>
          <w:color w:val="2E74B5" w:themeColor="accent1" w:themeShade="BF"/>
        </w:rPr>
        <w:t>§. 3 Les droits du sous-occupant à l’expiration du sous-titre</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La fin de la sous-concession dépend de la survie du titre d’occupation principal ou de son extinction anticipée. </w:t>
      </w:r>
    </w:p>
    <w:p w:rsidR="00B50A6E" w:rsidRPr="00B50A6E" w:rsidRDefault="00775265" w:rsidP="00775265">
      <w:pPr>
        <w:pStyle w:val="Titre5"/>
        <w:rPr>
          <w:rFonts w:ascii="Times New Roman" w:hAnsi="Times New Roman" w:cs="Times New Roman"/>
        </w:rPr>
      </w:pPr>
      <w:r w:rsidRPr="00B50A6E">
        <w:rPr>
          <w:rFonts w:ascii="Times New Roman" w:hAnsi="Times New Roman" w:cs="Times New Roman"/>
        </w:rPr>
        <w:t>A. LE RECOURS CONTRE LA RESILIATION ANTICIPEE DU TITRE D’OCCUPATION PRINCIPAL</w:t>
      </w:r>
      <w:r w:rsidR="00B50A6E" w:rsidRPr="00B50A6E">
        <w:rPr>
          <w:rFonts w:ascii="Times New Roman" w:hAnsi="Times New Roman" w:cs="Times New Roman"/>
        </w:rPr>
        <w:t>.</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La résiliation du titre d’occupation principal entraîne la caducité automatique de tous les titres de sous-occupation consentis par l’occupant principal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Dans ce cas, le sous-occupant peut-il contester une mesure de résiliation anticipée du titre d’occupation principal et former un recours indemnitaire ?</w:t>
      </w:r>
    </w:p>
    <w:p w:rsidR="00B50A6E" w:rsidRPr="00B50A6E" w:rsidRDefault="00B50A6E" w:rsidP="00775265">
      <w:pPr>
        <w:pStyle w:val="Titre6"/>
        <w:rPr>
          <w:rFonts w:ascii="Times New Roman" w:hAnsi="Times New Roman" w:cs="Times New Roman"/>
        </w:rPr>
      </w:pPr>
      <w:r w:rsidRPr="00B50A6E">
        <w:rPr>
          <w:rFonts w:ascii="Times New Roman" w:hAnsi="Times New Roman" w:cs="Times New Roman"/>
        </w:rPr>
        <w:t>1) Le recours en annulation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La question se pose parce que le sous-occupant est un tiers par rapport à l’Administration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En dépit de l’effet relatif du contrat, le Conseil d’État admet la recevabilité du recours pour excès de pouvoir formé par un tiers à l’encontre d’une mesure de résiliation unilatérale qui est appréhendée comme un acte détachable de la relation contractuelle (CE 1985 TV6)</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Cependant ce recours est fragilisé </w:t>
      </w:r>
    </w:p>
    <w:p w:rsidR="00B50A6E" w:rsidRPr="00B50A6E" w:rsidRDefault="00B50A6E" w:rsidP="00B50A6E">
      <w:pPr>
        <w:spacing w:before="120" w:after="240"/>
        <w:ind w:firstLine="708"/>
        <w:jc w:val="both"/>
        <w:rPr>
          <w:rFonts w:ascii="Times New Roman" w:hAnsi="Times New Roman" w:cs="Times New Roman"/>
        </w:rPr>
      </w:pPr>
      <w:bookmarkStart w:id="0" w:name="_GoBack"/>
      <w:r w:rsidRPr="00B50A6E">
        <w:rPr>
          <w:rFonts w:ascii="Times New Roman" w:hAnsi="Times New Roman" w:cs="Times New Roman"/>
        </w:rPr>
        <w:t xml:space="preserve">Conclusions Gilles </w:t>
      </w:r>
      <w:proofErr w:type="spellStart"/>
      <w:r w:rsidRPr="00B50A6E">
        <w:rPr>
          <w:rFonts w:ascii="Times New Roman" w:hAnsi="Times New Roman" w:cs="Times New Roman"/>
        </w:rPr>
        <w:t>Pelissier</w:t>
      </w:r>
      <w:proofErr w:type="spellEnd"/>
      <w:r w:rsidRPr="00B50A6E">
        <w:rPr>
          <w:rFonts w:ascii="Times New Roman" w:hAnsi="Times New Roman" w:cs="Times New Roman"/>
        </w:rPr>
        <w:t xml:space="preserve"> sur CE 30 juin 2017 SMPAT qui ouvre un nouveau recours de plein contentieux aux tiers contre le refus de l’administration contractante de résilier à leur demande un contrat.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 La tentation de traiter complètement les actes détachables relatifs à l’exécution du contrat ne concerne donc que les décisions de résiliation du contrat. Elle est d’autant plus grande que la question semble à première vue symétrique de celle du refus de résiliation que vous allez régler et que la voie contentieuse vers laquelle serait redirigé ce recours existe déjà pour les parties, le recours en reprise des relations contractuelles institué par votre décision de Section de 2011, </w:t>
      </w:r>
      <w:proofErr w:type="spellStart"/>
      <w:r w:rsidRPr="00B50A6E">
        <w:rPr>
          <w:rFonts w:ascii="Times New Roman" w:hAnsi="Times New Roman" w:cs="Times New Roman"/>
        </w:rPr>
        <w:t>cne</w:t>
      </w:r>
      <w:proofErr w:type="spellEnd"/>
      <w:r w:rsidRPr="00B50A6E">
        <w:rPr>
          <w:rFonts w:ascii="Times New Roman" w:hAnsi="Times New Roman" w:cs="Times New Roman"/>
        </w:rPr>
        <w:t xml:space="preserve"> de Béziers, précitée. Les tiers pourraient ainsi saisir le juge du contrat de conclusions tendant soit à la rupture des relations contractuelles, soit à leur maintien.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Mais cette symétrie n’est qu’apparente. Sans entrer dans le détail des arguments développés tant par votre commissaire du gouvernement dans ses conclusions contraires sur la décision </w:t>
      </w:r>
      <w:proofErr w:type="spellStart"/>
      <w:r w:rsidRPr="00B50A6E">
        <w:rPr>
          <w:rFonts w:ascii="Times New Roman" w:hAnsi="Times New Roman" w:cs="Times New Roman"/>
        </w:rPr>
        <w:t>sté</w:t>
      </w:r>
      <w:proofErr w:type="spellEnd"/>
      <w:r w:rsidRPr="00B50A6E">
        <w:rPr>
          <w:rFonts w:ascii="Times New Roman" w:hAnsi="Times New Roman" w:cs="Times New Roman"/>
        </w:rPr>
        <w:t xml:space="preserve"> TV 6 que par un certain nombre de commentateurs critiques de cette jurisprudence, nous pouvons simplement souligner que la décision de résilier un contrat est à la fois plus dépendante des relations contractuelles et plus étrangère aux intérêts des tiers que le refus de le résilier. Sur le premier point, il reste, comme l’indiquait Marc </w:t>
      </w:r>
      <w:proofErr w:type="spellStart"/>
      <w:r w:rsidRPr="00B50A6E">
        <w:rPr>
          <w:rFonts w:ascii="Times New Roman" w:hAnsi="Times New Roman" w:cs="Times New Roman"/>
        </w:rPr>
        <w:t>Fornacciari</w:t>
      </w:r>
      <w:proofErr w:type="spellEnd"/>
      <w:r w:rsidRPr="00B50A6E">
        <w:rPr>
          <w:rFonts w:ascii="Times New Roman" w:hAnsi="Times New Roman" w:cs="Times New Roman"/>
        </w:rPr>
        <w:t xml:space="preserve"> dans ses conclusions, « très difficilement admissible qu’un juge puisse être amené, à </w:t>
      </w:r>
      <w:r w:rsidRPr="00B50A6E">
        <w:rPr>
          <w:rFonts w:ascii="Times New Roman" w:hAnsi="Times New Roman" w:cs="Times New Roman"/>
        </w:rPr>
        <w:lastRenderedPageBreak/>
        <w:t>la demande d’un tiers, à annuler une résiliation, donc à faire revivre un contrat, non seulement contre la volonté de l’administration, mais encore, éventuellement, contre la volonté du cocontractant ». Sur le second, autant on perçoit bien que la poursuite de l’exécution d’un contrat administratif soit contraire à certains intérêts généraux et que des tiers puissent agir en justice pour les faire prévaloir contre la volonté de l’administration, autant on voit moins quels intérêts généraux peuvent imposer la poursuite d’une relation contractuelle particulière.</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Les tiers pourront toujours contester au nom de ces intérêts les nouvelles modalités de gestion du service. Le coût très important de la résiliation de certains contrats de l’Etat, dont une actualité encore assez récente offre une illustration, ne suffira pas à donner un intérêt pour agir suffisant à des contribuables nationaux. Quant aux intérêts particuliers que certains tiers, tels que des sous-traitants, pourraient faire valoir pour obtenir la poursuite d’une relation contractuelle, il s’agit d’intérêts économiques invocables dans la cadre d’un recours indemnitaire et dont nous avons quelque difficulté à admettre qu’ils puissent prévaloir sur la volonté des parties au contrat de rompre leurs relations. Quoi qu’il en soit, ce bref aperçu des questions que pose le recours des tiers contre une décision de résiliation montre qu’il relève d’une problématique très différente de celle du refus de résiliation qui justifierait que l’on s’interroge sur le principe même d’un tel recours avant de le pérenniser en l’intégrant dans la nouvelle architecture des recours contractuels ».</w:t>
      </w:r>
    </w:p>
    <w:bookmarkEnd w:id="0"/>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Dans un jugement récent, le TA de Versailles a tiré les conséquences de l’arrêt SMPAT et juger 1 que le recours des tiers contre la mesure de résiliation est un RPJ 2/ que le RPJ ne permet que de demander une indemnisation</w:t>
      </w:r>
    </w:p>
    <w:p w:rsidR="00B50A6E" w:rsidRPr="00B50A6E" w:rsidRDefault="00B50A6E" w:rsidP="00B50A6E">
      <w:pPr>
        <w:numPr>
          <w:ilvl w:val="0"/>
          <w:numId w:val="9"/>
        </w:numPr>
        <w:spacing w:before="120" w:after="240"/>
        <w:contextualSpacing/>
        <w:jc w:val="both"/>
        <w:rPr>
          <w:rFonts w:ascii="Times New Roman" w:hAnsi="Times New Roman" w:cs="Times New Roman"/>
        </w:rPr>
      </w:pPr>
      <w:r w:rsidRPr="00B50A6E">
        <w:rPr>
          <w:rFonts w:ascii="Times New Roman" w:hAnsi="Times New Roman" w:cs="Times New Roman"/>
        </w:rPr>
        <w:t>Dans le contentieux général, la recevabilité du recours demeure toutefois subordonnée à la démonstration d’un intérêt à agir. Cependant, ici, il ne fait pas de doute que l’anéantissement « par ricochet » du sous-contrat est très préjudiciable à ce tiers particulier qu’est le sous-occupant.</w:t>
      </w:r>
    </w:p>
    <w:p w:rsidR="00B50A6E" w:rsidRPr="00B50A6E" w:rsidRDefault="00B50A6E" w:rsidP="00B50A6E">
      <w:pPr>
        <w:numPr>
          <w:ilvl w:val="0"/>
          <w:numId w:val="9"/>
        </w:numPr>
        <w:spacing w:before="120" w:after="240"/>
        <w:contextualSpacing/>
        <w:jc w:val="both"/>
        <w:rPr>
          <w:rFonts w:ascii="Times New Roman" w:hAnsi="Times New Roman" w:cs="Times New Roman"/>
        </w:rPr>
      </w:pPr>
      <w:r w:rsidRPr="00B50A6E">
        <w:rPr>
          <w:rFonts w:ascii="Times New Roman" w:hAnsi="Times New Roman" w:cs="Times New Roman"/>
        </w:rPr>
        <w:t>L’annulation de la résiliation par le juge aurait ors pour conséquence originale de faire revivre le titre d’occupation principal contre la volonté des parties ainsi que les sous-titres d’occupation.</w:t>
      </w:r>
    </w:p>
    <w:p w:rsidR="00B50A6E" w:rsidRPr="00B50A6E" w:rsidRDefault="00B50A6E" w:rsidP="00775265">
      <w:pPr>
        <w:pStyle w:val="Titre6"/>
        <w:rPr>
          <w:rFonts w:ascii="Times New Roman" w:hAnsi="Times New Roman" w:cs="Times New Roman"/>
        </w:rPr>
      </w:pPr>
      <w:r w:rsidRPr="00B50A6E">
        <w:rPr>
          <w:rFonts w:ascii="Times New Roman" w:hAnsi="Times New Roman" w:cs="Times New Roman"/>
        </w:rPr>
        <w:t>2) Le recours indemnitaire</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Le sous-</w:t>
      </w:r>
      <w:proofErr w:type="gramStart"/>
      <w:r w:rsidRPr="00B50A6E">
        <w:rPr>
          <w:rFonts w:ascii="Times New Roman" w:hAnsi="Times New Roman" w:cs="Times New Roman"/>
        </w:rPr>
        <w:t>occupant  peut</w:t>
      </w:r>
      <w:proofErr w:type="gramEnd"/>
      <w:r w:rsidRPr="00B50A6E">
        <w:rPr>
          <w:rFonts w:ascii="Times New Roman" w:hAnsi="Times New Roman" w:cs="Times New Roman"/>
        </w:rPr>
        <w:t>-il être indemnisé en cas de résiliation anticipée du titre d’occupation principal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Oui </w:t>
      </w:r>
    </w:p>
    <w:p w:rsidR="00B50A6E" w:rsidRPr="00B50A6E" w:rsidRDefault="00B50A6E" w:rsidP="00B50A6E">
      <w:pPr>
        <w:spacing w:before="120" w:after="240"/>
        <w:jc w:val="both"/>
        <w:rPr>
          <w:rFonts w:ascii="Times New Roman" w:hAnsi="Times New Roman" w:cs="Times New Roman"/>
        </w:rPr>
      </w:pPr>
      <w:proofErr w:type="gramStart"/>
      <w:r w:rsidRPr="00B50A6E">
        <w:rPr>
          <w:rFonts w:ascii="Times New Roman" w:hAnsi="Times New Roman" w:cs="Times New Roman"/>
        </w:rPr>
        <w:t>mais</w:t>
      </w:r>
      <w:proofErr w:type="gramEnd"/>
      <w:r w:rsidRPr="00B50A6E">
        <w:rPr>
          <w:rFonts w:ascii="Times New Roman" w:hAnsi="Times New Roman" w:cs="Times New Roman"/>
        </w:rPr>
        <w:t xml:space="preserve"> il ne jouit cependant pas des mêmes conditions d’indemnisation que le cocontractant de l’Administration. Il ne pourra pas le faire sur le fondement de la responsabilité contractuelles </w:t>
      </w:r>
      <w:proofErr w:type="gramStart"/>
      <w:r w:rsidRPr="00B50A6E">
        <w:rPr>
          <w:rFonts w:ascii="Times New Roman" w:hAnsi="Times New Roman" w:cs="Times New Roman"/>
        </w:rPr>
        <w:t>( le</w:t>
      </w:r>
      <w:proofErr w:type="gramEnd"/>
      <w:r w:rsidRPr="00B50A6E">
        <w:rPr>
          <w:rFonts w:ascii="Times New Roman" w:hAnsi="Times New Roman" w:cs="Times New Roman"/>
        </w:rPr>
        <w:t xml:space="preserve"> contrat ne crée d’obligations qu’entre les parties) mais en engageant la responsabilité quasi-délictuelle de l’administration donc sur le fondement de la faute.</w:t>
      </w:r>
    </w:p>
    <w:p w:rsidR="00B50A6E" w:rsidRPr="00B50A6E" w:rsidRDefault="00B50A6E" w:rsidP="00B50A6E">
      <w:pPr>
        <w:numPr>
          <w:ilvl w:val="0"/>
          <w:numId w:val="8"/>
        </w:numPr>
        <w:spacing w:before="120" w:after="240"/>
        <w:contextualSpacing/>
        <w:jc w:val="both"/>
        <w:rPr>
          <w:rFonts w:ascii="Times New Roman" w:hAnsi="Times New Roman" w:cs="Times New Roman"/>
        </w:rPr>
      </w:pPr>
      <w:r w:rsidRPr="00B50A6E">
        <w:rPr>
          <w:rFonts w:ascii="Times New Roman" w:hAnsi="Times New Roman" w:cs="Times New Roman"/>
        </w:rPr>
        <w:t>A la manière du recours des sous-traitants contre le maître d’ouvrage</w:t>
      </w:r>
    </w:p>
    <w:p w:rsidR="00B50A6E" w:rsidRPr="00B50A6E" w:rsidRDefault="00B50A6E" w:rsidP="00B50A6E">
      <w:pPr>
        <w:numPr>
          <w:ilvl w:val="1"/>
          <w:numId w:val="8"/>
        </w:numPr>
        <w:spacing w:before="120" w:after="240"/>
        <w:contextualSpacing/>
        <w:jc w:val="both"/>
        <w:rPr>
          <w:rFonts w:ascii="Times New Roman" w:hAnsi="Times New Roman" w:cs="Times New Roman"/>
        </w:rPr>
      </w:pPr>
      <w:r w:rsidRPr="00B50A6E">
        <w:rPr>
          <w:rFonts w:ascii="Times New Roman" w:hAnsi="Times New Roman" w:cs="Times New Roman"/>
        </w:rPr>
        <w:t xml:space="preserve">A ce titre </w:t>
      </w:r>
      <w:proofErr w:type="gramStart"/>
      <w:r w:rsidRPr="00B50A6E">
        <w:rPr>
          <w:rFonts w:ascii="Times New Roman" w:hAnsi="Times New Roman" w:cs="Times New Roman"/>
        </w:rPr>
        <w:t>les  conditions</w:t>
      </w:r>
      <w:proofErr w:type="gramEnd"/>
      <w:r w:rsidRPr="00B50A6E">
        <w:rPr>
          <w:rFonts w:ascii="Times New Roman" w:hAnsi="Times New Roman" w:cs="Times New Roman"/>
        </w:rPr>
        <w:t xml:space="preserve"> d’indemnisation en cas de résiliation non-fautive du titre d’occupation fixées par le Conseil d’État dans son arrêt Jonathan Loisirs ne sont pas accessibles au sous-occupant.</w:t>
      </w:r>
    </w:p>
    <w:p w:rsidR="00B50A6E" w:rsidRPr="00B50A6E" w:rsidRDefault="00B50A6E" w:rsidP="00B50A6E">
      <w:pPr>
        <w:numPr>
          <w:ilvl w:val="2"/>
          <w:numId w:val="8"/>
        </w:numPr>
        <w:spacing w:before="120" w:after="240"/>
        <w:contextualSpacing/>
        <w:jc w:val="both"/>
        <w:rPr>
          <w:rFonts w:ascii="Times New Roman" w:hAnsi="Times New Roman" w:cs="Times New Roman"/>
        </w:rPr>
      </w:pPr>
      <w:r w:rsidRPr="00B50A6E">
        <w:rPr>
          <w:rFonts w:ascii="Times New Roman" w:hAnsi="Times New Roman" w:cs="Times New Roman"/>
        </w:rPr>
        <w:t xml:space="preserve">On sait qu’en l’absence de stipulation </w:t>
      </w:r>
      <w:proofErr w:type="gramStart"/>
      <w:r w:rsidRPr="00B50A6E">
        <w:rPr>
          <w:rFonts w:ascii="Times New Roman" w:hAnsi="Times New Roman" w:cs="Times New Roman"/>
        </w:rPr>
        <w:t>contraire  l’occupant</w:t>
      </w:r>
      <w:proofErr w:type="gramEnd"/>
      <w:r w:rsidRPr="00B50A6E">
        <w:rPr>
          <w:rFonts w:ascii="Times New Roman" w:hAnsi="Times New Roman" w:cs="Times New Roman"/>
        </w:rPr>
        <w:t xml:space="preserve"> principal à une indemnisation intégrale du préjudice subi (comprenant à la fois le </w:t>
      </w:r>
      <w:proofErr w:type="spellStart"/>
      <w:r w:rsidRPr="00B50A6E">
        <w:rPr>
          <w:rFonts w:ascii="Times New Roman" w:hAnsi="Times New Roman" w:cs="Times New Roman"/>
        </w:rPr>
        <w:t>lucrum</w:t>
      </w:r>
      <w:proofErr w:type="spellEnd"/>
      <w:r w:rsidRPr="00B50A6E">
        <w:rPr>
          <w:rFonts w:ascii="Times New Roman" w:hAnsi="Times New Roman" w:cs="Times New Roman"/>
        </w:rPr>
        <w:t xml:space="preserve"> </w:t>
      </w:r>
      <w:proofErr w:type="spellStart"/>
      <w:r w:rsidRPr="00B50A6E">
        <w:rPr>
          <w:rFonts w:ascii="Times New Roman" w:hAnsi="Times New Roman" w:cs="Times New Roman"/>
        </w:rPr>
        <w:t>cessans</w:t>
      </w:r>
      <w:proofErr w:type="spellEnd"/>
      <w:r w:rsidRPr="00B50A6E">
        <w:rPr>
          <w:rFonts w:ascii="Times New Roman" w:hAnsi="Times New Roman" w:cs="Times New Roman"/>
        </w:rPr>
        <w:t xml:space="preserve"> et le </w:t>
      </w:r>
      <w:proofErr w:type="spellStart"/>
      <w:r w:rsidRPr="00B50A6E">
        <w:rPr>
          <w:rFonts w:ascii="Times New Roman" w:hAnsi="Times New Roman" w:cs="Times New Roman"/>
        </w:rPr>
        <w:t>damnum</w:t>
      </w:r>
      <w:proofErr w:type="spellEnd"/>
      <w:r w:rsidRPr="00B50A6E">
        <w:rPr>
          <w:rFonts w:ascii="Times New Roman" w:hAnsi="Times New Roman" w:cs="Times New Roman"/>
        </w:rPr>
        <w:t xml:space="preserve"> </w:t>
      </w:r>
      <w:proofErr w:type="spellStart"/>
      <w:r w:rsidRPr="00B50A6E">
        <w:rPr>
          <w:rFonts w:ascii="Times New Roman" w:hAnsi="Times New Roman" w:cs="Times New Roman"/>
        </w:rPr>
        <w:t>emergens</w:t>
      </w:r>
      <w:proofErr w:type="spellEnd"/>
      <w:r w:rsidRPr="00B50A6E">
        <w:rPr>
          <w:rFonts w:ascii="Times New Roman" w:hAnsi="Times New Roman" w:cs="Times New Roman"/>
        </w:rPr>
        <w:t xml:space="preserve">) </w:t>
      </w:r>
    </w:p>
    <w:p w:rsidR="00B50A6E" w:rsidRPr="00B50A6E" w:rsidRDefault="00B50A6E" w:rsidP="00B50A6E">
      <w:pPr>
        <w:numPr>
          <w:ilvl w:val="2"/>
          <w:numId w:val="8"/>
        </w:numPr>
        <w:spacing w:before="120" w:after="240"/>
        <w:contextualSpacing/>
        <w:jc w:val="both"/>
        <w:rPr>
          <w:rFonts w:ascii="Times New Roman" w:hAnsi="Times New Roman" w:cs="Times New Roman"/>
        </w:rPr>
      </w:pPr>
      <w:r w:rsidRPr="00B50A6E">
        <w:rPr>
          <w:rFonts w:ascii="Times New Roman" w:hAnsi="Times New Roman" w:cs="Times New Roman"/>
        </w:rPr>
        <w:t>A ce titre, l’occupant principal pourra luit être indemnisé par l’Administration des redevances non-perçues au titre des sous-occupations consenties.</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Par exception cependant, lorsque le contrat d’occupation principal est couplé à une délégation de service public, sa résiliation anticipée a pour effet de substituer de plein droit l’Administration « à son ancien </w:t>
      </w:r>
      <w:r w:rsidRPr="00B50A6E">
        <w:rPr>
          <w:rFonts w:ascii="Times New Roman" w:hAnsi="Times New Roman" w:cs="Times New Roman"/>
        </w:rPr>
        <w:lastRenderedPageBreak/>
        <w:t xml:space="preserve">cocontractant pour l’exécution des contrats conclus avec les usagers ou avec d’autres tiers pour l’exécution même du service » 46. </w:t>
      </w:r>
    </w:p>
    <w:p w:rsidR="00B50A6E" w:rsidRPr="00B50A6E" w:rsidRDefault="00B50A6E" w:rsidP="00B50A6E">
      <w:pPr>
        <w:numPr>
          <w:ilvl w:val="0"/>
          <w:numId w:val="3"/>
        </w:numPr>
        <w:spacing w:before="120" w:after="240"/>
        <w:contextualSpacing/>
        <w:jc w:val="both"/>
        <w:rPr>
          <w:rFonts w:ascii="Times New Roman" w:hAnsi="Times New Roman" w:cs="Times New Roman"/>
        </w:rPr>
      </w:pPr>
      <w:r w:rsidRPr="00B50A6E">
        <w:rPr>
          <w:rFonts w:ascii="Times New Roman" w:hAnsi="Times New Roman" w:cs="Times New Roman"/>
        </w:rPr>
        <w:t>En raison de cette substitution, les sous- occupants dont les titres se trouvent résiliés bénéficient des conditions d’indemnisation prévues par la jurisprudence Jonathan Loisirs ainsi que par l’article R. 2125-5 du CGPPP 47.</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Enfin quand le sous-occupant se serait vu subdéléguer une mission de service public, la convention de sous-occupation pourra prévoir une indemnité destinée à assurer l’amortissement des biens de retour (Communauté de communes de la vallée de l’Ubaye 48. </w:t>
      </w:r>
    </w:p>
    <w:p w:rsidR="00B50A6E" w:rsidRPr="00B50A6E" w:rsidRDefault="00775265" w:rsidP="00775265">
      <w:pPr>
        <w:pStyle w:val="Titre5"/>
        <w:rPr>
          <w:rFonts w:ascii="Times New Roman" w:hAnsi="Times New Roman" w:cs="Times New Roman"/>
        </w:rPr>
      </w:pPr>
      <w:r w:rsidRPr="00B50A6E">
        <w:rPr>
          <w:rFonts w:ascii="Times New Roman" w:hAnsi="Times New Roman" w:cs="Times New Roman"/>
        </w:rPr>
        <w:t>B. LE RECOURS CONTRE LA RESILIATION DE LA SOUS-CONCESSION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Devant le juge administratif, la question est de savoir qui peut résilier le contrat : l’occupant principal ou uniquement le juge </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CE 2 novembre 2015 </w:t>
      </w:r>
      <w:proofErr w:type="gramStart"/>
      <w:r w:rsidRPr="00B50A6E">
        <w:rPr>
          <w:rFonts w:ascii="Times New Roman" w:hAnsi="Times New Roman" w:cs="Times New Roman"/>
        </w:rPr>
        <w:t>Société  Le</w:t>
      </w:r>
      <w:proofErr w:type="gramEnd"/>
      <w:r w:rsidRPr="00B50A6E">
        <w:rPr>
          <w:rFonts w:ascii="Times New Roman" w:hAnsi="Times New Roman" w:cs="Times New Roman"/>
        </w:rPr>
        <w:t xml:space="preserve"> jardin d’acclimatation</w:t>
      </w:r>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w:t>
      </w:r>
      <w:r w:rsidRPr="00B50A6E">
        <w:rPr>
          <w:rFonts w:ascii="Times New Roman" w:hAnsi="Times New Roman" w:cs="Times New Roman"/>
        </w:rPr>
        <w:tab/>
        <w:t xml:space="preserve">Par un contrat conclu le 6 décembre 1995, la ville de Paris a concédé à la société Le jardin d’acclimatation, pour une durée de vingt ans, l’exploitation et la mise en valeur, sur le domaine public, des diverses activités de service public du jardin d’acclimatation. Par un contrat de sous-concession conclu le 29 juillet 1997, cette société a confié à la société Ludo vert l’exploitation de manèges et d’attractions foraines du jardin. En 2012, la société Le jardin d’acclimatation a saisi le tribunal administratif de Paris aux fins de voir prononcer la déchéance de son sous-concessionnaire en raison de fautes commises par celui-ci mais cette demande a été rejetée par les premiers juges. </w:t>
      </w:r>
    </w:p>
    <w:p w:rsidR="00B50A6E" w:rsidRPr="00B50A6E" w:rsidRDefault="00B50A6E" w:rsidP="00B50A6E">
      <w:pPr>
        <w:tabs>
          <w:tab w:val="num" w:pos="720"/>
        </w:tabs>
        <w:ind w:left="720" w:hanging="360"/>
        <w:jc w:val="both"/>
        <w:rPr>
          <w:rFonts w:ascii="Times New Roman" w:hAnsi="Times New Roman"/>
        </w:rPr>
      </w:pPr>
      <w:r w:rsidRPr="00B50A6E">
        <w:rPr>
          <w:rFonts w:ascii="Times New Roman" w:hAnsi="Times New Roman"/>
        </w:rPr>
        <w:t xml:space="preserve">Les juges du fond avaient relevé que les stipulations du contrat n’autorisaient pas le sous-concédant à le résilier unilatéralement pour faute et que ce dernier devait donc, à cette fin, saisir le juge. Mais ils ont également considéré que le délai d’un mois que prévoyait le contrat en cas de mise en demeure adressée préalablement à une résiliation pour faute devait, en l’absence d’urgence, être expiré avant que le juge ne soit </w:t>
      </w:r>
      <w:proofErr w:type="gramStart"/>
      <w:r w:rsidRPr="00B50A6E">
        <w:rPr>
          <w:rFonts w:ascii="Times New Roman" w:hAnsi="Times New Roman"/>
        </w:rPr>
        <w:t>saisi .</w:t>
      </w:r>
      <w:proofErr w:type="gramEnd"/>
    </w:p>
    <w:p w:rsidR="00B50A6E" w:rsidRPr="00B50A6E" w:rsidRDefault="00B50A6E" w:rsidP="00B50A6E">
      <w:pPr>
        <w:spacing w:before="120" w:after="240"/>
        <w:jc w:val="both"/>
        <w:rPr>
          <w:rFonts w:ascii="Times New Roman" w:hAnsi="Times New Roman" w:cs="Times New Roman"/>
        </w:rPr>
      </w:pPr>
      <w:r w:rsidRPr="00B50A6E">
        <w:rPr>
          <w:rFonts w:ascii="Times New Roman" w:hAnsi="Times New Roman" w:cs="Times New Roman"/>
        </w:rPr>
        <w:t xml:space="preserve">Dans son arrêt de </w:t>
      </w:r>
      <w:proofErr w:type="gramStart"/>
      <w:r w:rsidRPr="00B50A6E">
        <w:rPr>
          <w:rFonts w:ascii="Times New Roman" w:hAnsi="Times New Roman" w:cs="Times New Roman"/>
        </w:rPr>
        <w:t>2015,  le</w:t>
      </w:r>
      <w:proofErr w:type="gramEnd"/>
      <w:r w:rsidRPr="00B50A6E">
        <w:rPr>
          <w:rFonts w:ascii="Times New Roman" w:hAnsi="Times New Roman" w:cs="Times New Roman"/>
        </w:rPr>
        <w:t xml:space="preserve"> Conseil d’Etat casse l’arrêt de la cour administrative d’appel, jugeant pour sa part :</w:t>
      </w:r>
    </w:p>
    <w:p w:rsidR="00B50A6E" w:rsidRPr="00B50A6E" w:rsidRDefault="00B50A6E" w:rsidP="00B50A6E">
      <w:pPr>
        <w:numPr>
          <w:ilvl w:val="0"/>
          <w:numId w:val="6"/>
        </w:numPr>
        <w:spacing w:before="120" w:after="240"/>
        <w:contextualSpacing/>
        <w:jc w:val="both"/>
        <w:rPr>
          <w:rFonts w:ascii="Times New Roman" w:hAnsi="Times New Roman" w:cs="Times New Roman"/>
        </w:rPr>
      </w:pPr>
      <w:r w:rsidRPr="00B50A6E">
        <w:rPr>
          <w:rFonts w:ascii="Times New Roman" w:hAnsi="Times New Roman" w:cs="Times New Roman"/>
        </w:rPr>
        <w:t xml:space="preserve">« </w:t>
      </w:r>
      <w:proofErr w:type="gramStart"/>
      <w:r w:rsidRPr="00B50A6E">
        <w:rPr>
          <w:rFonts w:ascii="Times New Roman" w:hAnsi="Times New Roman" w:cs="Times New Roman"/>
        </w:rPr>
        <w:t>qu’en</w:t>
      </w:r>
      <w:proofErr w:type="gramEnd"/>
      <w:r w:rsidRPr="00B50A6E">
        <w:rPr>
          <w:rFonts w:ascii="Times New Roman" w:hAnsi="Times New Roman" w:cs="Times New Roman"/>
        </w:rPr>
        <w:t xml:space="preserve"> cas de manquements de nature à justifier qu’il soit mis fin à son contrat pour faute et sans indemnité, le titulaire doit, en principe, être préalablement mis en demeure de respecter ses obligations, sauf si le contrat en dispose autrement ou s’il n’a pas la possibilité de remédier aux manquements qui lui sont reprochés ; </w:t>
      </w:r>
    </w:p>
    <w:p w:rsidR="00B50A6E" w:rsidRPr="00B50A6E" w:rsidRDefault="00B50A6E" w:rsidP="00B50A6E">
      <w:pPr>
        <w:numPr>
          <w:ilvl w:val="0"/>
          <w:numId w:val="6"/>
        </w:numPr>
        <w:spacing w:before="120" w:after="240"/>
        <w:contextualSpacing/>
        <w:jc w:val="both"/>
        <w:rPr>
          <w:rFonts w:ascii="Times New Roman" w:hAnsi="Times New Roman" w:cs="Times New Roman"/>
        </w:rPr>
      </w:pPr>
      <w:proofErr w:type="gramStart"/>
      <w:r w:rsidRPr="00B50A6E">
        <w:rPr>
          <w:rFonts w:ascii="Times New Roman" w:hAnsi="Times New Roman" w:cs="Times New Roman"/>
        </w:rPr>
        <w:t>qu’en</w:t>
      </w:r>
      <w:proofErr w:type="gramEnd"/>
      <w:r w:rsidRPr="00B50A6E">
        <w:rPr>
          <w:rFonts w:ascii="Times New Roman" w:hAnsi="Times New Roman" w:cs="Times New Roman"/>
        </w:rPr>
        <w:t xml:space="preserve"> l’absence même de stipulations du contrat lui donnant cette possibilité, le concédant dispose de la faculté de résilier unilatéralement le contrat pour faute et sans indemnité ;</w:t>
      </w:r>
    </w:p>
    <w:p w:rsidR="00B50A6E" w:rsidRPr="00B50A6E" w:rsidRDefault="00B50A6E" w:rsidP="00B50A6E">
      <w:pPr>
        <w:numPr>
          <w:ilvl w:val="0"/>
          <w:numId w:val="6"/>
        </w:numPr>
        <w:spacing w:before="120" w:after="240"/>
        <w:contextualSpacing/>
        <w:jc w:val="both"/>
        <w:rPr>
          <w:rFonts w:ascii="Times New Roman" w:hAnsi="Times New Roman" w:cs="Times New Roman"/>
        </w:rPr>
      </w:pPr>
      <w:proofErr w:type="gramStart"/>
      <w:r w:rsidRPr="00B50A6E">
        <w:rPr>
          <w:rFonts w:ascii="Times New Roman" w:hAnsi="Times New Roman" w:cs="Times New Roman"/>
        </w:rPr>
        <w:t>que</w:t>
      </w:r>
      <w:proofErr w:type="gramEnd"/>
      <w:r w:rsidRPr="00B50A6E">
        <w:rPr>
          <w:rFonts w:ascii="Times New Roman" w:hAnsi="Times New Roman" w:cs="Times New Roman"/>
        </w:rPr>
        <w:t xml:space="preserve"> dans l’hypothèse d’une saisine du juge aux fins de prononcer la déchéance du contrat, celui-ci est régulièrement saisi alors même que le délai donné au cocontractant pour se conformer à ses obligations n’est pas expiré ; </w:t>
      </w:r>
    </w:p>
    <w:p w:rsidR="00B50A6E" w:rsidRPr="00B50A6E" w:rsidRDefault="00B50A6E" w:rsidP="00B50A6E">
      <w:pPr>
        <w:numPr>
          <w:ilvl w:val="0"/>
          <w:numId w:val="6"/>
        </w:numPr>
        <w:spacing w:before="120" w:after="240"/>
        <w:contextualSpacing/>
        <w:jc w:val="both"/>
        <w:rPr>
          <w:rFonts w:ascii="Times New Roman" w:hAnsi="Times New Roman" w:cs="Times New Roman"/>
        </w:rPr>
      </w:pPr>
      <w:proofErr w:type="gramStart"/>
      <w:r w:rsidRPr="00B50A6E">
        <w:rPr>
          <w:rFonts w:ascii="Times New Roman" w:hAnsi="Times New Roman" w:cs="Times New Roman"/>
        </w:rPr>
        <w:t>que</w:t>
      </w:r>
      <w:proofErr w:type="gramEnd"/>
      <w:r w:rsidRPr="00B50A6E">
        <w:rPr>
          <w:rFonts w:ascii="Times New Roman" w:hAnsi="Times New Roman" w:cs="Times New Roman"/>
        </w:rPr>
        <w:t xml:space="preserve"> le juge ne peut toutefois statuer qu’après expiration de ce délai ; </w:t>
      </w:r>
    </w:p>
    <w:p w:rsidR="00B50A6E" w:rsidRPr="00B50A6E" w:rsidRDefault="00B50A6E" w:rsidP="00B50A6E">
      <w:pPr>
        <w:numPr>
          <w:ilvl w:val="0"/>
          <w:numId w:val="6"/>
        </w:numPr>
        <w:spacing w:before="120" w:after="240"/>
        <w:contextualSpacing/>
        <w:jc w:val="both"/>
        <w:rPr>
          <w:rFonts w:ascii="Times New Roman" w:hAnsi="Times New Roman" w:cs="Times New Roman"/>
          <w:b/>
        </w:rPr>
      </w:pPr>
      <w:proofErr w:type="gramStart"/>
      <w:r w:rsidRPr="00B50A6E">
        <w:rPr>
          <w:rFonts w:ascii="Times New Roman" w:hAnsi="Times New Roman" w:cs="Times New Roman"/>
          <w:b/>
        </w:rPr>
        <w:t>que</w:t>
      </w:r>
      <w:proofErr w:type="gramEnd"/>
      <w:r w:rsidRPr="00B50A6E">
        <w:rPr>
          <w:rFonts w:ascii="Times New Roman" w:hAnsi="Times New Roman" w:cs="Times New Roman"/>
          <w:b/>
        </w:rPr>
        <w:t xml:space="preserve"> ces mêmes règles s’appliquent dans le cas de l’action en déchéance d’un sous-concessionnaire par un concessionnaire ; que, par suite, en jugeant la demande de la société Le jardin d’acclimatation irrecevable par les motifs exposés ci-dessus, la cour administrative d’appel de Paris a commis une erreur de droit ».</w:t>
      </w:r>
    </w:p>
    <w:p w:rsidR="00B50A6E" w:rsidRPr="00B50A6E" w:rsidRDefault="00B50A6E" w:rsidP="00B50A6E">
      <w:pPr>
        <w:rPr>
          <w:color w:val="FF0000"/>
        </w:rPr>
      </w:pPr>
      <w:r w:rsidRPr="00B50A6E">
        <w:rPr>
          <w:color w:val="FF0000"/>
        </w:rPr>
        <w:t>Mais si le contrat de sous-concession est de droit privé, cette jurisprudence ne s’applique pas</w:t>
      </w:r>
    </w:p>
    <w:p w:rsidR="00055F03" w:rsidRDefault="00055F03"/>
    <w:sectPr w:rsidR="0005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9pt;height:9pt" o:bullet="t">
        <v:imagedata r:id="rId1" o:title=""/>
      </v:shape>
    </w:pict>
  </w:numPicBullet>
  <w:abstractNum w:abstractNumId="0" w15:restartNumberingAfterBreak="0">
    <w:nsid w:val="0B346E1D"/>
    <w:multiLevelType w:val="hybridMultilevel"/>
    <w:tmpl w:val="1D6AAF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96444"/>
    <w:multiLevelType w:val="hybridMultilevel"/>
    <w:tmpl w:val="BDB09090"/>
    <w:lvl w:ilvl="0" w:tplc="040C0001">
      <w:start w:val="1"/>
      <w:numFmt w:val="bullet"/>
      <w:lvlText w:val=""/>
      <w:lvlJc w:val="left"/>
      <w:pPr>
        <w:ind w:left="1104" w:hanging="360"/>
      </w:pPr>
      <w:rPr>
        <w:rFonts w:ascii="Symbol" w:hAnsi="Symbol" w:hint="default"/>
      </w:rPr>
    </w:lvl>
    <w:lvl w:ilvl="1" w:tplc="040C0003" w:tentative="1">
      <w:start w:val="1"/>
      <w:numFmt w:val="bullet"/>
      <w:lvlText w:val="o"/>
      <w:lvlJc w:val="left"/>
      <w:pPr>
        <w:ind w:left="1824" w:hanging="360"/>
      </w:pPr>
      <w:rPr>
        <w:rFonts w:ascii="Courier New" w:hAnsi="Courier New" w:cs="Courier New" w:hint="default"/>
      </w:rPr>
    </w:lvl>
    <w:lvl w:ilvl="2" w:tplc="040C0005" w:tentative="1">
      <w:start w:val="1"/>
      <w:numFmt w:val="bullet"/>
      <w:lvlText w:val=""/>
      <w:lvlJc w:val="left"/>
      <w:pPr>
        <w:ind w:left="2544" w:hanging="360"/>
      </w:pPr>
      <w:rPr>
        <w:rFonts w:ascii="Wingdings" w:hAnsi="Wingdings" w:hint="default"/>
      </w:rPr>
    </w:lvl>
    <w:lvl w:ilvl="3" w:tplc="040C0001" w:tentative="1">
      <w:start w:val="1"/>
      <w:numFmt w:val="bullet"/>
      <w:lvlText w:val=""/>
      <w:lvlJc w:val="left"/>
      <w:pPr>
        <w:ind w:left="3264" w:hanging="360"/>
      </w:pPr>
      <w:rPr>
        <w:rFonts w:ascii="Symbol" w:hAnsi="Symbol" w:hint="default"/>
      </w:rPr>
    </w:lvl>
    <w:lvl w:ilvl="4" w:tplc="040C0003" w:tentative="1">
      <w:start w:val="1"/>
      <w:numFmt w:val="bullet"/>
      <w:lvlText w:val="o"/>
      <w:lvlJc w:val="left"/>
      <w:pPr>
        <w:ind w:left="3984" w:hanging="360"/>
      </w:pPr>
      <w:rPr>
        <w:rFonts w:ascii="Courier New" w:hAnsi="Courier New" w:cs="Courier New" w:hint="default"/>
      </w:rPr>
    </w:lvl>
    <w:lvl w:ilvl="5" w:tplc="040C0005" w:tentative="1">
      <w:start w:val="1"/>
      <w:numFmt w:val="bullet"/>
      <w:lvlText w:val=""/>
      <w:lvlJc w:val="left"/>
      <w:pPr>
        <w:ind w:left="4704" w:hanging="360"/>
      </w:pPr>
      <w:rPr>
        <w:rFonts w:ascii="Wingdings" w:hAnsi="Wingdings" w:hint="default"/>
      </w:rPr>
    </w:lvl>
    <w:lvl w:ilvl="6" w:tplc="040C0001" w:tentative="1">
      <w:start w:val="1"/>
      <w:numFmt w:val="bullet"/>
      <w:lvlText w:val=""/>
      <w:lvlJc w:val="left"/>
      <w:pPr>
        <w:ind w:left="5424" w:hanging="360"/>
      </w:pPr>
      <w:rPr>
        <w:rFonts w:ascii="Symbol" w:hAnsi="Symbol" w:hint="default"/>
      </w:rPr>
    </w:lvl>
    <w:lvl w:ilvl="7" w:tplc="040C0003" w:tentative="1">
      <w:start w:val="1"/>
      <w:numFmt w:val="bullet"/>
      <w:lvlText w:val="o"/>
      <w:lvlJc w:val="left"/>
      <w:pPr>
        <w:ind w:left="6144" w:hanging="360"/>
      </w:pPr>
      <w:rPr>
        <w:rFonts w:ascii="Courier New" w:hAnsi="Courier New" w:cs="Courier New" w:hint="default"/>
      </w:rPr>
    </w:lvl>
    <w:lvl w:ilvl="8" w:tplc="040C0005" w:tentative="1">
      <w:start w:val="1"/>
      <w:numFmt w:val="bullet"/>
      <w:lvlText w:val=""/>
      <w:lvlJc w:val="left"/>
      <w:pPr>
        <w:ind w:left="6864" w:hanging="360"/>
      </w:pPr>
      <w:rPr>
        <w:rFonts w:ascii="Wingdings" w:hAnsi="Wingdings" w:hint="default"/>
      </w:rPr>
    </w:lvl>
  </w:abstractNum>
  <w:abstractNum w:abstractNumId="2" w15:restartNumberingAfterBreak="0">
    <w:nsid w:val="210E4DF7"/>
    <w:multiLevelType w:val="hybridMultilevel"/>
    <w:tmpl w:val="60DC5FBC"/>
    <w:lvl w:ilvl="0" w:tplc="E48A045A">
      <w:start w:val="1"/>
      <w:numFmt w:val="bullet"/>
      <w:lvlText w:val=""/>
      <w:lvlJc w:val="left"/>
      <w:pPr>
        <w:ind w:left="1800" w:hanging="360"/>
      </w:pPr>
      <w:rPr>
        <w:rFonts w:ascii="Wingdings" w:hAnsi="Wingdings" w:hint="default"/>
      </w:rPr>
    </w:lvl>
    <w:lvl w:ilvl="1" w:tplc="0B18DD88">
      <w:start w:val="3"/>
      <w:numFmt w:val="bullet"/>
      <w:lvlText w:val="•"/>
      <w:lvlJc w:val="left"/>
      <w:pPr>
        <w:ind w:left="1785" w:hanging="705"/>
      </w:pPr>
      <w:rPr>
        <w:rFonts w:ascii="Times New Roman" w:eastAsiaTheme="minorHAnsi"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0A5CC0"/>
    <w:multiLevelType w:val="hybridMultilevel"/>
    <w:tmpl w:val="EBF601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1913C59"/>
    <w:multiLevelType w:val="hybridMultilevel"/>
    <w:tmpl w:val="678C0240"/>
    <w:lvl w:ilvl="0" w:tplc="6F766FF4">
      <w:start w:val="1"/>
      <w:numFmt w:val="bullet"/>
      <w:pStyle w:val="Listepuces"/>
      <w:lvlText w:val=""/>
      <w:lvlPicBulletId w:val="0"/>
      <w:lvlJc w:val="left"/>
      <w:pPr>
        <w:tabs>
          <w:tab w:val="num" w:pos="720"/>
        </w:tabs>
        <w:ind w:left="720" w:hanging="360"/>
      </w:pPr>
      <w:rPr>
        <w:rFonts w:ascii="Symbol" w:hAnsi="Symbol" w:hint="default"/>
        <w:color w:val="auto"/>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5">
      <w:start w:val="1"/>
      <w:numFmt w:val="bullet"/>
      <w:lvlText w:val=""/>
      <w:lvlJc w:val="left"/>
      <w:pPr>
        <w:ind w:left="5040" w:hanging="360"/>
      </w:pPr>
      <w:rPr>
        <w:rFonts w:ascii="Wingdings" w:hAnsi="Wingdings" w:hint="default"/>
        <w:b/>
      </w:rPr>
    </w:lvl>
    <w:lvl w:ilvl="7" w:tplc="040C0003">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34C7B"/>
    <w:multiLevelType w:val="hybridMultilevel"/>
    <w:tmpl w:val="B9EAE000"/>
    <w:lvl w:ilvl="0" w:tplc="040C000F">
      <w:start w:val="1"/>
      <w:numFmt w:val="decimal"/>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046A88"/>
    <w:multiLevelType w:val="hybridMultilevel"/>
    <w:tmpl w:val="2070D616"/>
    <w:lvl w:ilvl="0" w:tplc="E48A045A">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8E06CB"/>
    <w:multiLevelType w:val="hybridMultilevel"/>
    <w:tmpl w:val="84AEB032"/>
    <w:lvl w:ilvl="0" w:tplc="E48A045A">
      <w:start w:val="1"/>
      <w:numFmt w:val="bullet"/>
      <w:lvlText w:val=""/>
      <w:lvlJc w:val="left"/>
      <w:pPr>
        <w:ind w:left="180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44D41"/>
    <w:multiLevelType w:val="hybridMultilevel"/>
    <w:tmpl w:val="C2CA61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207609"/>
    <w:multiLevelType w:val="hybridMultilevel"/>
    <w:tmpl w:val="0354E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6"/>
  </w:num>
  <w:num w:numId="6">
    <w:abstractNumId w:val="5"/>
  </w:num>
  <w:num w:numId="7">
    <w:abstractNumId w:val="7"/>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outlin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47"/>
    <w:rsid w:val="00055F03"/>
    <w:rsid w:val="007532D7"/>
    <w:rsid w:val="00775265"/>
    <w:rsid w:val="008A17CE"/>
    <w:rsid w:val="00A86447"/>
    <w:rsid w:val="00AD1571"/>
    <w:rsid w:val="00B50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379E"/>
  <w15:chartTrackingRefBased/>
  <w15:docId w15:val="{64519109-A030-4910-8FCB-B380A0C5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next w:val="Normal"/>
    <w:link w:val="Titre5Car"/>
    <w:autoRedefine/>
    <w:qFormat/>
    <w:rsid w:val="007532D7"/>
    <w:pPr>
      <w:spacing w:before="240" w:after="60" w:line="240" w:lineRule="auto"/>
      <w:jc w:val="both"/>
      <w:outlineLvl w:val="4"/>
    </w:pPr>
    <w:rPr>
      <w:b/>
      <w:bCs/>
      <w:i/>
      <w:iCs/>
      <w:caps/>
      <w:color w:val="FF0000"/>
      <w:sz w:val="24"/>
    </w:rPr>
  </w:style>
  <w:style w:type="paragraph" w:styleId="Titre6">
    <w:name w:val="heading 6"/>
    <w:basedOn w:val="Normal"/>
    <w:next w:val="Normal"/>
    <w:link w:val="Titre6Car"/>
    <w:uiPriority w:val="9"/>
    <w:unhideWhenUsed/>
    <w:qFormat/>
    <w:rsid w:val="0077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7532D7"/>
    <w:rPr>
      <w:b/>
      <w:bCs/>
      <w:i/>
      <w:iCs/>
      <w:caps/>
      <w:color w:val="FF0000"/>
      <w:sz w:val="24"/>
    </w:rPr>
  </w:style>
  <w:style w:type="paragraph" w:styleId="Listepuces">
    <w:name w:val="List Bullet"/>
    <w:basedOn w:val="Normal"/>
    <w:semiHidden/>
    <w:rsid w:val="00B50A6E"/>
    <w:pPr>
      <w:numPr>
        <w:numId w:val="1"/>
      </w:numPr>
      <w:jc w:val="both"/>
    </w:pPr>
    <w:rPr>
      <w:rFonts w:ascii="Times New Roman" w:hAnsi="Times New Roman"/>
    </w:rPr>
  </w:style>
  <w:style w:type="paragraph" w:styleId="Paragraphedeliste">
    <w:name w:val="List Paragraph"/>
    <w:basedOn w:val="Normal"/>
    <w:uiPriority w:val="34"/>
    <w:qFormat/>
    <w:rsid w:val="00775265"/>
    <w:pPr>
      <w:ind w:left="720"/>
      <w:contextualSpacing/>
    </w:pPr>
  </w:style>
  <w:style w:type="character" w:customStyle="1" w:styleId="Titre6Car">
    <w:name w:val="Titre 6 Car"/>
    <w:basedOn w:val="Policepardfaut"/>
    <w:link w:val="Titre6"/>
    <w:uiPriority w:val="9"/>
    <w:rsid w:val="0077526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3743</Words>
  <Characters>20587</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Brisson</dc:creator>
  <cp:keywords/>
  <dc:description/>
  <cp:lastModifiedBy>Jean-Francois Brisson</cp:lastModifiedBy>
  <cp:revision>3</cp:revision>
  <dcterms:created xsi:type="dcterms:W3CDTF">2024-10-27T18:35:00Z</dcterms:created>
  <dcterms:modified xsi:type="dcterms:W3CDTF">2024-10-28T14:35:00Z</dcterms:modified>
</cp:coreProperties>
</file>