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Scénario pédagogique d’un projet de contribution à Wikipédia</w:t>
      </w:r>
      <w:r>
        <w:rPr>
          <w:b/>
          <w:bCs/>
          <w:sz w:val="28"/>
          <w:szCs w:val="28"/>
        </w:rPr>
        <w:t xml:space="preserve"> (version simple)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40" w:before="40" w:line="240" w:lineRule="auto"/>
        <w:ind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Acquis d’apprentissage visés (AAV) :</w:t>
      </w:r>
      <w:r>
        <w:rPr>
          <w:rFonts w:eastAsia="Arial" w:cs="Arial"/>
          <w:color w:val="000000"/>
        </w:rPr>
      </w:r>
      <w:r>
        <w:rPr>
          <w:rFonts w:eastAsia="Arial" w:cs="Arial"/>
          <w:color w:val="000000"/>
        </w:rPr>
      </w:r>
    </w:p>
    <w:p>
      <w:pPr>
        <w:pStyle w:val="927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1 : </w:t>
      </w:r>
      <w:r>
        <w:rPr>
          <w:rFonts w:ascii="Arial" w:hAnsi="Arial" w:eastAsia="Times New Roman" w:cs="Arial"/>
        </w:rPr>
        <w:t xml:space="preserve">Evaluer la qualité d’une page Wikipédia à partir d’une grille critériée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27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2 : </w:t>
      </w:r>
      <w:r>
        <w:rPr>
          <w:rFonts w:ascii="Arial" w:hAnsi="Arial" w:eastAsia="Times New Roman" w:cs="Arial"/>
        </w:rPr>
        <w:t xml:space="preserve">Sourcer un document et vérifier les sources existantes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27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3 : </w:t>
      </w:r>
      <w:r>
        <w:rPr>
          <w:rFonts w:ascii="Arial" w:hAnsi="Arial" w:eastAsia="Times New Roman" w:cs="Arial"/>
        </w:rPr>
        <w:t xml:space="preserve">Enrichir/corriger le contenu d’une page Wikipédia existante (en citant les sources ad hoc)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27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4 : </w:t>
      </w:r>
      <w:r>
        <w:rPr>
          <w:rFonts w:ascii="Arial" w:hAnsi="Arial" w:eastAsia="Times New Roman" w:cs="Arial"/>
        </w:rPr>
        <w:t xml:space="preserve">Rédiger un contenu conforme aux attendus de Wikipédia (style encyclopédique)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27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5 : </w:t>
      </w:r>
      <w:r>
        <w:rPr>
          <w:rFonts w:ascii="Arial" w:hAnsi="Arial" w:eastAsia="Times New Roman" w:cs="Arial"/>
        </w:rPr>
        <w:t xml:space="preserve">Ajuster sa contribution selon les retours des Wikipédiens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27"/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tbl>
      <w:tblPr>
        <w:tblStyle w:val="930"/>
        <w:tblW w:w="15351" w:type="dxa"/>
        <w:tblInd w:w="0" w:type="dxa"/>
        <w:tblBorders/>
        <w:tblLayout w:type="fixed"/>
        <w:tblLook w:val="0400" w:firstRow="0" w:lastRow="0" w:firstColumn="0" w:lastColumn="0" w:noHBand="0" w:noVBand="1"/>
      </w:tblPr>
      <w:tblGrid>
        <w:gridCol w:w="5524"/>
        <w:gridCol w:w="9827"/>
      </w:tblGrid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EFFECTIF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MODALITÉ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Mixte</w:t>
            </w:r>
            <w:r>
              <w:rPr>
                <w:rFonts w:eastAsia="Arial" w:cs="Arial"/>
                <w:color w:val="000000"/>
              </w:rPr>
              <w:t xml:space="preserve"> (synchrone et asynchrone, présentiel et distanciel)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</w:r>
            <w:r>
              <w:rPr>
                <w:rFonts w:eastAsia="Arial" w:cs="Arial"/>
                <w:color w:val="000000"/>
              </w:rPr>
            </w:r>
          </w:p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En sous-groupes</w:t>
            </w:r>
            <w:r>
              <w:rPr>
                <w:rFonts w:eastAsia="Arial" w:cs="Arial"/>
                <w:color w:val="000000"/>
              </w:rPr>
              <w:t xml:space="preserve"> ou binômes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DURÉE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4 semaines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1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MATÉRIEL ET LOGISTIQUE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Kit pédagogique (Moodle) :</w:t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27"/>
              <w:numPr>
                <w:ilvl w:val="1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Grille critériée d’évaluation de la qualité d’une page Wikipédia</w:t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27"/>
              <w:numPr>
                <w:ilvl w:val="1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  <w:t xml:space="preserve">Fiches PDF Wikipédia</w:t>
            </w:r>
            <w:r>
              <w:rPr>
                <w:rFonts w:ascii="Arial" w:hAnsi="Arial" w:eastAsia="Arial" w:cs="Arial"/>
                <w:color w:val="000000"/>
              </w:rPr>
            </w:r>
            <w:r/>
            <w:r>
              <w:rPr>
                <w:rFonts w:ascii="Arial" w:hAnsi="Arial" w:eastAsia="Arial" w:cs="Arial"/>
                <w:color w:val="000000"/>
                <w:highlight w:val="none"/>
              </w:rPr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27"/>
              <w:numPr>
                <w:ilvl w:val="1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highlight w:val="none"/>
              </w:rPr>
              <w:t xml:space="preserve">Vidéos Wikimédia France</w:t>
            </w:r>
            <w:r>
              <w:rPr>
                <w:rFonts w:ascii="Arial" w:hAnsi="Arial" w:eastAsia="Arial" w:cs="Arial"/>
                <w:color w:val="000000"/>
                <w:highlight w:val="none"/>
              </w:rPr>
            </w:r>
          </w:p>
          <w:p>
            <w:pPr>
              <w:pStyle w:val="927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Pages Wikipédia à améliorer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27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Jeu </w:t>
            </w:r>
            <w:r>
              <w:rPr>
                <w:rFonts w:ascii="Arial" w:hAnsi="Arial" w:eastAsia="Arial" w:cs="Arial"/>
                <w:color w:val="000000"/>
              </w:rPr>
              <w:t xml:space="preserve">Wikeys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 xml:space="preserve">imprimé </w:t>
            </w:r>
            <w:r>
              <w:rPr>
                <w:rFonts w:ascii="Arial" w:hAnsi="Arial" w:eastAsia="Arial" w:cs="Arial"/>
                <w:color w:val="000000"/>
              </w:rPr>
              <w:t xml:space="preserve">: </w:t>
            </w:r>
            <w:hyperlink r:id="rId9" w:tooltip="https://www.wikimedia.fr/wikeys/" w:history="1">
              <w:r>
                <w:rPr>
                  <w:rStyle w:val="929"/>
                  <w:rFonts w:ascii="Arial" w:hAnsi="Arial" w:eastAsia="Arial" w:cs="Arial"/>
                </w:rPr>
                <w:t xml:space="preserve">https://www.wikimedia.fr/wikeys/</w:t>
              </w:r>
            </w:hyperlink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highlight w:val="none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Bdr/>
              <w:spacing w:after="40" w:before="4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 w:line="259" w:lineRule="auto"/>
        <w:ind/>
        <w:rPr/>
      </w:pPr>
      <w:r>
        <w:br w:type="page" w:clear="all"/>
      </w:r>
      <w:r/>
    </w:p>
    <w:tbl>
      <w:tblPr>
        <w:tblStyle w:val="932"/>
        <w:tblW w:w="15405" w:type="dxa"/>
        <w:tblBorders/>
        <w:tblLook w:val="04A0" w:firstRow="1" w:lastRow="0" w:firstColumn="1" w:lastColumn="0" w:noHBand="0" w:noVBand="1"/>
      </w:tblPr>
      <w:tblGrid>
        <w:gridCol w:w="1129"/>
        <w:gridCol w:w="2977"/>
        <w:gridCol w:w="3686"/>
        <w:gridCol w:w="3543"/>
        <w:gridCol w:w="2268"/>
        <w:gridCol w:w="1802"/>
      </w:tblGrid>
      <w:tr>
        <w:trPr>
          <w:trHeight w:val="846"/>
        </w:trPr>
        <w:tc>
          <w:tcPr>
            <w:shd w:val="clear" w:color="auto" w:fill="635141"/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Etape</w:t>
            </w:r>
            <w:r>
              <w:rPr>
                <w:b/>
                <w:bCs/>
                <w:color w:val="ffffff" w:themeColor="background1"/>
              </w:rPr>
              <w:t xml:space="preserve"> et AAV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Conditions de réussite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étudiantes</w:t>
            </w:r>
            <w:r>
              <w:rPr>
                <w:b/>
                <w:bCs/>
                <w:color w:val="ffffff" w:themeColor="background1"/>
              </w:rPr>
              <w:t xml:space="preserve"> et modalités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enseignantes/</w:t>
            </w:r>
            <w:r>
              <w:rPr>
                <w:b/>
                <w:bCs/>
                <w:color w:val="ffffff" w:themeColor="background1"/>
              </w:rPr>
              <w:t xml:space="preserve">DirDoc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Ressources et outils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Livrables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>
              <w:t xml:space="preserve">AAV 1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Les étudiants doivent connaître les notions théoriques liées à Wikipédia et à la contribution (principes fondateurs). Ils doivent également jouer à </w:t>
            </w:r>
            <w:r>
              <w:t xml:space="preserve">Wikeys</w:t>
            </w:r>
            <w:r>
              <w:t xml:space="preserve"> pour affirmer leurs connaissances</w:t>
            </w:r>
            <w:r>
              <w:t xml:space="preserve"> et comprendre les enjeux de la contribution</w:t>
            </w:r>
            <w:r>
              <w:t xml:space="preserve">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Le </w:t>
            </w:r>
            <w:r>
              <w:rPr>
                <w:b/>
                <w:bCs/>
              </w:rPr>
              <w:t xml:space="preserve">jeu </w:t>
            </w:r>
            <w:r>
              <w:rPr>
                <w:b/>
                <w:bCs/>
              </w:rPr>
              <w:t xml:space="preserve">Wikeys</w:t>
            </w:r>
            <w:r>
              <w:t xml:space="preserve"> fonctionne très mal en distanciel. Il est donc fortement recommandé de le proposer en </w:t>
            </w:r>
            <w:r>
              <w:rPr>
                <w:b/>
                <w:bCs/>
              </w:rPr>
              <w:t xml:space="preserve">présentiel</w:t>
            </w:r>
            <w:r>
              <w:t xml:space="preserve"> et pour une durée de </w:t>
            </w:r>
            <w:r>
              <w:rPr>
                <w:b/>
                <w:bCs/>
              </w:rPr>
              <w:t xml:space="preserve">3 heures minimum</w:t>
            </w:r>
            <w:r>
              <w:t xml:space="preserve">.</w:t>
            </w:r>
            <w:r>
              <w:t xml:space="preserve"> </w:t>
            </w:r>
            <w:r>
              <w:t xml:space="preserve">Parmi ces 3 heu</w:t>
            </w:r>
            <w:r>
              <w:t xml:space="preserve">res, comptez l’introduction du jeu auprès des étudiantes et étudiants, la mis en place, l’explication des règles, une partie « de chauffe », deux ou trois parties de jeu, ainsi qu’un débriefing et une remise en contexte du jeu en lien avec la contribution.</w:t>
            </w:r>
            <w:r/>
            <w:r>
              <w:t xml:space="preserve"> Si vous avez plus de 2 groupes, des </w:t>
            </w:r>
            <w:r>
              <w:rPr>
                <w:b/>
                <w:bCs/>
              </w:rPr>
              <w:t xml:space="preserve">tuteurs</w:t>
            </w:r>
            <w:r>
              <w:t xml:space="preserve"> seront nécessaires pour l’animation du jeu.</w:t>
            </w:r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Prendre connaissance des notions théoriques liées au fonctionnement de Wikipédia et </w:t>
            </w:r>
            <w:r>
              <w:rPr>
                <w:rFonts w:ascii="Arial" w:hAnsi="Arial" w:cs="Arial"/>
              </w:rPr>
              <w:t xml:space="preserve">aux enjeux de</w:t>
            </w:r>
            <w:r>
              <w:rPr>
                <w:rFonts w:ascii="Arial" w:hAnsi="Arial" w:cs="Arial"/>
              </w:rPr>
              <w:t xml:space="preserve"> la contribution sur Wikipédia.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Jouer à </w:t>
            </w:r>
            <w:r>
              <w:rPr>
                <w:rFonts w:ascii="Arial" w:hAnsi="Arial" w:cs="Arial"/>
              </w:rPr>
              <w:t xml:space="preserve">Wikeys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11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(Synchrone</w:t>
            </w:r>
            <w:r>
              <w:rPr>
                <w:rFonts w:cs="Arial"/>
                <w:b/>
                <w:bCs/>
              </w:rPr>
              <w:t xml:space="preserve"> – Présentiel</w:t>
            </w:r>
            <w:r>
              <w:rPr>
                <w:rFonts w:cs="Arial"/>
                <w:b/>
                <w:bCs/>
              </w:rPr>
              <w:t xml:space="preserve">)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Prendre connaissance de la grille d’évaluation d’un article Wikipédia et des articles à évaluer proposés par l’équipe pédagogique.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Evaluer le ou les article(s) Wikipédia à l’aide de la grille et identifier les points d’amélioration de ce dernier.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 la contribution dans Wikipédia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Animer une partie de </w:t>
            </w:r>
            <w:r>
              <w:rPr>
                <w:rFonts w:ascii="Arial" w:hAnsi="Arial" w:cs="Arial"/>
              </w:rPr>
              <w:t xml:space="preserve">Wikeys</w:t>
            </w:r>
            <w:r>
              <w:rPr>
                <w:rFonts w:ascii="Arial" w:hAnsi="Arial" w:cs="Arial"/>
              </w:rPr>
              <w:t xml:space="preserve"> (appui de la </w:t>
            </w:r>
            <w:r>
              <w:rPr>
                <w:rFonts w:ascii="Arial" w:hAnsi="Arial" w:cs="Arial"/>
              </w:rPr>
              <w:t xml:space="preserve">DirDoc</w:t>
            </w:r>
            <w:r>
              <w:rPr>
                <w:rFonts w:ascii="Arial" w:hAnsi="Arial" w:cs="Arial"/>
              </w:rPr>
              <w:t xml:space="preserve"> possible)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</w:t>
            </w:r>
            <w:r>
              <w:rPr>
                <w:rFonts w:ascii="Arial" w:hAnsi="Arial" w:cs="Arial"/>
              </w:rPr>
              <w:t xml:space="preserve"> l’utilisation de la grille critériée pour l’évaluation de la qualité d’un article Wikipédia.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Indiquer aux étudiants les articles qui devront être évaluer par leurs soins.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Dans la mesure du possible, informer la communauté Wikipédia Bordeaux de ce projet pour solliciter leurs interactions (</w:t>
            </w:r>
            <w:hyperlink r:id="rId10" w:tooltip="https://fr.wikipedia.org/wiki/Wikip%C3%A9dia:Rencontres/Aquitaine/Cubale" w:history="1">
              <w:r>
                <w:rPr>
                  <w:rStyle w:val="929"/>
                  <w:rFonts w:ascii="Arial" w:hAnsi="Arial" w:cs="Arial"/>
                  <w:color w:val="000000" w:themeColor="text1"/>
                  <w:highlight w:val="none"/>
                </w:rPr>
                <w:t xml:space="preserve">lien contact</w:t>
              </w:r>
            </w:hyperlink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)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1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Fiches PDF</w:t>
            </w:r>
            <w:r>
              <w:rPr>
                <w:rFonts w:ascii="Arial" w:hAnsi="Arial" w:cs="Arial"/>
              </w:rPr>
              <w:t xml:space="preserve"> « Principes fondateurs » et « Qualité » (</w:t>
            </w:r>
            <w:r>
              <w:rPr>
                <w:rFonts w:ascii="Arial" w:hAnsi="Arial" w:cs="Arial"/>
              </w:rPr>
              <w:t xml:space="preserve">niv</w:t>
            </w:r>
            <w:r>
              <w:rPr>
                <w:rFonts w:ascii="Arial" w:hAnsi="Arial" w:cs="Arial"/>
              </w:rPr>
              <w:t xml:space="preserve"> 1, 2 et 3)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Jeu </w:t>
            </w:r>
            <w:r>
              <w:rPr>
                <w:rFonts w:ascii="Arial" w:hAnsi="Arial" w:cs="Arial"/>
                <w:b/>
                <w:bCs/>
              </w:rPr>
              <w:t xml:space="preserve">Wikeys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11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Grille critériée</w:t>
            </w:r>
            <w:r>
              <w:rPr>
                <w:rFonts w:ascii="Arial" w:hAnsi="Arial" w:cs="Arial"/>
              </w:rPr>
              <w:t xml:space="preserve"> d’évaluation de la qualité d’un article Wikipédia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avec </w:t>
            </w:r>
            <w:r>
              <w:rPr>
                <w:rFonts w:ascii="Arial" w:hAnsi="Arial" w:cs="Arial"/>
                <w:color w:val="000000" w:themeColor="text1"/>
              </w:rPr>
              <w:t xml:space="preserve">articles d’exemples (article de qualité, article plus contesté)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 w:firstLine="0"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highlight w:val="none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Articles</w:t>
            </w:r>
            <w:r>
              <w:rPr>
                <w:rFonts w:ascii="Arial" w:hAnsi="Arial" w:cs="Arial"/>
              </w:rPr>
              <w:t xml:space="preserve"> Wikipédia à améliorer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/>
              <w:ind w:left="283"/>
              <w:rPr/>
            </w:pPr>
            <w:r/>
            <w:r/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Article(s) évalué(s) et sélection </w:t>
            </w:r>
            <w:r>
              <w:t xml:space="preserve">de l’article</w:t>
            </w:r>
            <w:r>
              <w:t xml:space="preserve"> à améliorer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2</w:t>
            </w:r>
            <w:r/>
          </w:p>
          <w:p>
            <w:pPr>
              <w:pBdr/>
              <w:spacing/>
              <w:ind/>
              <w:rPr/>
            </w:pPr>
            <w:r>
              <w:t xml:space="preserve">AAV 2 et 4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 point entre les étudiants et l’équipe pédagogique en milieu de semaine est fortement recommandé. Il </w:t>
            </w:r>
            <w:r>
              <w:t xml:space="preserve">permettra de recadrer si nécessaire ou à minima, de conseiller.</w:t>
            </w:r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former à la méthodologie de recherche documentaire.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</w:t>
            </w:r>
            <w:r>
              <w:rPr>
                <w:rFonts w:ascii="Arial" w:hAnsi="Arial" w:cs="Arial"/>
                <w:b/>
                <w:bCs/>
              </w:rPr>
              <w:t xml:space="preserve"> ou asynchrone</w:t>
            </w:r>
            <w:r>
              <w:rPr>
                <w:rFonts w:ascii="Arial" w:hAnsi="Arial" w:cs="Arial"/>
                <w:b/>
                <w:bCs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  <w:p>
            <w:pPr>
              <w:pStyle w:val="927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étudiants font de la recherche documentaire qualitative afin d’identifier les sources secondaires qui seront utilisées pour l’amélioration de leur article Wikipédia.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11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(Synchrone ou asynchrone)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étudiants produisent sous format Word le brouillon de leur texte de contribution, ainsi que la bibliographie.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</w:t>
            </w:r>
            <w:r>
              <w:rPr>
                <w:rFonts w:ascii="Arial" w:hAnsi="Arial" w:cs="Arial"/>
                <w:b/>
                <w:bCs/>
              </w:rPr>
              <w:t xml:space="preserve">Synhrone</w:t>
            </w:r>
            <w:r>
              <w:rPr>
                <w:rFonts w:ascii="Arial" w:hAnsi="Arial" w:cs="Arial"/>
                <w:b/>
                <w:bCs/>
              </w:rPr>
              <w:t xml:space="preserve">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3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 la méthodologie de recherche documentaire. La </w:t>
            </w:r>
            <w:r>
              <w:rPr>
                <w:rFonts w:ascii="Arial" w:hAnsi="Arial" w:cs="Arial"/>
              </w:rPr>
              <w:t xml:space="preserve">DirDoc</w:t>
            </w:r>
            <w:r>
              <w:rPr>
                <w:rFonts w:ascii="Arial" w:hAnsi="Arial" w:cs="Arial"/>
              </w:rPr>
              <w:t xml:space="preserve"> peut intervenir pour ce point.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</w:p>
          <w:p>
            <w:pPr>
              <w:pStyle w:val="927"/>
              <w:numPr>
                <w:ilvl w:val="0"/>
                <w:numId w:val="13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</w:t>
            </w:r>
            <w:r>
              <w:rPr>
                <w:rFonts w:ascii="Arial" w:hAnsi="Arial" w:cs="Arial"/>
              </w:rPr>
              <w:t xml:space="preserve"> pour éventuellement recadrer sur les sources identifiées.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13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6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Babord</w:t>
            </w:r>
            <w:r>
              <w:rPr>
                <w:rFonts w:ascii="Arial" w:hAnsi="Arial" w:cs="Arial"/>
              </w:rPr>
              <w:t xml:space="preserve">+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Sources de </w:t>
            </w:r>
            <w:r>
              <w:rPr>
                <w:rFonts w:ascii="Arial" w:hAnsi="Arial" w:cs="Arial"/>
              </w:rPr>
              <w:t xml:space="preserve">référence du domaine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/>
            </w:pPr>
            <w:r/>
            <w:r/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Brouillon de la contribution produit sous </w:t>
            </w:r>
            <w:r>
              <w:t xml:space="preserve">format Word et bibliographie.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3</w:t>
            </w:r>
            <w:r/>
          </w:p>
          <w:p>
            <w:pPr>
              <w:pBdr/>
              <w:spacing/>
              <w:ind/>
              <w:rPr/>
            </w:pPr>
            <w:r>
              <w:t xml:space="preserve">AAV 3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Prise en main de Wikipédia de la création d’un brouillon aux différentes modalités de publication</w:t>
            </w:r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7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Consulter les ressources vidéo Wikimédia France sur la contribution dans Wikipédia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eastAsia="Times New Roman" w:cs="Arial"/>
                <w:szCs w:val="20"/>
              </w:rPr>
              <w:t xml:space="preserve">relatives à la prise en main de l’outil encyclopédique qu’est Wikipédia</w:t>
            </w:r>
            <w:r>
              <w:rPr>
                <w:rFonts w:ascii="Arial" w:hAnsi="Arial" w:eastAsia="Times New Roman" w:cs="Arial"/>
                <w:szCs w:val="20"/>
              </w:rPr>
              <w:br/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(Asynchrone)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numPr>
                <w:ilvl w:val="0"/>
                <w:numId w:val="17"/>
              </w:numPr>
              <w:pBdr/>
              <w:spacing w:after="0" w:line="360" w:lineRule="auto"/>
              <w:ind w:firstLine="0" w:left="113"/>
              <w:rPr/>
            </w:pPr>
            <w:r>
              <w:rPr>
                <w:rFonts w:ascii="Arial" w:hAnsi="Arial" w:cs="Arial"/>
              </w:rPr>
              <w:t xml:space="preserve">Poursuivre l’écriture du brouillon de l’article dans Wikipédia et publier la contribution.</w:t>
            </w:r>
            <w:r/>
          </w:p>
          <w:p>
            <w:pPr>
              <w:pBdr/>
              <w:spacing w:after="0" w:line="360" w:lineRule="auto"/>
              <w:ind w:firstLine="0" w:left="113"/>
              <w:rPr/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</w:rPr>
              <w:t xml:space="preserve">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Cs w:val="20"/>
              </w:rPr>
              <w:t xml:space="preserve">création d’un article Wikipédia : publication du brouillon.</w:t>
            </w:r>
            <w:r>
              <w:rPr>
                <w:rFonts w:ascii="Arial" w:hAnsi="Arial" w:eastAsia="Times New Roman" w:cs="Arial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Cs w:val="20"/>
              </w:rPr>
              <w:br/>
              <w:t xml:space="preserve">Si </w:t>
            </w:r>
            <w:r>
              <w:rPr>
                <w:rFonts w:ascii="Arial" w:hAnsi="Arial" w:eastAsia="Times New Roman" w:cs="Arial"/>
                <w:szCs w:val="20"/>
              </w:rPr>
              <w:t xml:space="preserve">modification d’un article déjà existant : intégration des enrichissements sourcés, apposition du bandeau « en travaux », apposition d’un commentaire dans la page de discussion indiquant qu’une modification est en cours.</w:t>
            </w:r>
            <w:r>
              <w:rPr>
                <w:rFonts w:ascii="Arial" w:hAnsi="Arial" w:eastAsia="Times New Roman" w:cs="Arial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</w:t>
            </w:r>
            <w:r>
              <w:rPr>
                <w:rFonts w:ascii="Arial" w:hAnsi="Arial" w:cs="Arial"/>
                <w:b/>
                <w:bCs/>
              </w:rPr>
              <w:t xml:space="preserve">Synchrone ou a</w:t>
            </w:r>
            <w:r>
              <w:rPr>
                <w:rFonts w:ascii="Arial" w:hAnsi="Arial" w:cs="Arial"/>
                <w:b/>
                <w:bCs/>
              </w:rPr>
              <w:t xml:space="preserve">synchrone)</w:t>
            </w:r>
            <w:r>
              <w:rPr>
                <w:rFonts w:ascii="Arial" w:hAnsi="Arial" w:cs="Arial"/>
                <w:highlight w:val="none"/>
              </w:rPr>
            </w:r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</w:t>
            </w:r>
            <w:r>
              <w:rPr>
                <w:rFonts w:ascii="Arial" w:hAnsi="Arial" w:cs="Arial"/>
              </w:rPr>
              <w:t xml:space="preserve">les étudiants à la prise en main de Wikipédia, à l’élaboration d’un brouillon dans Wikipédia et aux différents formats de publication (</w:t>
            </w:r>
            <w:r>
              <w:rPr>
                <w:rFonts w:ascii="Arial" w:hAnsi="Arial" w:cs="Arial"/>
              </w:rPr>
              <w:t xml:space="preserve">DirDoc</w:t>
            </w:r>
            <w:r>
              <w:rPr>
                <w:rFonts w:ascii="Arial" w:hAnsi="Arial" w:cs="Arial"/>
              </w:rPr>
              <w:t xml:space="preserve"> en appui si besoin).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113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27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27"/>
              <w:numPr>
                <w:ilvl w:val="0"/>
                <w:numId w:val="1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 (</w:t>
            </w:r>
            <w:r>
              <w:rPr>
                <w:rFonts w:ascii="Arial" w:hAnsi="Arial" w:cs="Arial"/>
              </w:rPr>
              <w:t xml:space="preserve">DirDoc</w:t>
            </w:r>
            <w:r>
              <w:rPr>
                <w:rFonts w:ascii="Arial" w:hAnsi="Arial" w:cs="Arial"/>
              </w:rPr>
              <w:t xml:space="preserve"> au besoin).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27"/>
              <w:numPr>
                <w:ilvl w:val="0"/>
                <w:numId w:val="18"/>
              </w:numPr>
              <w:pBdr/>
              <w:spacing w:after="0" w:line="360" w:lineRule="auto"/>
              <w:ind/>
              <w:rPr>
                <w:rFonts w:ascii="Arial" w:hAnsi="Arial" w:cs="Arial"/>
                <w:b/>
                <w:bCs/>
              </w:rPr>
            </w:pPr>
            <w:r/>
            <w:commentRangeStart w:id="0"/>
            <w:r>
              <w:rPr>
                <w:rFonts w:ascii="Arial" w:hAnsi="Arial" w:cs="Arial"/>
                <w:b/>
                <w:bCs/>
              </w:rPr>
              <w:t xml:space="preserve">Vidéos Wikimédia France</w:t>
            </w:r>
            <w:commentRangeEnd w:id="0"/>
            <w:r>
              <w:commentReference w:id="0"/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Contribution publiée sur l’article Wikipédia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4</w:t>
            </w:r>
            <w:r/>
          </w:p>
          <w:p>
            <w:pPr>
              <w:pBdr/>
              <w:spacing/>
              <w:ind/>
              <w:rPr/>
            </w:pPr>
            <w:r>
              <w:t xml:space="preserve">AAV 5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Mettre une date limite pour l’ajustement de la contribution selon les retours des Wikipédiens et prendre en compte ces modifications post-publication dans la note</w:t>
            </w:r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Être à l’écoute des éventuels retours des Wikipédiens et contribuer de façon continue à l’amélioration de l</w:t>
            </w:r>
            <w:r>
              <w:rPr>
                <w:rFonts w:eastAsia="Times New Roman" w:cs="Arial"/>
                <w:szCs w:val="20"/>
              </w:rPr>
              <w:t xml:space="preserve">’article</w:t>
            </w:r>
            <w:r>
              <w:rPr>
                <w:rFonts w:eastAsia="Times New Roman" w:cs="Arial"/>
                <w:szCs w:val="20"/>
              </w:rPr>
              <w:t xml:space="preserve"> Wikipédia</w:t>
            </w:r>
            <w:r>
              <w:rPr>
                <w:rFonts w:eastAsia="Times New Roman" w:cs="Arial"/>
                <w:szCs w:val="20"/>
              </w:rPr>
              <w:t xml:space="preserve"> jusqu’à la date fixée par l’équipe pédagogique</w:t>
            </w:r>
            <w:r>
              <w:rPr>
                <w:rFonts w:eastAsia="Times New Roman" w:cs="Arial"/>
                <w:szCs w:val="20"/>
              </w:rPr>
              <w:t xml:space="preserve">.</w:t>
            </w:r>
            <w:r>
              <w:rPr>
                <w:rFonts w:eastAsia="Times New Roman" w:cs="Arial"/>
                <w:szCs w:val="20"/>
              </w:rPr>
            </w:r>
            <w:r>
              <w:rPr>
                <w:rFonts w:eastAsia="Times New Roman" w:cs="Arial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(Asynchrone)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S’assurer que les étudiants effectuent bien les modifications si retours des Wikipédiens il y a.</w:t>
            </w:r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Page de discussion de l’article.</w:t>
            </w:r>
            <w:r/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Publier des modifications.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720" w:right="720" w:bottom="720" w:left="720" w:header="708" w:footer="708" w:gutter="0"/>
      <w:cols w:num="1" w:sep="0" w:space="708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ais Liger" w:date="2025-02-13T15:51:00Z" w:initials="AL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Comment je me créer un compte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Utiliser un brouillon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Sources secondaires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Les modèles pour éditer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La citation des sources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Les liens internes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Wikimédia commons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Comment publier une modification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589388" w16cex:dateUtc="2025-02-13T14:5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9" w16cid:durableId="2B5893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6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2"/>
  </w:num>
  <w:num w:numId="21">
    <w:abstractNumId w:val="10"/>
  </w:num>
  <w:num w:numId="22">
    <w:abstractNumId w:val="21"/>
  </w:num>
  <w:num w:numId="23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is Liger">
    <w15:presenceInfo w15:providerId="AD" w15:userId="S-1-5-21-3808953294-4194656189-3653922618-136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>
    <w:name w:val="Heading 1"/>
    <w:basedOn w:val="923"/>
    <w:next w:val="923"/>
    <w:link w:val="7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0">
    <w:name w:val="Heading 1 Char"/>
    <w:basedOn w:val="924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923"/>
    <w:next w:val="92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basedOn w:val="924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>
    <w:name w:val="Heading 3"/>
    <w:basedOn w:val="923"/>
    <w:next w:val="92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>
    <w:name w:val="Heading 3 Char"/>
    <w:basedOn w:val="924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923"/>
    <w:next w:val="92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basedOn w:val="924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923"/>
    <w:next w:val="92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basedOn w:val="924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923"/>
    <w:next w:val="92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basedOn w:val="924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923"/>
    <w:next w:val="92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basedOn w:val="924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923"/>
    <w:next w:val="92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basedOn w:val="924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923"/>
    <w:next w:val="923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pBdr/>
      <w:spacing w:after="0" w:before="0" w:line="240" w:lineRule="auto"/>
      <w:ind/>
    </w:pPr>
  </w:style>
  <w:style w:type="paragraph" w:styleId="767">
    <w:name w:val="Title"/>
    <w:basedOn w:val="923"/>
    <w:next w:val="923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>
    <w:name w:val="Title Char"/>
    <w:basedOn w:val="924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923"/>
    <w:next w:val="923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>
    <w:name w:val="Subtitle Char"/>
    <w:basedOn w:val="924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923"/>
    <w:next w:val="923"/>
    <w:link w:val="772"/>
    <w:uiPriority w:val="29"/>
    <w:qFormat/>
    <w:pPr>
      <w:pBdr/>
      <w:spacing/>
      <w:ind w:right="720" w:left="720"/>
    </w:pPr>
    <w:rPr>
      <w:i/>
    </w:rPr>
  </w:style>
  <w:style w:type="character" w:styleId="772">
    <w:name w:val="Quote Char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923"/>
    <w:next w:val="923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4">
    <w:name w:val="Intense Quote Char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923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>
    <w:name w:val="Header Char"/>
    <w:basedOn w:val="924"/>
    <w:link w:val="775"/>
    <w:uiPriority w:val="99"/>
    <w:pPr>
      <w:pBdr/>
      <w:spacing/>
      <w:ind/>
    </w:pPr>
  </w:style>
  <w:style w:type="paragraph" w:styleId="777">
    <w:name w:val="Footer"/>
    <w:basedOn w:val="923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>
    <w:name w:val="Footer Char"/>
    <w:basedOn w:val="924"/>
    <w:link w:val="777"/>
    <w:uiPriority w:val="99"/>
    <w:pPr>
      <w:pBdr/>
      <w:spacing/>
      <w:ind/>
    </w:pPr>
  </w:style>
  <w:style w:type="paragraph" w:styleId="779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  <w:pPr>
      <w:pBdr/>
      <w:spacing/>
      <w:ind/>
    </w:pPr>
  </w:style>
  <w:style w:type="table" w:styleId="781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footnote text"/>
    <w:basedOn w:val="923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924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>
    <w:name w:val="Endnote Text Char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3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4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5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6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7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8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19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0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 w:line="360" w:lineRule="auto"/>
      <w:ind/>
    </w:pPr>
    <w:rPr>
      <w:rFonts w:ascii="Arial" w:hAnsi="Arial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List Paragraph"/>
    <w:basedOn w:val="923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Calibri"/>
      <w:lang w:eastAsia="zh-CN"/>
    </w:rPr>
  </w:style>
  <w:style w:type="table" w:styleId="928" w:customStyle="1">
    <w:name w:val="StGen0"/>
    <w:basedOn w:val="925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930" w:customStyle="1">
    <w:name w:val="StGen1"/>
    <w:basedOn w:val="925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StGen2"/>
    <w:basedOn w:val="925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Table Grid"/>
    <w:basedOn w:val="92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annotation reference"/>
    <w:basedOn w:val="92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4">
    <w:name w:val="annotation text"/>
    <w:basedOn w:val="923"/>
    <w:link w:val="935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5" w:customStyle="1">
    <w:name w:val="Commentaire Car"/>
    <w:basedOn w:val="924"/>
    <w:link w:val="93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pPr>
      <w:pBdr/>
      <w:spacing/>
      <w:ind/>
    </w:pPr>
    <w:rPr>
      <w:b/>
      <w:bCs/>
    </w:rPr>
  </w:style>
  <w:style w:type="character" w:styleId="937" w:customStyle="1">
    <w:name w:val="Objet du commentaire Car"/>
    <w:basedOn w:val="935"/>
    <w:link w:val="936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character" w:styleId="938" w:customStyle="1">
    <w:name w:val="Heading 9 Char"/>
    <w:basedOn w:val="9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wikimedia.fr/wikeys/" TargetMode="External"/><Relationship Id="rId10" Type="http://schemas.openxmlformats.org/officeDocument/2006/relationships/hyperlink" Target="https://fr.wikipedia.org/wiki/Wikip%C3%A9dia:Rencontres/Aquitaine/Cubale" TargetMode="External"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Universite de Bordeaux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Liger</dc:creator>
  <cp:keywords/>
  <dc:description/>
  <cp:lastModifiedBy>Anais Liger</cp:lastModifiedBy>
  <cp:revision>58</cp:revision>
  <dcterms:created xsi:type="dcterms:W3CDTF">2025-02-13T12:42:00Z</dcterms:created>
  <dcterms:modified xsi:type="dcterms:W3CDTF">2025-05-19T13:01:18Z</dcterms:modified>
</cp:coreProperties>
</file>