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Scénario pédagogique d’un projet de contribution à Wikipédia</w:t>
      </w:r>
      <w:r>
        <w:rPr>
          <w:b/>
          <w:bCs/>
          <w:sz w:val="28"/>
          <w:szCs w:val="28"/>
        </w:rPr>
        <w:t xml:space="preserve"> (version </w:t>
      </w:r>
      <w:r>
        <w:rPr>
          <w:b/>
          <w:bCs/>
          <w:sz w:val="28"/>
          <w:szCs w:val="28"/>
        </w:rPr>
        <w:t xml:space="preserve">projet tutoré</w:t>
      </w:r>
      <w:r>
        <w:rPr>
          <w:b/>
          <w:bCs/>
          <w:sz w:val="28"/>
          <w:szCs w:val="28"/>
        </w:rPr>
        <w:t xml:space="preserve">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after="40" w:before="40" w:line="240" w:lineRule="auto"/>
        <w:ind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Acquis d’apprentissage visés (AAV) :</w:t>
      </w:r>
      <w:r>
        <w:rPr>
          <w:rFonts w:eastAsia="Arial" w:cs="Arial"/>
          <w:color w:val="000000"/>
        </w:rPr>
      </w:r>
      <w:r>
        <w:rPr>
          <w:rFonts w:eastAsia="Arial" w:cs="Arial"/>
          <w:color w:val="000000"/>
        </w:rPr>
      </w:r>
    </w:p>
    <w:p>
      <w:pPr>
        <w:pStyle w:val="935"/>
        <w:numPr>
          <w:ilvl w:val="0"/>
          <w:numId w:val="1"/>
        </w:numPr>
        <w:pBdr/>
        <w:spacing w:after="40" w:before="40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AAV 1 : </w:t>
      </w:r>
      <w:r>
        <w:rPr>
          <w:rFonts w:ascii="Arial" w:hAnsi="Arial" w:eastAsia="Times New Roman" w:cs="Arial"/>
        </w:rPr>
        <w:t xml:space="preserve">Evaluer la qualité d’une page Wikipédia à partir d’une grille critériée</w:t>
      </w: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>
      <w:pPr>
        <w:pStyle w:val="935"/>
        <w:numPr>
          <w:ilvl w:val="0"/>
          <w:numId w:val="1"/>
        </w:numPr>
        <w:pBdr/>
        <w:spacing w:after="40" w:before="40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AAV 2 : </w:t>
      </w:r>
      <w:r>
        <w:rPr>
          <w:rFonts w:ascii="Arial" w:hAnsi="Arial" w:eastAsia="Times New Roman" w:cs="Arial"/>
        </w:rPr>
        <w:t xml:space="preserve">Sourcer un document et vérifier les sources existantes</w:t>
      </w: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>
      <w:pPr>
        <w:pStyle w:val="935"/>
        <w:numPr>
          <w:ilvl w:val="0"/>
          <w:numId w:val="1"/>
        </w:numPr>
        <w:pBdr/>
        <w:spacing w:after="40" w:before="40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AAV 3 : </w:t>
      </w:r>
      <w:r>
        <w:rPr>
          <w:rFonts w:ascii="Arial" w:hAnsi="Arial" w:eastAsia="Times New Roman" w:cs="Arial"/>
        </w:rPr>
        <w:t xml:space="preserve">Enrichir/corriger le contenu d’une page Wikipédia existante (en citant les sources ad hoc)</w:t>
      </w: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>
      <w:pPr>
        <w:pStyle w:val="935"/>
        <w:numPr>
          <w:ilvl w:val="0"/>
          <w:numId w:val="1"/>
        </w:numPr>
        <w:pBdr/>
        <w:spacing w:after="40" w:before="40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AAV 4 : </w:t>
      </w:r>
      <w:r>
        <w:rPr>
          <w:rFonts w:ascii="Arial" w:hAnsi="Arial" w:eastAsia="Times New Roman" w:cs="Arial"/>
        </w:rPr>
        <w:t xml:space="preserve">Rédiger un contenu conforme aux attendus de Wikipédia (style encyclopédique)</w:t>
      </w: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>
      <w:pPr>
        <w:pStyle w:val="935"/>
        <w:numPr>
          <w:ilvl w:val="0"/>
          <w:numId w:val="1"/>
        </w:numPr>
        <w:pBdr/>
        <w:spacing w:after="40" w:before="40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AAV 5 : </w:t>
      </w:r>
      <w:r>
        <w:rPr>
          <w:rFonts w:ascii="Arial" w:hAnsi="Arial" w:eastAsia="Times New Roman" w:cs="Arial"/>
        </w:rPr>
        <w:t xml:space="preserve">Ajuster sa contribution selon les retours des Wikipédiens</w:t>
      </w:r>
      <w:r>
        <w:rPr>
          <w:rFonts w:ascii="Arial" w:hAnsi="Arial" w:eastAsia="Times New Roman" w:cs="Arial"/>
        </w:rPr>
        <w:br/>
      </w: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  <w:r/>
      <w:r/>
      <w:r>
        <w:rPr>
          <w:rFonts w:ascii="Arial" w:hAnsi="Arial" w:eastAsia="Times New Roman" w:cs="Arial"/>
        </w:rPr>
      </w:r>
    </w:p>
    <w:tbl>
      <w:tblPr>
        <w:tblStyle w:val="938"/>
        <w:tblW w:w="15351" w:type="dxa"/>
        <w:tblInd w:w="0" w:type="dxa"/>
        <w:tblBorders/>
        <w:tblLayout w:type="fixed"/>
        <w:tblLook w:val="0400" w:firstRow="0" w:lastRow="0" w:firstColumn="0" w:lastColumn="0" w:noHBand="0" w:noVBand="1"/>
      </w:tblPr>
      <w:tblGrid>
        <w:gridCol w:w="5524"/>
        <w:gridCol w:w="9827"/>
      </w:tblGrid>
      <w:tr>
        <w:trPr>
          <w:trHeight w:val="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24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EFFECTIF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7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</w:r>
            <w:r>
              <w:rPr>
                <w:rFonts w:eastAsia="Times New Roman" w:cs="Arial"/>
              </w:rPr>
            </w:r>
            <w:r>
              <w:rPr>
                <w:rFonts w:eastAsia="Times New Roman" w:cs="Arial"/>
              </w:rPr>
            </w:r>
          </w:p>
        </w:tc>
      </w:tr>
      <w:tr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24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MODALITÉ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7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both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Mixte</w:t>
            </w:r>
            <w:r>
              <w:rPr>
                <w:rFonts w:eastAsia="Arial" w:cs="Arial"/>
                <w:color w:val="000000"/>
              </w:rPr>
              <w:t xml:space="preserve"> (synchrone et asynchrone, présentiel et distanciel)</w:t>
            </w:r>
            <w:r>
              <w:rPr>
                <w:rFonts w:eastAsia="Arial" w:cs="Arial"/>
                <w:color w:val="000000"/>
              </w:rPr>
            </w:r>
            <w:r>
              <w:rPr>
                <w:rFonts w:eastAsia="Arial" w:cs="Arial"/>
                <w:color w:val="000000"/>
              </w:rPr>
            </w:r>
          </w:p>
          <w:p>
            <w:pPr>
              <w:pBdr/>
              <w:spacing w:after="40" w:before="40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En sous-groupes ou binômes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24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DURÉE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7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4 semaines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18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24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MATÉRIEL ET LOGISTIQUE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7" w:type="dxa"/>
            <w:textDirection w:val="lrTb"/>
            <w:noWrap w:val="false"/>
          </w:tcPr>
          <w:p>
            <w:pPr>
              <w:pStyle w:val="935"/>
              <w:numPr>
                <w:ilvl w:val="0"/>
                <w:numId w:val="27"/>
              </w:numPr>
              <w:pBdr/>
              <w:spacing w:after="40" w:before="40" w:line="240" w:lineRule="auto"/>
              <w:ind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Kit pédagogique (Moodle) :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  <w:p>
            <w:pPr>
              <w:pStyle w:val="935"/>
              <w:numPr>
                <w:ilvl w:val="1"/>
                <w:numId w:val="27"/>
              </w:numPr>
              <w:pBdr/>
              <w:spacing w:after="40" w:before="40" w:line="240" w:lineRule="auto"/>
              <w:ind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Grille critériée d’évaluation de la qualité d’une page Wikipédia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  <w:p>
            <w:pPr>
              <w:pStyle w:val="935"/>
              <w:numPr>
                <w:ilvl w:val="1"/>
                <w:numId w:val="27"/>
              </w:numPr>
              <w:pBdr/>
              <w:spacing w:after="40" w:before="40" w:line="240" w:lineRule="auto"/>
              <w:ind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  <w:t xml:space="preserve">Fiches PDF Wikipédia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  <w:p>
            <w:pPr>
              <w:pStyle w:val="935"/>
              <w:numPr>
                <w:ilvl w:val="1"/>
                <w:numId w:val="27"/>
              </w:numPr>
              <w:pBdr/>
              <w:spacing w:after="40" w:before="40" w:line="240" w:lineRule="auto"/>
              <w:ind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highlight w:val="none"/>
              </w:rPr>
              <w:t xml:space="preserve">Vidéos Wikimédia France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  <w:p>
            <w:pPr>
              <w:pStyle w:val="935"/>
              <w:numPr>
                <w:ilvl w:val="0"/>
                <w:numId w:val="27"/>
              </w:numPr>
              <w:pBdr/>
              <w:spacing w:after="40" w:before="40" w:line="240" w:lineRule="auto"/>
              <w:ind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Pages Wikipédia à améliorer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  <w:p>
            <w:pPr>
              <w:pStyle w:val="935"/>
              <w:numPr>
                <w:ilvl w:val="0"/>
                <w:numId w:val="27"/>
              </w:numPr>
              <w:pBdr/>
              <w:spacing w:after="40" w:before="40" w:line="240" w:lineRule="auto"/>
              <w:ind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Jeu </w:t>
            </w:r>
            <w:r>
              <w:rPr>
                <w:rFonts w:ascii="Arial" w:hAnsi="Arial" w:eastAsia="Arial" w:cs="Arial"/>
                <w:color w:val="000000"/>
              </w:rPr>
              <w:t xml:space="preserve">Wikeys</w:t>
            </w:r>
            <w:r>
              <w:rPr>
                <w:rFonts w:ascii="Arial" w:hAnsi="Arial" w:eastAsia="Arial" w:cs="Arial"/>
                <w:color w:val="000000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 xml:space="preserve">imprimé </w:t>
            </w:r>
            <w:r>
              <w:rPr>
                <w:rFonts w:ascii="Arial" w:hAnsi="Arial" w:eastAsia="Arial" w:cs="Arial"/>
                <w:color w:val="000000"/>
              </w:rPr>
              <w:t xml:space="preserve">: </w:t>
            </w:r>
            <w:hyperlink r:id="rId9" w:tooltip="https://www.wikimedia.fr/wikeys/" w:history="1">
              <w:r>
                <w:rPr>
                  <w:rStyle w:val="937"/>
                  <w:rFonts w:ascii="Arial" w:hAnsi="Arial" w:eastAsia="Arial" w:cs="Arial"/>
                </w:rPr>
                <w:t xml:space="preserve">https://www.wikimedia.fr/wikeys/</w:t>
              </w:r>
            </w:hyperlink>
            <w:r>
              <w:rPr>
                <w:rFonts w:ascii="Arial" w:hAnsi="Arial" w:eastAsia="Arial" w:cs="Arial"/>
                <w:color w:val="000000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  <w:p>
            <w:pPr>
              <w:pBdr/>
              <w:spacing w:after="40" w:before="4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 w:line="259" w:lineRule="auto"/>
        <w:ind/>
        <w:rPr/>
      </w:pPr>
      <w:r>
        <w:br w:type="page" w:clear="all"/>
      </w:r>
      <w:r/>
    </w:p>
    <w:tbl>
      <w:tblPr>
        <w:tblStyle w:val="940"/>
        <w:tblW w:w="15405" w:type="dxa"/>
        <w:tblBorders/>
        <w:tblLook w:val="04A0" w:firstRow="1" w:lastRow="0" w:firstColumn="1" w:lastColumn="0" w:noHBand="0" w:noVBand="1"/>
      </w:tblPr>
      <w:tblGrid>
        <w:gridCol w:w="1129"/>
        <w:gridCol w:w="2962"/>
        <w:gridCol w:w="3667"/>
        <w:gridCol w:w="3530"/>
        <w:gridCol w:w="2318"/>
        <w:gridCol w:w="1799"/>
      </w:tblGrid>
      <w:tr>
        <w:trPr>
          <w:trHeight w:val="846"/>
        </w:trPr>
        <w:tc>
          <w:tcPr>
            <w:shd w:val="clear" w:color="auto" w:fill="635141"/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Etape</w:t>
            </w:r>
            <w:r>
              <w:rPr>
                <w:b/>
                <w:bCs/>
                <w:color w:val="ffffff" w:themeColor="background1"/>
              </w:rPr>
              <w:t xml:space="preserve"> et AAV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shd w:val="clear" w:color="auto" w:fill="635141"/>
            <w:tcBorders/>
            <w:tcW w:w="29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Conditions de réussite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shd w:val="clear" w:color="auto" w:fill="635141"/>
            <w:tcBorders/>
            <w:tcW w:w="366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Activités étudiantes</w:t>
            </w:r>
            <w:r>
              <w:rPr>
                <w:b/>
                <w:bCs/>
                <w:color w:val="ffffff" w:themeColor="background1"/>
              </w:rPr>
              <w:t xml:space="preserve"> et modalités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shd w:val="clear" w:color="auto" w:fill="635141"/>
            <w:tcBorders/>
            <w:tcW w:w="353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Activités enseignantes/DirDoc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shd w:val="clear" w:color="auto" w:fill="635141"/>
            <w:tcBorders/>
            <w:tcW w:w="231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Ressources et outils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shd w:val="clear" w:color="auto" w:fill="635141"/>
            <w:tcBorders/>
            <w:tcW w:w="179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Livrables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</w:tr>
      <w:tr>
        <w:trPr>
          <w:trHeight w:val="923"/>
        </w:trPr>
        <w:tc>
          <w:tcPr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Etape </w:t>
            </w:r>
            <w:r>
              <w:t xml:space="preserve">1</w:t>
            </w:r>
            <w:r/>
          </w:p>
          <w:p>
            <w:pPr>
              <w:pBdr/>
              <w:spacing/>
              <w:ind/>
              <w:rPr/>
            </w:pPr>
            <w:r>
              <w:t xml:space="preserve">AAV 1</w:t>
            </w:r>
            <w:r/>
          </w:p>
        </w:tc>
        <w:tc>
          <w:tcPr>
            <w:tcBorders/>
            <w:tcW w:w="29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Les étudiants doivent connaître les notions théoriques liées à Wikipédia et à la contribution. Ils doivent également jouer à Wikeys pour affirmer leurs connaissances</w:t>
            </w:r>
            <w:r>
              <w:t xml:space="preserve"> et comprendre les enjeux de la contribution</w:t>
            </w:r>
            <w:r>
              <w:t xml:space="preserve">.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Le </w:t>
            </w:r>
            <w:r>
              <w:rPr>
                <w:b/>
                <w:bCs/>
              </w:rPr>
              <w:t xml:space="preserve">jeu Wikeys</w:t>
            </w:r>
            <w:r>
              <w:t xml:space="preserve"> fonctionne très mal en distanciel. Il est donc fortement recommandé de le proposer en </w:t>
            </w:r>
            <w:r>
              <w:rPr>
                <w:b/>
                <w:bCs/>
              </w:rPr>
              <w:t xml:space="preserve">présentiel</w:t>
            </w:r>
            <w:r>
              <w:t xml:space="preserve"> et pour une durée de </w:t>
            </w:r>
            <w:r>
              <w:rPr>
                <w:b/>
                <w:bCs/>
              </w:rPr>
              <w:t xml:space="preserve">3 heures minimum</w:t>
            </w:r>
            <w:r>
              <w:t xml:space="preserve">.</w:t>
            </w:r>
            <w:r>
              <w:t xml:space="preserve"> Parmi ces 3 heures, comptez l’introduction du jeu auprès des étudiantes et étudiants, la mis en place, l’explication des règles, une partie « de chauffe », deux ou trois parties de jeu, ainsi qu’un débriefing et une remise en contexte du jeu en lien avec la contribution. Si vous avez </w:t>
            </w:r>
            <w:r>
              <w:t xml:space="preserve">plus de 2 </w:t>
            </w:r>
            <w:r>
              <w:t xml:space="preserve">groupes, des </w:t>
            </w:r>
            <w:r>
              <w:rPr>
                <w:b/>
                <w:bCs/>
              </w:rPr>
              <w:t xml:space="preserve">tuteurs</w:t>
            </w:r>
            <w:r>
              <w:t xml:space="preserve"> seront nécessaires</w:t>
            </w:r>
            <w:r>
              <w:t xml:space="preserve"> pour l’animation du jeu</w:t>
            </w:r>
            <w:r>
              <w:t xml:space="preserve">.</w:t>
            </w:r>
            <w:r/>
          </w:p>
        </w:tc>
        <w:tc>
          <w:tcPr>
            <w:tcBorders/>
            <w:tcW w:w="3667" w:type="dxa"/>
            <w:textDirection w:val="lrTb"/>
            <w:noWrap w:val="false"/>
          </w:tcPr>
          <w:p>
            <w:pPr>
              <w:pStyle w:val="935"/>
              <w:numPr>
                <w:ilvl w:val="0"/>
                <w:numId w:val="9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Prendre connaissance des notions théoriques liées au fonctionnement de Wikipédia et </w:t>
            </w:r>
            <w:r>
              <w:rPr>
                <w:rFonts w:ascii="Arial" w:hAnsi="Arial" w:cs="Arial"/>
              </w:rPr>
              <w:t xml:space="preserve">aux enjeux de</w:t>
            </w:r>
            <w:r>
              <w:rPr>
                <w:rFonts w:ascii="Arial" w:hAnsi="Arial" w:cs="Arial"/>
              </w:rPr>
              <w:t xml:space="preserve"> la contribution sur Wikipédia.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(Synchrone ou asynchrone)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Jouer à Wikeys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 w:left="113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(Synchrone</w:t>
            </w:r>
            <w:r>
              <w:rPr>
                <w:rFonts w:cs="Arial"/>
                <w:b/>
                <w:bCs/>
              </w:rPr>
              <w:t xml:space="preserve"> – Présentiel</w:t>
            </w:r>
            <w:r>
              <w:rPr>
                <w:rFonts w:cs="Arial"/>
                <w:b/>
                <w:bCs/>
              </w:rPr>
              <w:t xml:space="preserve">)</w: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35"/>
              <w:numPr>
                <w:ilvl w:val="0"/>
                <w:numId w:val="9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Prendre connaissance de la grille d’évaluation d’un article Wikipédia et des articles à évaluer proposés par l’équipe pédagogique.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(Synchrone)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35"/>
              <w:numPr>
                <w:ilvl w:val="0"/>
                <w:numId w:val="9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Evaluer le ou les article(s) Wikipédia à l’aide de la grille et identifier les points d’amélioration de ce dernier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(Synchrone ou asynchrone)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</w:p>
          <w:p>
            <w:pPr>
              <w:pStyle w:val="935"/>
              <w:pBdr/>
              <w:spacing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numPr>
                <w:ilvl w:val="0"/>
                <w:numId w:val="9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Identifier les personnes référentes du domaine à contacter pour l’amélioration des </w:t>
            </w:r>
            <w:r>
              <w:rPr>
                <w:rFonts w:ascii="Arial" w:hAnsi="Arial" w:cs="Arial"/>
              </w:rPr>
              <w:t xml:space="preserve">pages.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(Synchrone ou asynchrone)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</w:p>
          <w:p>
            <w:pPr>
              <w:pStyle w:val="935"/>
              <w:pBdr/>
              <w:spacing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numPr>
                <w:ilvl w:val="0"/>
                <w:numId w:val="9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Prise de contact avec les personnes identifiées.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3530" w:type="dxa"/>
            <w:textDirection w:val="lrTb"/>
            <w:noWrap w:val="false"/>
          </w:tcPr>
          <w:p>
            <w:pPr>
              <w:pStyle w:val="935"/>
              <w:numPr>
                <w:ilvl w:val="0"/>
                <w:numId w:val="10"/>
              </w:num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Former les étudiants à la contribution dans Wikipédia</w:t>
            </w:r>
            <w:r>
              <w:rPr>
                <w:rFonts w:ascii="Arial" w:hAnsi="Arial" w:cs="Arial"/>
              </w:rPr>
              <w:t xml:space="preserve"> à l’aide des 5 principes fondateurs (fiches pdf) et section « Principes fondateurs » sur l’espace Moodle.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Animer une partie de Wikeys (appui de la DirDoc possible)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35"/>
              <w:numPr>
                <w:ilvl w:val="0"/>
                <w:numId w:val="10"/>
              </w:num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Former les étudiants à</w:t>
            </w:r>
            <w:r>
              <w:rPr>
                <w:rFonts w:ascii="Arial" w:hAnsi="Arial" w:cs="Arial"/>
              </w:rPr>
              <w:t xml:space="preserve"> l’utilisation de la grille critériée pour l’évaluation de la qualité d’un article Wikipédia.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35"/>
              <w:numPr>
                <w:ilvl w:val="0"/>
                <w:numId w:val="10"/>
              </w:num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Indiquer aux étudiants les articles qui devront être évaluer par leurs soins.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  <w:r>
              <w:rPr>
                <w:rFonts w:cs="Arial"/>
                <w:sz w:val="14"/>
                <w:szCs w:val="14"/>
              </w:rPr>
            </w:r>
            <w:r>
              <w:rPr>
                <w:rFonts w:cs="Arial"/>
                <w:sz w:val="14"/>
                <w:szCs w:val="14"/>
              </w:rPr>
            </w:r>
          </w:p>
          <w:p>
            <w:pPr>
              <w:pStyle w:val="935"/>
              <w:numPr>
                <w:ilvl w:val="0"/>
                <w:numId w:val="10"/>
              </w:num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Faire le point avec les étudiants sur les personnes identifiées.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numPr>
                <w:ilvl w:val="0"/>
                <w:numId w:val="10"/>
              </w:numPr>
              <w:pBdr/>
              <w:spacing w:after="0" w:line="360" w:lineRule="auto"/>
              <w:ind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highlight w:val="none"/>
              </w:rPr>
              <w:t xml:space="preserve">Dans la mesure du possible, informer la communauté des wikipédiens bordelais pour solliciter leurs intéractions (</w:t>
            </w:r>
            <w:hyperlink r:id="rId10" w:tooltip="https://fr.wikipedia.org/wiki/Wikip%C3%A9dia:Rencontres/Aquitaine/Cubale" w:history="1">
              <w:r>
                <w:rPr>
                  <w:rStyle w:val="937"/>
                  <w:rFonts w:ascii="Arial" w:hAnsi="Arial" w:cs="Arial"/>
                  <w:color w:val="000000" w:themeColor="text1"/>
                  <w:highlight w:val="none"/>
                </w:rPr>
                <w:t xml:space="preserve">lien vers la page contact</w:t>
              </w:r>
            </w:hyperlink>
            <w:r>
              <w:rPr>
                <w:rFonts w:ascii="Arial" w:hAnsi="Arial" w:cs="Arial"/>
                <w:color w:val="000000" w:themeColor="text1"/>
                <w:highlight w:val="none"/>
              </w:rPr>
              <w:t xml:space="preserve">)</w: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  <w:tc>
          <w:tcPr>
            <w:tcBorders/>
            <w:tcW w:w="2318" w:type="dxa"/>
            <w:textDirection w:val="lrTb"/>
            <w:noWrap w:val="false"/>
          </w:tcPr>
          <w:p>
            <w:pPr>
              <w:pStyle w:val="935"/>
              <w:numPr>
                <w:ilvl w:val="0"/>
                <w:numId w:val="11"/>
              </w:num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Fiches PDF</w:t>
            </w:r>
            <w:r>
              <w:rPr>
                <w:rFonts w:ascii="Arial" w:hAnsi="Arial" w:cs="Arial"/>
              </w:rPr>
              <w:t xml:space="preserve"> « Principes fondateurs » et « Qualité » (niv 1, 2 et 3)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Jeu Wikeys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35"/>
              <w:numPr>
                <w:ilvl w:val="0"/>
                <w:numId w:val="11"/>
              </w:num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Grille critériée</w:t>
            </w:r>
            <w:r>
              <w:rPr>
                <w:rFonts w:ascii="Arial" w:hAnsi="Arial" w:cs="Arial"/>
              </w:rPr>
              <w:t xml:space="preserve"> d’évaluation de la qualité d’un article Wikipédia </w:t>
            </w:r>
            <w:r>
              <w:rPr>
                <w:rFonts w:ascii="Arial" w:hAnsi="Arial" w:cs="Arial"/>
                <w:color w:val="000000" w:themeColor="text1"/>
              </w:rPr>
              <w:t xml:space="preserve">avec exemples d’articles de qualité et d’autres plus contestés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Articles</w:t>
            </w:r>
            <w:r>
              <w:rPr>
                <w:rFonts w:ascii="Arial" w:hAnsi="Arial" w:cs="Arial"/>
              </w:rPr>
              <w:t xml:space="preserve"> Wikipédia à améliorer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  <w:r>
              <w:rPr>
                <w:rFonts w:cs="Arial"/>
                <w:sz w:val="14"/>
                <w:szCs w:val="14"/>
              </w:rPr>
            </w:r>
            <w:r>
              <w:rPr>
                <w:rFonts w:cs="Arial"/>
                <w:sz w:val="14"/>
                <w:szCs w:val="14"/>
              </w:rPr>
            </w:r>
          </w:p>
          <w:p>
            <w:pPr>
              <w:pStyle w:val="935"/>
              <w:numPr>
                <w:ilvl w:val="0"/>
                <w:numId w:val="11"/>
              </w:num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Liste de </w:t>
            </w:r>
            <w:r>
              <w:rPr>
                <w:rFonts w:ascii="Arial" w:hAnsi="Arial" w:cs="Arial"/>
                <w:b/>
                <w:bCs/>
              </w:rPr>
              <w:t xml:space="preserve">personnes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ressources à contacter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pBdr/>
              <w:spacing w:after="0"/>
              <w:ind w:left="283"/>
              <w:rPr/>
            </w:pPr>
            <w:r/>
            <w:r/>
          </w:p>
        </w:tc>
        <w:tc>
          <w:tcPr>
            <w:tcBorders/>
            <w:tcW w:w="179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Article(s) évalué(s) et sélection </w:t>
            </w:r>
            <w:r>
              <w:t xml:space="preserve">de l’article</w:t>
            </w:r>
            <w:r>
              <w:t xml:space="preserve"> à améliorer</w:t>
            </w:r>
            <w:r/>
          </w:p>
        </w:tc>
      </w:tr>
      <w:tr>
        <w:trPr>
          <w:trHeight w:val="923"/>
        </w:trPr>
        <w:tc>
          <w:tcPr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Etape </w:t>
            </w:r>
            <w:r>
              <w:t xml:space="preserve">2</w:t>
            </w:r>
            <w:r/>
          </w:p>
          <w:p>
            <w:pPr>
              <w:pBdr/>
              <w:spacing/>
              <w:ind/>
              <w:rPr/>
            </w:pPr>
            <w:r>
              <w:t xml:space="preserve">AAV 2 et 4</w:t>
            </w:r>
            <w:r/>
          </w:p>
        </w:tc>
        <w:tc>
          <w:tcPr>
            <w:tcBorders/>
            <w:tcW w:w="29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Un point entre les étudiants et l’équipe pédagogique en milieu de semaine est fortement recommandé. Il permettra de recadrer si nécessaire ou à minima, de conseiller.</w:t>
            </w:r>
            <w:r/>
          </w:p>
        </w:tc>
        <w:tc>
          <w:tcPr>
            <w:tcBorders/>
            <w:tcW w:w="3667" w:type="dxa"/>
            <w:textDirection w:val="lrTb"/>
            <w:noWrap w:val="false"/>
          </w:tcPr>
          <w:p>
            <w:pPr>
              <w:pStyle w:val="935"/>
              <w:numPr>
                <w:ilvl w:val="0"/>
                <w:numId w:val="12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former à la méthod</w:t>
            </w:r>
            <w:r>
              <w:rPr>
                <w:rFonts w:ascii="Arial" w:hAnsi="Arial" w:cs="Arial"/>
              </w:rPr>
              <w:t xml:space="preserve">e qualitative d’entretien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(Synchrone</w:t>
            </w:r>
            <w:r>
              <w:rPr>
                <w:rFonts w:ascii="Arial" w:hAnsi="Arial" w:cs="Arial"/>
                <w:b/>
                <w:bCs/>
              </w:rPr>
              <w:t xml:space="preserve"> ou asynchrone</w:t>
            </w:r>
            <w:r>
              <w:rPr>
                <w:rFonts w:ascii="Arial" w:hAnsi="Arial" w:cs="Arial"/>
                <w:b/>
                <w:bCs/>
              </w:rPr>
              <w:t xml:space="preserve">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pBdr/>
              <w:spacing w:after="0" w:line="36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numPr>
                <w:ilvl w:val="0"/>
                <w:numId w:val="12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Rencontrer les personnes iden</w:t>
            </w:r>
            <w:r>
              <w:rPr>
                <w:rFonts w:ascii="Arial" w:hAnsi="Arial" w:cs="Arial"/>
              </w:rPr>
              <w:t xml:space="preserve">tifiée</w:t>
            </w:r>
            <w:r>
              <w:rPr>
                <w:rFonts w:ascii="Arial" w:hAnsi="Arial" w:cs="Arial"/>
              </w:rPr>
              <w:t xml:space="preserve">s et collecter les sources renseignées par ces personnes lors de l’entretien qualitatif.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pBdr/>
              <w:spacing w:after="0" w:line="360" w:lineRule="auto"/>
              <w:ind w:lef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(Synchrone)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  <w:p>
            <w:pPr>
              <w:pBdr/>
              <w:spacing/>
              <w: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</w:r>
          </w:p>
          <w:p>
            <w:pPr>
              <w:pStyle w:val="935"/>
              <w:numPr>
                <w:ilvl w:val="0"/>
                <w:numId w:val="12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étudiants </w:t>
            </w:r>
            <w:r>
              <w:rPr>
                <w:rFonts w:ascii="Arial" w:hAnsi="Arial" w:cs="Arial"/>
              </w:rPr>
              <w:t xml:space="preserve">débutent la compilation des informations sou</w:t>
            </w:r>
            <w:r>
              <w:rPr>
                <w:rFonts w:ascii="Arial" w:hAnsi="Arial" w:cs="Arial"/>
              </w:rPr>
              <w:t xml:space="preserve">s</w:t>
            </w:r>
            <w:r>
              <w:rPr>
                <w:rFonts w:ascii="Arial" w:hAnsi="Arial" w:cs="Arial"/>
              </w:rPr>
              <w:t xml:space="preserve"> la forme d’un contenu rédigé sou</w:t>
            </w:r>
            <w:r>
              <w:rPr>
                <w:rFonts w:ascii="Arial" w:hAnsi="Arial" w:cs="Arial"/>
              </w:rPr>
              <w:t xml:space="preserve">s</w:t>
            </w:r>
            <w:r>
              <w:rPr>
                <w:rFonts w:ascii="Arial" w:hAnsi="Arial" w:cs="Arial"/>
              </w:rPr>
              <w:t xml:space="preserve"> Word. L</w:t>
            </w:r>
            <w:r>
              <w:rPr>
                <w:rFonts w:ascii="Arial" w:hAnsi="Arial" w:cs="Arial"/>
              </w:rPr>
              <w:t xml:space="preserve">a bibliographie</w:t>
            </w:r>
            <w:r>
              <w:rPr>
                <w:rFonts w:ascii="Arial" w:hAnsi="Arial" w:cs="Arial"/>
              </w:rPr>
              <w:t xml:space="preserve"> est également initiée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(Synhrone ou asynchrone)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3530" w:type="dxa"/>
            <w:textDirection w:val="lrTb"/>
            <w:noWrap w:val="false"/>
          </w:tcPr>
          <w:p>
            <w:pPr>
              <w:pStyle w:val="935"/>
              <w:numPr>
                <w:ilvl w:val="0"/>
                <w:numId w:val="13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Former les étudiants à la méthod</w:t>
            </w:r>
            <w:r>
              <w:rPr>
                <w:rFonts w:ascii="Arial" w:hAnsi="Arial" w:cs="Arial"/>
              </w:rPr>
              <w:t xml:space="preserve">e qualitative d’entretien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  <w:br/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</w:r>
          </w:p>
          <w:p>
            <w:pPr>
              <w:pStyle w:val="935"/>
              <w:numPr>
                <w:ilvl w:val="0"/>
                <w:numId w:val="21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Faire le point avec les étudiants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(Synchrone)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pBdr/>
              <w:spacing w:after="0" w:line="36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318" w:type="dxa"/>
            <w:textDirection w:val="lrTb"/>
            <w:noWrap w:val="false"/>
          </w:tcPr>
          <w:p>
            <w:pPr>
              <w:pStyle w:val="935"/>
              <w:numPr>
                <w:ilvl w:val="0"/>
                <w:numId w:val="16"/>
              </w:num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Méthode qualitative d’entretien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(</w:t>
            </w:r>
            <w:r>
              <w:rPr>
                <w:rFonts w:ascii="Arial" w:hAnsi="Arial" w:cs="Arial"/>
              </w:rPr>
              <w:t xml:space="preserve">Sources de référence du domaine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et Babord+ </w:t>
            </w:r>
            <w:r>
              <w:rPr>
                <w:rFonts w:ascii="Arial" w:hAnsi="Arial" w:cs="Arial"/>
              </w:rPr>
              <w:t xml:space="preserve">si les prises de contact s’avèrent </w:t>
            </w:r>
            <w:r>
              <w:rPr>
                <w:rFonts w:ascii="Arial" w:hAnsi="Arial" w:cs="Arial"/>
              </w:rPr>
              <w:t xml:space="preserve">infructueuses</w:t>
            </w:r>
            <w:r>
              <w:rPr>
                <w:rFonts w:ascii="Arial" w:hAnsi="Arial" w:cs="Arial"/>
              </w:rPr>
              <w:t xml:space="preserve">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pBdr/>
              <w:spacing w:after="0" w:line="360" w:lineRule="auto"/>
              <w:ind w:left="113"/>
              <w:rPr/>
            </w:pPr>
            <w:r/>
            <w:r/>
          </w:p>
        </w:tc>
        <w:tc>
          <w:tcPr>
            <w:tcBorders/>
            <w:tcW w:w="179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Brouillon de la contribution produit sous format Word et bibliographie.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Synthèse d</w:t>
            </w:r>
            <w:r>
              <w:t xml:space="preserve">u ou des entretien(s)</w:t>
            </w:r>
            <w:r>
              <w:t xml:space="preserve"> formalisée.</w:t>
            </w:r>
            <w:r/>
          </w:p>
        </w:tc>
      </w:tr>
      <w:tr>
        <w:trPr>
          <w:trHeight w:val="923"/>
        </w:trPr>
        <w:tc>
          <w:tcPr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Etape </w:t>
            </w:r>
            <w:r>
              <w:t xml:space="preserve">3</w:t>
            </w:r>
            <w:r/>
          </w:p>
          <w:p>
            <w:pPr>
              <w:pBdr/>
              <w:spacing/>
              <w:ind/>
              <w:rPr/>
            </w:pPr>
            <w:r>
              <w:t xml:space="preserve">AAV 3</w:t>
            </w:r>
            <w:r/>
          </w:p>
        </w:tc>
        <w:tc>
          <w:tcPr>
            <w:tcBorders/>
            <w:tcW w:w="29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Prise en main de Wikipédia</w:t>
            </w:r>
            <w:r>
              <w:t xml:space="preserve">,</w:t>
            </w:r>
            <w:r>
              <w:t xml:space="preserve"> de la création d’un brouillon aux différentes modalités de publication</w:t>
            </w:r>
            <w:r/>
          </w:p>
        </w:tc>
        <w:tc>
          <w:tcPr>
            <w:tcBorders/>
            <w:tcW w:w="3667" w:type="dxa"/>
            <w:textDirection w:val="lrTb"/>
            <w:noWrap w:val="false"/>
          </w:tcPr>
          <w:p>
            <w:pPr>
              <w:pStyle w:val="935"/>
              <w:numPr>
                <w:ilvl w:val="0"/>
                <w:numId w:val="17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Consulter les ressources vidéo Wikimédia France sur la contribution dans Wikipédia</w:t>
            </w:r>
            <w:r>
              <w:rPr>
                <w:rFonts w:ascii="Arial" w:hAnsi="Arial" w:cs="Arial"/>
              </w:rPr>
              <w:t xml:space="preserve"> et </w:t>
            </w:r>
            <w:r>
              <w:rPr>
                <w:rFonts w:ascii="Arial" w:hAnsi="Arial" w:eastAsia="Times New Roman" w:cs="Arial"/>
                <w:szCs w:val="20"/>
              </w:rPr>
              <w:t xml:space="preserve">relatives à la prise en main de l’outil encyclopédique qu’est Wikipédia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pBdr/>
              <w:spacing w:after="0" w:line="360" w:lineRule="auto"/>
              <w:ind w:lef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  <w:szCs w:val="20"/>
              </w:rPr>
              <w:t xml:space="preserve">(</w:t>
            </w:r>
            <w:r>
              <w:rPr>
                <w:rFonts w:ascii="Arial" w:hAnsi="Arial" w:eastAsia="Times New Roman" w:cs="Arial"/>
                <w:b/>
                <w:bCs/>
                <w:szCs w:val="20"/>
              </w:rPr>
              <w:t xml:space="preserve">Synchrone ou a</w:t>
            </w:r>
            <w:r>
              <w:rPr>
                <w:rFonts w:ascii="Arial" w:hAnsi="Arial" w:eastAsia="Times New Roman" w:cs="Arial"/>
                <w:b/>
                <w:bCs/>
                <w:szCs w:val="20"/>
              </w:rPr>
              <w:t xml:space="preserve">synchrone)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  <w:p>
            <w:pPr>
              <w:pStyle w:val="935"/>
              <w:pBdr/>
              <w:spacing w:after="0" w:line="36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pBdr/>
              <w:spacing w:after="0" w:line="36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numPr>
                <w:ilvl w:val="0"/>
                <w:numId w:val="17"/>
              </w:numPr>
              <w:pBdr/>
              <w:spacing w:after="0" w:line="360" w:lineRule="auto"/>
              <w:ind w:firstLine="0" w:left="113"/>
              <w:rPr/>
            </w:pPr>
            <w:r>
              <w:rPr>
                <w:rFonts w:ascii="Arial" w:hAnsi="Arial" w:cs="Arial"/>
              </w:rPr>
              <w:t xml:space="preserve">Poursuivre l’écriture du brouillon de l’article dans Wikipédia et publier la contribution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Si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Times New Roman" w:cs="Arial"/>
                <w:szCs w:val="20"/>
              </w:rPr>
              <w:t xml:space="preserve">création d’un article Wikipédia : publication du brouillon.</w:t>
            </w:r>
            <w:r>
              <w:rPr>
                <w:rFonts w:ascii="Arial" w:hAnsi="Arial" w:eastAsia="Times New Roman" w:cs="Arial"/>
                <w:szCs w:val="20"/>
              </w:rPr>
              <w:t xml:space="preserve"> </w:t>
            </w:r>
            <w:r>
              <w:rPr>
                <w:rFonts w:ascii="Arial" w:hAnsi="Arial" w:eastAsia="Times New Roman" w:cs="Arial"/>
                <w:szCs w:val="20"/>
              </w:rPr>
              <w:br/>
              <w:t xml:space="preserve">Si </w:t>
            </w:r>
            <w:r>
              <w:rPr>
                <w:rFonts w:ascii="Arial" w:hAnsi="Arial" w:eastAsia="Times New Roman" w:cs="Arial"/>
                <w:szCs w:val="20"/>
              </w:rPr>
              <w:t xml:space="preserve">modification d’un article déjà existant : intégration des enrichissements sourcés, apposition du bandeau « en travaux », apposition d’un commentaire dans la page de discussion indiquant qu’une modification est en cours.</w:t>
            </w:r>
            <w:r>
              <w:rPr>
                <w:rFonts w:ascii="Arial" w:hAnsi="Arial" w:eastAsia="Times New Roman" w:cs="Arial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</w:t>
            </w:r>
            <w:r>
              <w:rPr>
                <w:rFonts w:ascii="Arial" w:hAnsi="Arial" w:cs="Arial"/>
                <w:b/>
                <w:bCs/>
              </w:rPr>
              <w:t xml:space="preserve">Synchrone ou a</w:t>
            </w:r>
            <w:r>
              <w:rPr>
                <w:rFonts w:ascii="Arial" w:hAnsi="Arial" w:cs="Arial"/>
                <w:b/>
                <w:bCs/>
              </w:rPr>
              <w:t xml:space="preserve">synchrone)</w:t>
            </w:r>
            <w:r/>
          </w:p>
        </w:tc>
        <w:tc>
          <w:tcPr>
            <w:tcBorders/>
            <w:tcW w:w="3530" w:type="dxa"/>
            <w:textDirection w:val="lrTb"/>
            <w:noWrap w:val="false"/>
          </w:tcPr>
          <w:p>
            <w:pPr>
              <w:pStyle w:val="935"/>
              <w:numPr>
                <w:ilvl w:val="0"/>
                <w:numId w:val="19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Former les étudiants à </w:t>
            </w:r>
            <w:r>
              <w:rPr>
                <w:rFonts w:ascii="Arial" w:hAnsi="Arial" w:cs="Arial"/>
              </w:rPr>
              <w:t xml:space="preserve">la prise en main de Wikipédia, à </w:t>
            </w:r>
            <w:r>
              <w:rPr>
                <w:rFonts w:ascii="Arial" w:hAnsi="Arial" w:cs="Arial"/>
              </w:rPr>
              <w:t xml:space="preserve">l’élaboration d’un brouillon dans Wikipédia et aux différents formats de publication (DirDoc en appui si besoin).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pBdr/>
              <w:spacing w:after="0" w:line="36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35"/>
              <w:numPr>
                <w:ilvl w:val="0"/>
                <w:numId w:val="19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Faire le point avec les étudiants (DirDoc au besoin).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318" w:type="dxa"/>
            <w:textDirection w:val="lrTb"/>
            <w:noWrap w:val="false"/>
          </w:tcPr>
          <w:p>
            <w:pPr>
              <w:pStyle w:val="935"/>
              <w:numPr>
                <w:ilvl w:val="0"/>
                <w:numId w:val="18"/>
              </w:numPr>
              <w:pBdr/>
              <w:spacing w:after="0" w:line="360" w:lineRule="auto"/>
              <w:ind/>
              <w:rPr>
                <w:rFonts w:ascii="Arial" w:hAnsi="Arial" w:cs="Arial"/>
                <w:b/>
                <w:bCs/>
              </w:rPr>
            </w:pPr>
            <w:r/>
            <w:r>
              <w:rPr>
                <w:rFonts w:ascii="Arial" w:hAnsi="Arial" w:cs="Arial"/>
                <w:b/>
                <w:bCs/>
              </w:rPr>
              <w:t xml:space="preserve">Vidéos Wikimédia France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/>
            <w:tcW w:w="179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Contribution publiée sur l’article Wikipédia</w:t>
            </w:r>
            <w:r/>
          </w:p>
        </w:tc>
      </w:tr>
      <w:tr>
        <w:trPr>
          <w:trHeight w:val="923"/>
        </w:trPr>
        <w:tc>
          <w:tcPr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Etape</w:t>
            </w:r>
            <w:r>
              <w:t xml:space="preserve"> 4</w:t>
            </w:r>
            <w:r/>
          </w:p>
          <w:p>
            <w:pPr>
              <w:pBdr/>
              <w:spacing/>
              <w:ind/>
              <w:rPr/>
            </w:pPr>
            <w:r>
              <w:t xml:space="preserve">AAV 5</w:t>
            </w:r>
            <w:r/>
          </w:p>
        </w:tc>
        <w:tc>
          <w:tcPr>
            <w:tcBorders/>
            <w:tcW w:w="29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Mettre une date limite pour l’ajustement de la contribution selon les retours des Wikipédiens et prendre en compte ces modifications post-publication dans la note</w:t>
            </w:r>
            <w:r/>
          </w:p>
        </w:tc>
        <w:tc>
          <w:tcPr>
            <w:tcBorders/>
            <w:tcW w:w="3667" w:type="dxa"/>
            <w:textDirection w:val="lrTb"/>
            <w:noWrap w:val="false"/>
          </w:tcPr>
          <w:p>
            <w:pPr>
              <w:pStyle w:val="935"/>
              <w:numPr>
                <w:ilvl w:val="0"/>
                <w:numId w:val="23"/>
              </w:numPr>
              <w:pBdr/>
              <w:spacing w:after="0" w:line="360" w:lineRule="auto"/>
              <w:ind w:firstLine="0" w:left="113"/>
              <w:rPr>
                <w:rFonts w:ascii="Arial" w:hAnsi="Arial" w:eastAsia="Times New Roman" w:cs="Arial"/>
                <w:szCs w:val="20"/>
              </w:rPr>
            </w:pPr>
            <w:r>
              <w:rPr>
                <w:rFonts w:ascii="Arial" w:hAnsi="Arial" w:eastAsia="Times New Roman" w:cs="Arial"/>
                <w:szCs w:val="20"/>
              </w:rPr>
              <w:t xml:space="preserve">Travailler sur la production d’un poster pour soutenance (à faire en priorité)</w:t>
            </w:r>
            <w:r>
              <w:rPr>
                <w:rFonts w:ascii="Arial" w:hAnsi="Arial" w:eastAsia="Times New Roman" w:cs="Arial"/>
                <w:szCs w:val="20"/>
              </w:rPr>
            </w:r>
            <w:r>
              <w:rPr>
                <w:rFonts w:ascii="Arial" w:hAnsi="Arial" w:eastAsia="Times New Roman" w:cs="Arial"/>
                <w:szCs w:val="20"/>
              </w:rPr>
            </w:r>
          </w:p>
          <w:p>
            <w:pPr>
              <w:pStyle w:val="935"/>
              <w:pBdr/>
              <w:spacing w:after="0" w:line="360" w:lineRule="auto"/>
              <w:ind w:left="113"/>
              <w:rPr>
                <w:rFonts w:ascii="Arial" w:hAnsi="Arial" w:eastAsia="Times New Roman" w:cs="Arial"/>
                <w:b/>
                <w:bCs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Cs w:val="20"/>
              </w:rPr>
              <w:t xml:space="preserve">(Synchrone ou asynchrone)</w:t>
            </w:r>
            <w:r>
              <w:rPr>
                <w:rFonts w:ascii="Arial" w:hAnsi="Arial" w:eastAsia="Times New Roman" w:cs="Arial"/>
                <w:b/>
                <w:bCs/>
                <w:szCs w:val="20"/>
              </w:rPr>
            </w:r>
            <w:r>
              <w:rPr>
                <w:rFonts w:ascii="Arial" w:hAnsi="Arial" w:eastAsia="Times New Roman" w:cs="Arial"/>
                <w:b/>
                <w:bCs/>
                <w:szCs w:val="20"/>
              </w:rPr>
            </w:r>
          </w:p>
          <w:p>
            <w:pPr>
              <w:pBdr/>
              <w:spacing/>
              <w:ind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</w:r>
            <w:r>
              <w:rPr>
                <w:rFonts w:eastAsia="Times New Roman" w:cs="Arial"/>
                <w:szCs w:val="20"/>
              </w:rPr>
            </w:r>
            <w:r>
              <w:rPr>
                <w:rFonts w:eastAsia="Times New Roman" w:cs="Arial"/>
                <w:szCs w:val="20"/>
              </w:rPr>
            </w:r>
          </w:p>
          <w:p>
            <w:pPr>
              <w:pStyle w:val="935"/>
              <w:pBdr/>
              <w:spacing w:after="0" w:line="360" w:lineRule="auto"/>
              <w:ind w:left="113"/>
              <w:rPr>
                <w:rFonts w:ascii="Arial" w:hAnsi="Arial" w:eastAsia="Times New Roman" w:cs="Arial"/>
                <w:szCs w:val="20"/>
              </w:rPr>
            </w:pPr>
            <w:r>
              <w:rPr>
                <w:rFonts w:ascii="Arial" w:hAnsi="Arial" w:eastAsia="Times New Roman" w:cs="Arial"/>
                <w:szCs w:val="20"/>
              </w:rPr>
            </w:r>
            <w:r>
              <w:rPr>
                <w:rFonts w:ascii="Arial" w:hAnsi="Arial" w:eastAsia="Times New Roman" w:cs="Arial"/>
                <w:szCs w:val="20"/>
              </w:rPr>
            </w:r>
            <w:r>
              <w:rPr>
                <w:rFonts w:ascii="Arial" w:hAnsi="Arial" w:eastAsia="Times New Roman" w:cs="Arial"/>
                <w:szCs w:val="20"/>
              </w:rPr>
            </w:r>
          </w:p>
          <w:p>
            <w:pPr>
              <w:pStyle w:val="935"/>
              <w:numPr>
                <w:ilvl w:val="0"/>
                <w:numId w:val="23"/>
              </w:numPr>
              <w:pBdr/>
              <w:spacing w:after="0" w:line="360" w:lineRule="auto"/>
              <w:ind w:firstLine="0" w:left="113"/>
              <w:rPr>
                <w:rFonts w:ascii="Arial" w:hAnsi="Arial" w:eastAsia="Times New Roman" w:cs="Arial"/>
                <w:szCs w:val="20"/>
              </w:rPr>
            </w:pPr>
            <w:r>
              <w:rPr>
                <w:rFonts w:ascii="Arial" w:hAnsi="Arial" w:eastAsia="Times New Roman" w:cs="Arial"/>
                <w:szCs w:val="20"/>
              </w:rPr>
              <w:t xml:space="preserve">Être à l’écoute des éventuels retours des Wikipédiens et contribuer de </w:t>
            </w:r>
            <w:r>
              <w:rPr>
                <w:rFonts w:ascii="Arial" w:hAnsi="Arial" w:eastAsia="Times New Roman" w:cs="Arial"/>
                <w:szCs w:val="20"/>
              </w:rPr>
              <w:t xml:space="preserve">façon continue à l’amélioration de l’article Wikipédia</w:t>
            </w:r>
            <w:r>
              <w:rPr>
                <w:rFonts w:ascii="Arial" w:hAnsi="Arial" w:eastAsia="Times New Roman" w:cs="Arial"/>
                <w:szCs w:val="20"/>
              </w:rPr>
              <w:t xml:space="preserve"> jusqu’à la date fixée par l’équipe pédagogique</w:t>
            </w:r>
            <w:r>
              <w:rPr>
                <w:rFonts w:ascii="Arial" w:hAnsi="Arial" w:eastAsia="Times New Roman" w:cs="Arial"/>
                <w:szCs w:val="20"/>
              </w:rPr>
              <w:br/>
            </w:r>
            <w:r>
              <w:rPr>
                <w:rFonts w:ascii="Arial" w:hAnsi="Arial" w:eastAsia="Times New Roman" w:cs="Arial"/>
                <w:b/>
                <w:bCs/>
                <w:szCs w:val="20"/>
              </w:rPr>
              <w:t xml:space="preserve">(Asynchrone)</w:t>
            </w:r>
            <w:r>
              <w:rPr>
                <w:rFonts w:ascii="Arial" w:hAnsi="Arial" w:eastAsia="Times New Roman" w:cs="Arial"/>
                <w:szCs w:val="20"/>
              </w:rPr>
            </w:r>
            <w:r>
              <w:rPr>
                <w:rFonts w:ascii="Arial" w:hAnsi="Arial" w:eastAsia="Times New Roman" w:cs="Arial"/>
                <w:szCs w:val="20"/>
              </w:rPr>
            </w:r>
          </w:p>
        </w:tc>
        <w:tc>
          <w:tcPr>
            <w:tcBorders/>
            <w:tcW w:w="3530" w:type="dxa"/>
            <w:textDirection w:val="lrTb"/>
            <w:noWrap w:val="false"/>
          </w:tcPr>
          <w:p>
            <w:pPr>
              <w:pStyle w:val="935"/>
              <w:numPr>
                <w:ilvl w:val="0"/>
                <w:numId w:val="24"/>
              </w:numPr>
              <w:pBdr/>
              <w:spacing w:after="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Faire le point avec les étudiants si besoin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pBdr/>
              <w:spacing w:after="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pBdr/>
              <w:spacing w:after="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pBdr/>
              <w:spacing w:after="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pBdr/>
              <w:spacing w:after="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pBdr/>
              <w:spacing w:after="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pBdr/>
              <w:spacing w:after="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numPr>
                <w:ilvl w:val="0"/>
                <w:numId w:val="24"/>
              </w:numPr>
              <w:pBdr/>
              <w:spacing w:after="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S’assurer que les étudiants effectuent bien les modifications si retours des Wikipédiens il y 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318" w:type="dxa"/>
            <w:textDirection w:val="lrTb"/>
            <w:noWrap w:val="false"/>
          </w:tcPr>
          <w:p>
            <w:pPr>
              <w:pStyle w:val="935"/>
              <w:numPr>
                <w:ilvl w:val="0"/>
                <w:numId w:val="25"/>
              </w:numPr>
              <w:pBdr/>
              <w:spacing w:after="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Synthèse des entretiens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 xml:space="preserve">Ressources identifiées lors des entretiens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pBdr/>
              <w:spacing w:after="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935"/>
              <w:numPr>
                <w:ilvl w:val="0"/>
                <w:numId w:val="25"/>
              </w:numPr>
              <w:pBdr/>
              <w:spacing w:after="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Page de discussion de l’article Wikipédia.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179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Poster et soutenance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Publier des modifications.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8"/>
  </w:num>
  <w:num w:numId="5">
    <w:abstractNumId w:val="22"/>
  </w:num>
  <w:num w:numId="6">
    <w:abstractNumId w:val="23"/>
  </w:num>
  <w:num w:numId="7">
    <w:abstractNumId w:val="14"/>
  </w:num>
  <w:num w:numId="8">
    <w:abstractNumId w:val="15"/>
  </w:num>
  <w:num w:numId="9">
    <w:abstractNumId w:val="1"/>
  </w:num>
  <w:num w:numId="10">
    <w:abstractNumId w:val="13"/>
  </w:num>
  <w:num w:numId="11">
    <w:abstractNumId w:val="21"/>
  </w:num>
  <w:num w:numId="12">
    <w:abstractNumId w:val="11"/>
  </w:num>
  <w:num w:numId="13">
    <w:abstractNumId w:val="10"/>
  </w:num>
  <w:num w:numId="14">
    <w:abstractNumId w:val="0"/>
  </w:num>
  <w:num w:numId="15">
    <w:abstractNumId w:val="7"/>
  </w:num>
  <w:num w:numId="16">
    <w:abstractNumId w:val="4"/>
  </w:num>
  <w:num w:numId="17">
    <w:abstractNumId w:val="5"/>
  </w:num>
  <w:num w:numId="18">
    <w:abstractNumId w:val="17"/>
  </w:num>
  <w:num w:numId="19">
    <w:abstractNumId w:val="25"/>
  </w:num>
  <w:num w:numId="20">
    <w:abstractNumId w:val="2"/>
  </w:num>
  <w:num w:numId="21">
    <w:abstractNumId w:val="6"/>
  </w:num>
  <w:num w:numId="22">
    <w:abstractNumId w:val="19"/>
  </w:num>
  <w:num w:numId="23">
    <w:abstractNumId w:val="20"/>
  </w:num>
  <w:num w:numId="24">
    <w:abstractNumId w:val="24"/>
  </w:num>
  <w:num w:numId="25">
    <w:abstractNumId w:val="3"/>
  </w:num>
  <w:num w:numId="26">
    <w:abstractNumId w:val="1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9">
    <w:name w:val="Intense Emphasis"/>
    <w:basedOn w:val="9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0">
    <w:name w:val="Intense Reference"/>
    <w:basedOn w:val="9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1">
    <w:name w:val="Subtle Emphasis"/>
    <w:basedOn w:val="9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Emphasis"/>
    <w:basedOn w:val="932"/>
    <w:uiPriority w:val="20"/>
    <w:qFormat/>
    <w:pPr>
      <w:pBdr/>
      <w:spacing/>
      <w:ind/>
    </w:pPr>
    <w:rPr>
      <w:i/>
      <w:iCs/>
    </w:rPr>
  </w:style>
  <w:style w:type="character" w:styleId="753">
    <w:name w:val="Strong"/>
    <w:basedOn w:val="932"/>
    <w:uiPriority w:val="22"/>
    <w:qFormat/>
    <w:pPr>
      <w:pBdr/>
      <w:spacing/>
      <w:ind/>
    </w:pPr>
    <w:rPr>
      <w:b/>
      <w:bCs/>
    </w:rPr>
  </w:style>
  <w:style w:type="character" w:styleId="754">
    <w:name w:val="Subtle Reference"/>
    <w:basedOn w:val="9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5">
    <w:name w:val="Book Title"/>
    <w:basedOn w:val="9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6">
    <w:name w:val="FollowedHyperlink"/>
    <w:basedOn w:val="9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7">
    <w:name w:val="Heading 1"/>
    <w:basedOn w:val="931"/>
    <w:next w:val="931"/>
    <w:link w:val="75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8">
    <w:name w:val="Heading 1 Char"/>
    <w:basedOn w:val="932"/>
    <w:link w:val="75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9">
    <w:name w:val="Heading 2"/>
    <w:basedOn w:val="931"/>
    <w:next w:val="931"/>
    <w:link w:val="76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0">
    <w:name w:val="Heading 2 Char"/>
    <w:basedOn w:val="932"/>
    <w:link w:val="75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1">
    <w:name w:val="Heading 3"/>
    <w:basedOn w:val="931"/>
    <w:next w:val="931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2">
    <w:name w:val="Heading 3 Char"/>
    <w:basedOn w:val="932"/>
    <w:link w:val="76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3">
    <w:name w:val="Heading 4"/>
    <w:basedOn w:val="931"/>
    <w:next w:val="931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4">
    <w:name w:val="Heading 4 Char"/>
    <w:basedOn w:val="932"/>
    <w:link w:val="76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931"/>
    <w:next w:val="931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6">
    <w:name w:val="Heading 5 Char"/>
    <w:basedOn w:val="932"/>
    <w:link w:val="76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931"/>
    <w:next w:val="931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8">
    <w:name w:val="Heading 6 Char"/>
    <w:basedOn w:val="932"/>
    <w:link w:val="76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931"/>
    <w:next w:val="931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0">
    <w:name w:val="Heading 7 Char"/>
    <w:basedOn w:val="932"/>
    <w:link w:val="76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931"/>
    <w:next w:val="931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2">
    <w:name w:val="Heading 8 Char"/>
    <w:basedOn w:val="932"/>
    <w:link w:val="77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3">
    <w:name w:val="Heading 9"/>
    <w:basedOn w:val="931"/>
    <w:next w:val="931"/>
    <w:link w:val="9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74">
    <w:name w:val="No Spacing"/>
    <w:uiPriority w:val="1"/>
    <w:qFormat/>
    <w:pPr>
      <w:pBdr/>
      <w:spacing w:after="0" w:before="0" w:line="240" w:lineRule="auto"/>
      <w:ind/>
    </w:pPr>
  </w:style>
  <w:style w:type="paragraph" w:styleId="775">
    <w:name w:val="Title"/>
    <w:basedOn w:val="931"/>
    <w:next w:val="931"/>
    <w:link w:val="77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6">
    <w:name w:val="Title Char"/>
    <w:basedOn w:val="932"/>
    <w:link w:val="775"/>
    <w:uiPriority w:val="10"/>
    <w:pPr>
      <w:pBdr/>
      <w:spacing/>
      <w:ind/>
    </w:pPr>
    <w:rPr>
      <w:sz w:val="48"/>
      <w:szCs w:val="48"/>
    </w:rPr>
  </w:style>
  <w:style w:type="paragraph" w:styleId="777">
    <w:name w:val="Subtitle"/>
    <w:basedOn w:val="931"/>
    <w:next w:val="931"/>
    <w:link w:val="77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8">
    <w:name w:val="Subtitle Char"/>
    <w:basedOn w:val="932"/>
    <w:link w:val="777"/>
    <w:uiPriority w:val="11"/>
    <w:pPr>
      <w:pBdr/>
      <w:spacing/>
      <w:ind/>
    </w:pPr>
    <w:rPr>
      <w:sz w:val="24"/>
      <w:szCs w:val="24"/>
    </w:rPr>
  </w:style>
  <w:style w:type="paragraph" w:styleId="779">
    <w:name w:val="Quote"/>
    <w:basedOn w:val="931"/>
    <w:next w:val="931"/>
    <w:link w:val="780"/>
    <w:uiPriority w:val="29"/>
    <w:qFormat/>
    <w:pPr>
      <w:pBdr/>
      <w:spacing/>
      <w:ind w:right="720" w:left="720"/>
    </w:pPr>
    <w:rPr>
      <w:i/>
    </w:rPr>
  </w:style>
  <w:style w:type="character" w:styleId="780">
    <w:name w:val="Quote Char"/>
    <w:link w:val="779"/>
    <w:uiPriority w:val="29"/>
    <w:pPr>
      <w:pBdr/>
      <w:spacing/>
      <w:ind/>
    </w:pPr>
    <w:rPr>
      <w:i/>
    </w:rPr>
  </w:style>
  <w:style w:type="paragraph" w:styleId="781">
    <w:name w:val="Intense Quote"/>
    <w:basedOn w:val="931"/>
    <w:next w:val="931"/>
    <w:link w:val="7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2">
    <w:name w:val="Intense Quote Char"/>
    <w:link w:val="781"/>
    <w:uiPriority w:val="30"/>
    <w:pPr>
      <w:pBdr/>
      <w:spacing/>
      <w:ind/>
    </w:pPr>
    <w:rPr>
      <w:i/>
    </w:rPr>
  </w:style>
  <w:style w:type="paragraph" w:styleId="783">
    <w:name w:val="Header"/>
    <w:basedOn w:val="931"/>
    <w:link w:val="7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4">
    <w:name w:val="Header Char"/>
    <w:basedOn w:val="932"/>
    <w:link w:val="783"/>
    <w:uiPriority w:val="99"/>
    <w:pPr>
      <w:pBdr/>
      <w:spacing/>
      <w:ind/>
    </w:pPr>
  </w:style>
  <w:style w:type="paragraph" w:styleId="785">
    <w:name w:val="Footer"/>
    <w:basedOn w:val="931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6">
    <w:name w:val="Footer Char"/>
    <w:basedOn w:val="932"/>
    <w:link w:val="785"/>
    <w:uiPriority w:val="99"/>
    <w:pPr>
      <w:pBdr/>
      <w:spacing/>
      <w:ind/>
    </w:pPr>
  </w:style>
  <w:style w:type="paragraph" w:styleId="787">
    <w:name w:val="Caption"/>
    <w:basedOn w:val="931"/>
    <w:next w:val="93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8">
    <w:name w:val="Caption Char"/>
    <w:basedOn w:val="787"/>
    <w:link w:val="785"/>
    <w:uiPriority w:val="99"/>
    <w:pPr>
      <w:pBdr/>
      <w:spacing/>
      <w:ind/>
    </w:pPr>
  </w:style>
  <w:style w:type="table" w:styleId="789">
    <w:name w:val="Table Grid Light"/>
    <w:basedOn w:val="9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1"/>
    <w:basedOn w:val="9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2"/>
    <w:basedOn w:val="9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1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2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3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4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5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6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1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2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3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4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5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6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1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2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3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4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5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6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4">
    <w:name w:val="footnote text"/>
    <w:basedOn w:val="931"/>
    <w:link w:val="91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5">
    <w:name w:val="Footnote Text Char"/>
    <w:link w:val="914"/>
    <w:uiPriority w:val="99"/>
    <w:pPr>
      <w:pBdr/>
      <w:spacing/>
      <w:ind/>
    </w:pPr>
    <w:rPr>
      <w:sz w:val="18"/>
    </w:rPr>
  </w:style>
  <w:style w:type="character" w:styleId="916">
    <w:name w:val="footnote reference"/>
    <w:basedOn w:val="932"/>
    <w:uiPriority w:val="99"/>
    <w:unhideWhenUsed/>
    <w:pPr>
      <w:pBdr/>
      <w:spacing/>
      <w:ind/>
    </w:pPr>
    <w:rPr>
      <w:vertAlign w:val="superscript"/>
    </w:rPr>
  </w:style>
  <w:style w:type="paragraph" w:styleId="917">
    <w:name w:val="endnote text"/>
    <w:basedOn w:val="931"/>
    <w:link w:val="91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8">
    <w:name w:val="Endnote Text Char"/>
    <w:link w:val="917"/>
    <w:uiPriority w:val="99"/>
    <w:pPr>
      <w:pBdr/>
      <w:spacing/>
      <w:ind/>
    </w:pPr>
    <w:rPr>
      <w:sz w:val="20"/>
    </w:rPr>
  </w:style>
  <w:style w:type="character" w:styleId="919">
    <w:name w:val="endnote reference"/>
    <w:basedOn w:val="932"/>
    <w:uiPriority w:val="99"/>
    <w:semiHidden/>
    <w:unhideWhenUsed/>
    <w:pPr>
      <w:pBdr/>
      <w:spacing/>
      <w:ind/>
    </w:pPr>
    <w:rPr>
      <w:vertAlign w:val="superscript"/>
    </w:rPr>
  </w:style>
  <w:style w:type="paragraph" w:styleId="920">
    <w:name w:val="toc 1"/>
    <w:basedOn w:val="931"/>
    <w:next w:val="931"/>
    <w:uiPriority w:val="39"/>
    <w:unhideWhenUsed/>
    <w:pPr>
      <w:pBdr/>
      <w:spacing w:after="57"/>
      <w:ind w:right="0" w:firstLine="0" w:left="0"/>
    </w:pPr>
  </w:style>
  <w:style w:type="paragraph" w:styleId="921">
    <w:name w:val="toc 2"/>
    <w:basedOn w:val="931"/>
    <w:next w:val="931"/>
    <w:uiPriority w:val="39"/>
    <w:unhideWhenUsed/>
    <w:pPr>
      <w:pBdr/>
      <w:spacing w:after="57"/>
      <w:ind w:right="0" w:firstLine="0" w:left="283"/>
    </w:pPr>
  </w:style>
  <w:style w:type="paragraph" w:styleId="922">
    <w:name w:val="toc 3"/>
    <w:basedOn w:val="931"/>
    <w:next w:val="931"/>
    <w:uiPriority w:val="39"/>
    <w:unhideWhenUsed/>
    <w:pPr>
      <w:pBdr/>
      <w:spacing w:after="57"/>
      <w:ind w:right="0" w:firstLine="0" w:left="567"/>
    </w:pPr>
  </w:style>
  <w:style w:type="paragraph" w:styleId="923">
    <w:name w:val="toc 4"/>
    <w:basedOn w:val="931"/>
    <w:next w:val="931"/>
    <w:uiPriority w:val="39"/>
    <w:unhideWhenUsed/>
    <w:pPr>
      <w:pBdr/>
      <w:spacing w:after="57"/>
      <w:ind w:right="0" w:firstLine="0" w:left="850"/>
    </w:pPr>
  </w:style>
  <w:style w:type="paragraph" w:styleId="924">
    <w:name w:val="toc 5"/>
    <w:basedOn w:val="931"/>
    <w:next w:val="931"/>
    <w:uiPriority w:val="39"/>
    <w:unhideWhenUsed/>
    <w:pPr>
      <w:pBdr/>
      <w:spacing w:after="57"/>
      <w:ind w:right="0" w:firstLine="0" w:left="1134"/>
    </w:pPr>
  </w:style>
  <w:style w:type="paragraph" w:styleId="925">
    <w:name w:val="toc 6"/>
    <w:basedOn w:val="931"/>
    <w:next w:val="931"/>
    <w:uiPriority w:val="39"/>
    <w:unhideWhenUsed/>
    <w:pPr>
      <w:pBdr/>
      <w:spacing w:after="57"/>
      <w:ind w:right="0" w:firstLine="0" w:left="1417"/>
    </w:pPr>
  </w:style>
  <w:style w:type="paragraph" w:styleId="926">
    <w:name w:val="toc 7"/>
    <w:basedOn w:val="931"/>
    <w:next w:val="931"/>
    <w:uiPriority w:val="39"/>
    <w:unhideWhenUsed/>
    <w:pPr>
      <w:pBdr/>
      <w:spacing w:after="57"/>
      <w:ind w:right="0" w:firstLine="0" w:left="1701"/>
    </w:pPr>
  </w:style>
  <w:style w:type="paragraph" w:styleId="927">
    <w:name w:val="toc 8"/>
    <w:basedOn w:val="931"/>
    <w:next w:val="931"/>
    <w:uiPriority w:val="39"/>
    <w:unhideWhenUsed/>
    <w:pPr>
      <w:pBdr/>
      <w:spacing w:after="57"/>
      <w:ind w:right="0" w:firstLine="0" w:left="1984"/>
    </w:pPr>
  </w:style>
  <w:style w:type="paragraph" w:styleId="928">
    <w:name w:val="toc 9"/>
    <w:basedOn w:val="931"/>
    <w:next w:val="931"/>
    <w:uiPriority w:val="39"/>
    <w:unhideWhenUsed/>
    <w:pPr>
      <w:pBdr/>
      <w:spacing w:after="57"/>
      <w:ind w:right="0" w:firstLine="0" w:left="2268"/>
    </w:pPr>
  </w:style>
  <w:style w:type="paragraph" w:styleId="929">
    <w:name w:val="TOC Heading"/>
    <w:uiPriority w:val="39"/>
    <w:unhideWhenUsed/>
    <w:pPr>
      <w:pBdr/>
      <w:spacing/>
      <w:ind/>
    </w:pPr>
  </w:style>
  <w:style w:type="paragraph" w:styleId="930">
    <w:name w:val="table of figures"/>
    <w:basedOn w:val="931"/>
    <w:next w:val="931"/>
    <w:uiPriority w:val="99"/>
    <w:unhideWhenUsed/>
    <w:pPr>
      <w:pBdr/>
      <w:spacing w:after="0" w:afterAutospacing="0"/>
      <w:ind/>
    </w:pPr>
  </w:style>
  <w:style w:type="paragraph" w:styleId="931" w:default="1">
    <w:name w:val="Normal"/>
    <w:qFormat/>
    <w:pPr>
      <w:pBdr/>
      <w:spacing w:line="360" w:lineRule="auto"/>
      <w:ind/>
    </w:pPr>
    <w:rPr>
      <w:rFonts w:ascii="Arial" w:hAnsi="Arial"/>
    </w:rPr>
  </w:style>
  <w:style w:type="character" w:styleId="932" w:default="1">
    <w:name w:val="Default Paragraph Font"/>
    <w:uiPriority w:val="1"/>
    <w:semiHidden/>
    <w:unhideWhenUsed/>
    <w:pPr>
      <w:pBdr/>
      <w:spacing/>
      <w:ind/>
    </w:pPr>
  </w:style>
  <w:style w:type="table" w:styleId="93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4" w:default="1">
    <w:name w:val="No List"/>
    <w:uiPriority w:val="99"/>
    <w:semiHidden/>
    <w:unhideWhenUsed/>
    <w:pPr>
      <w:pBdr/>
      <w:spacing/>
      <w:ind/>
    </w:pPr>
  </w:style>
  <w:style w:type="paragraph" w:styleId="935">
    <w:name w:val="List Paragraph"/>
    <w:basedOn w:val="931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Calibri"/>
      <w:lang w:eastAsia="zh-CN"/>
    </w:rPr>
  </w:style>
  <w:style w:type="table" w:styleId="936" w:customStyle="1">
    <w:name w:val="StGen0"/>
    <w:basedOn w:val="933"/>
    <w:pPr>
      <w:pBdr/>
      <w:spacing w:after="200" w:line="276" w:lineRule="auto"/>
      <w:ind/>
    </w:pPr>
    <w:rPr>
      <w:rFonts w:ascii="Calibri" w:hAnsi="Calibri" w:eastAsia="Calibri" w:cs="Calibri"/>
      <w:lang w:eastAsia="zh-CN"/>
    </w:r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938" w:customStyle="1">
    <w:name w:val="StGen1"/>
    <w:basedOn w:val="933"/>
    <w:pPr>
      <w:pBdr/>
      <w:spacing w:after="200" w:line="276" w:lineRule="auto"/>
      <w:ind/>
    </w:pPr>
    <w:rPr>
      <w:rFonts w:ascii="Calibri" w:hAnsi="Calibri" w:eastAsia="Calibri" w:cs="Calibri"/>
      <w:lang w:eastAsia="zh-CN"/>
    </w:r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StGen2"/>
    <w:basedOn w:val="933"/>
    <w:pPr>
      <w:pBdr/>
      <w:spacing w:after="200" w:line="276" w:lineRule="auto"/>
      <w:ind/>
    </w:pPr>
    <w:rPr>
      <w:rFonts w:ascii="Calibri" w:hAnsi="Calibri" w:eastAsia="Calibri" w:cs="Calibri"/>
      <w:lang w:eastAsia="zh-CN"/>
    </w:r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Table Grid"/>
    <w:basedOn w:val="93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1">
    <w:name w:val="annotation reference"/>
    <w:basedOn w:val="9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42">
    <w:name w:val="annotation text"/>
    <w:basedOn w:val="931"/>
    <w:link w:val="943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43" w:customStyle="1">
    <w:name w:val="Commentaire Car"/>
    <w:basedOn w:val="932"/>
    <w:link w:val="942"/>
    <w:uiPriority w:val="99"/>
    <w:semiHidden/>
    <w:pPr>
      <w:pBdr/>
      <w:spacing/>
      <w:ind/>
    </w:pPr>
    <w:rPr>
      <w:rFonts w:ascii="Arial" w:hAnsi="Arial"/>
      <w:sz w:val="20"/>
      <w:szCs w:val="20"/>
    </w:rPr>
  </w:style>
  <w:style w:type="paragraph" w:styleId="944">
    <w:name w:val="annotation subject"/>
    <w:basedOn w:val="942"/>
    <w:next w:val="942"/>
    <w:link w:val="945"/>
    <w:uiPriority w:val="99"/>
    <w:semiHidden/>
    <w:unhideWhenUsed/>
    <w:pPr>
      <w:pBdr/>
      <w:spacing/>
      <w:ind/>
    </w:pPr>
    <w:rPr>
      <w:b/>
      <w:bCs/>
    </w:rPr>
  </w:style>
  <w:style w:type="character" w:styleId="945" w:customStyle="1">
    <w:name w:val="Objet du commentaire Car"/>
    <w:basedOn w:val="943"/>
    <w:link w:val="944"/>
    <w:uiPriority w:val="99"/>
    <w:semiHidden/>
    <w:pPr>
      <w:pBdr/>
      <w:spacing/>
      <w:ind/>
    </w:pPr>
    <w:rPr>
      <w:rFonts w:ascii="Arial" w:hAnsi="Arial"/>
      <w:b/>
      <w:bCs/>
      <w:sz w:val="20"/>
      <w:szCs w:val="20"/>
    </w:rPr>
  </w:style>
  <w:style w:type="character" w:styleId="946" w:customStyle="1">
    <w:name w:val="Heading 9 Char"/>
    <w:basedOn w:val="93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wikimedia.fr/wikeys/" TargetMode="External"/><Relationship Id="rId10" Type="http://schemas.openxmlformats.org/officeDocument/2006/relationships/hyperlink" Target="https://fr.wikipedia.org/wiki/Wikip%C3%A9dia:Rencontres/Aquitaine/Cubal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Universite de Bordeaux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Liger</dc:creator>
  <cp:keywords/>
  <dc:description/>
  <cp:lastModifiedBy>Anais Liger</cp:lastModifiedBy>
  <cp:revision>86</cp:revision>
  <dcterms:created xsi:type="dcterms:W3CDTF">2025-02-13T12:42:00Z</dcterms:created>
  <dcterms:modified xsi:type="dcterms:W3CDTF">2025-05-19T13:01:35Z</dcterms:modified>
</cp:coreProperties>
</file>