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2CE47" w14:textId="6A3D86A3" w:rsidR="00716391" w:rsidRPr="00716391" w:rsidRDefault="00716391" w:rsidP="009C2902">
      <w:pPr>
        <w:spacing w:line="360" w:lineRule="auto"/>
        <w:ind w:firstLine="284"/>
        <w:jc w:val="center"/>
        <w:rPr>
          <w:b/>
          <w:bCs/>
          <w:sz w:val="28"/>
          <w:szCs w:val="28"/>
        </w:rPr>
      </w:pPr>
      <w:r w:rsidRPr="00716391">
        <w:rPr>
          <w:b/>
          <w:bCs/>
          <w:sz w:val="28"/>
          <w:szCs w:val="28"/>
        </w:rPr>
        <w:t>Cour</w:t>
      </w:r>
      <w:r w:rsidR="009C2902">
        <w:rPr>
          <w:b/>
          <w:bCs/>
          <w:sz w:val="28"/>
          <w:szCs w:val="28"/>
        </w:rPr>
        <w:t>s</w:t>
      </w:r>
      <w:r w:rsidRPr="00716391">
        <w:rPr>
          <w:b/>
          <w:bCs/>
          <w:sz w:val="28"/>
          <w:szCs w:val="28"/>
        </w:rPr>
        <w:t xml:space="preserve"> de droit européen des droits de l’homme</w:t>
      </w:r>
    </w:p>
    <w:p w14:paraId="10D68FB6" w14:textId="675585DE" w:rsidR="00716391" w:rsidRPr="00716391" w:rsidRDefault="00716391" w:rsidP="009C2902">
      <w:pPr>
        <w:spacing w:line="360" w:lineRule="auto"/>
        <w:ind w:firstLine="284"/>
        <w:jc w:val="center"/>
        <w:rPr>
          <w:b/>
          <w:bCs/>
          <w:sz w:val="28"/>
          <w:szCs w:val="28"/>
        </w:rPr>
      </w:pPr>
      <w:r w:rsidRPr="00716391">
        <w:rPr>
          <w:b/>
          <w:bCs/>
          <w:sz w:val="28"/>
          <w:szCs w:val="28"/>
        </w:rPr>
        <w:t>2025</w:t>
      </w:r>
    </w:p>
    <w:p w14:paraId="56FD8CA2" w14:textId="059CEEDF" w:rsidR="00716391" w:rsidRPr="00716391" w:rsidRDefault="00716391" w:rsidP="009C2902">
      <w:pPr>
        <w:spacing w:line="360" w:lineRule="auto"/>
        <w:ind w:firstLine="284"/>
        <w:jc w:val="center"/>
        <w:rPr>
          <w:b/>
          <w:bCs/>
          <w:sz w:val="28"/>
          <w:szCs w:val="28"/>
        </w:rPr>
      </w:pPr>
      <w:r w:rsidRPr="00716391">
        <w:rPr>
          <w:b/>
          <w:bCs/>
          <w:sz w:val="28"/>
          <w:szCs w:val="28"/>
        </w:rPr>
        <w:t>Adeline Gouttenoire</w:t>
      </w:r>
      <w:r w:rsidR="009C2902">
        <w:rPr>
          <w:b/>
          <w:bCs/>
          <w:sz w:val="28"/>
          <w:szCs w:val="28"/>
        </w:rPr>
        <w:t>, Professeure à l’Université de Bordeaux</w:t>
      </w:r>
    </w:p>
    <w:p w14:paraId="42AD98AB" w14:textId="77777777" w:rsidR="00716391" w:rsidRDefault="00716391" w:rsidP="000061B5">
      <w:pPr>
        <w:spacing w:line="360" w:lineRule="auto"/>
        <w:ind w:firstLine="284"/>
        <w:jc w:val="both"/>
      </w:pPr>
    </w:p>
    <w:p w14:paraId="1B580883" w14:textId="77777777" w:rsidR="00716391" w:rsidRDefault="00716391" w:rsidP="000061B5">
      <w:pPr>
        <w:spacing w:line="360" w:lineRule="auto"/>
        <w:ind w:firstLine="284"/>
        <w:jc w:val="both"/>
      </w:pPr>
    </w:p>
    <w:p w14:paraId="161670D6" w14:textId="18C6BD47" w:rsidR="001F71AF" w:rsidRPr="00FE4453" w:rsidRDefault="001F71AF" w:rsidP="000061B5">
      <w:pPr>
        <w:spacing w:line="360" w:lineRule="auto"/>
        <w:ind w:firstLine="284"/>
        <w:jc w:val="both"/>
      </w:pPr>
      <w:proofErr w:type="spellStart"/>
      <w:r w:rsidRPr="00716391">
        <w:rPr>
          <w:b/>
          <w:bCs/>
        </w:rPr>
        <w:t>Bibliograhie</w:t>
      </w:r>
      <w:proofErr w:type="spellEnd"/>
      <w:r w:rsidRPr="00FE4453">
        <w:t xml:space="preserve"> : </w:t>
      </w:r>
    </w:p>
    <w:p w14:paraId="199C833B" w14:textId="71526961" w:rsidR="001F71AF" w:rsidRPr="00FE4453" w:rsidRDefault="001F71AF" w:rsidP="000061B5">
      <w:pPr>
        <w:numPr>
          <w:ilvl w:val="0"/>
          <w:numId w:val="1"/>
        </w:numPr>
        <w:spacing w:line="360" w:lineRule="auto"/>
        <w:ind w:left="0"/>
        <w:jc w:val="both"/>
      </w:pPr>
      <w:r w:rsidRPr="00FE4453">
        <w:t>F. Sudre</w:t>
      </w:r>
      <w:r w:rsidR="008D739B">
        <w:t xml:space="preserve"> (</w:t>
      </w:r>
      <w:proofErr w:type="spellStart"/>
      <w:r w:rsidR="008D739B">
        <w:t>dir</w:t>
      </w:r>
      <w:proofErr w:type="spellEnd"/>
      <w:r w:rsidR="008D739B">
        <w:t>.)</w:t>
      </w:r>
      <w:r w:rsidRPr="00FE4453">
        <w:t> : Droit européen et international des droits de l’homme</w:t>
      </w:r>
      <w:r w:rsidR="008D739B">
        <w:t>, PUF,</w:t>
      </w:r>
      <w:r w:rsidRPr="00FE4453">
        <w:t xml:space="preserve"> </w:t>
      </w:r>
      <w:r w:rsidR="008D739B">
        <w:t>17</w:t>
      </w:r>
      <w:r w:rsidR="008D739B" w:rsidRPr="008D739B">
        <w:rPr>
          <w:vertAlign w:val="superscript"/>
        </w:rPr>
        <w:t>ème</w:t>
      </w:r>
      <w:r w:rsidR="008D739B">
        <w:t xml:space="preserve"> éd. </w:t>
      </w:r>
      <w:r w:rsidRPr="00FE4453">
        <w:t>202</w:t>
      </w:r>
      <w:r w:rsidR="00E82989">
        <w:t>3</w:t>
      </w:r>
    </w:p>
    <w:p w14:paraId="24633731" w14:textId="74D960EE" w:rsidR="001F71AF" w:rsidRDefault="008D739B" w:rsidP="000061B5">
      <w:pPr>
        <w:numPr>
          <w:ilvl w:val="0"/>
          <w:numId w:val="1"/>
        </w:numPr>
        <w:spacing w:line="360" w:lineRule="auto"/>
        <w:ind w:left="0"/>
        <w:jc w:val="both"/>
      </w:pPr>
      <w:r>
        <w:t>G</w:t>
      </w:r>
      <w:r w:rsidR="001F71AF" w:rsidRPr="00FE4453">
        <w:t>rands arrêts de la Cour européenne des droits de l’homme ,1</w:t>
      </w:r>
      <w:r w:rsidR="00716391">
        <w:t>1</w:t>
      </w:r>
      <w:r w:rsidR="001F71AF" w:rsidRPr="00FE4453">
        <w:rPr>
          <w:vertAlign w:val="superscript"/>
        </w:rPr>
        <w:t>ème</w:t>
      </w:r>
      <w:r w:rsidR="001F71AF" w:rsidRPr="00FE4453">
        <w:t xml:space="preserve"> éd., 202</w:t>
      </w:r>
      <w:r w:rsidR="00716391">
        <w:t>5</w:t>
      </w:r>
    </w:p>
    <w:p w14:paraId="48DF5613" w14:textId="6D6919AD" w:rsidR="00716391" w:rsidRPr="00FE4453" w:rsidRDefault="00716391" w:rsidP="000061B5">
      <w:pPr>
        <w:numPr>
          <w:ilvl w:val="0"/>
          <w:numId w:val="1"/>
        </w:numPr>
        <w:spacing w:line="360" w:lineRule="auto"/>
        <w:ind w:left="0"/>
        <w:jc w:val="both"/>
      </w:pPr>
      <w:r>
        <w:t xml:space="preserve">F. Marchadier et A. Gouttenoire, Chronique de droit de la CEDH. Revue </w:t>
      </w:r>
      <w:r w:rsidR="00C72E54">
        <w:t>D</w:t>
      </w:r>
      <w:r>
        <w:t>roit de la famille (</w:t>
      </w:r>
      <w:proofErr w:type="spellStart"/>
      <w:r>
        <w:t>Lexisnexis</w:t>
      </w:r>
      <w:proofErr w:type="spellEnd"/>
      <w:r>
        <w:t xml:space="preserve">) </w:t>
      </w:r>
    </w:p>
    <w:p w14:paraId="30AD99D2" w14:textId="45EEE9B2" w:rsidR="008D739B" w:rsidRDefault="008D739B">
      <w:pPr>
        <w:rPr>
          <w:b/>
        </w:rPr>
      </w:pPr>
      <w:r>
        <w:rPr>
          <w:b/>
        </w:rPr>
        <w:br w:type="page"/>
      </w:r>
    </w:p>
    <w:p w14:paraId="486C2BCD" w14:textId="77777777" w:rsidR="001F71AF" w:rsidRDefault="001F71AF" w:rsidP="000061B5">
      <w:pPr>
        <w:spacing w:line="360" w:lineRule="auto"/>
        <w:jc w:val="both"/>
        <w:rPr>
          <w:b/>
        </w:rPr>
      </w:pPr>
    </w:p>
    <w:p w14:paraId="724B6262" w14:textId="7B64F17F" w:rsidR="00522329" w:rsidRPr="00562C76" w:rsidRDefault="00522329" w:rsidP="000061B5">
      <w:pPr>
        <w:spacing w:line="360" w:lineRule="auto"/>
        <w:jc w:val="both"/>
        <w:rPr>
          <w:b/>
        </w:rPr>
      </w:pPr>
      <w:r w:rsidRPr="00FE4453">
        <w:rPr>
          <w:b/>
        </w:rPr>
        <w:t>Partie 1 : La garantie des droits</w:t>
      </w:r>
    </w:p>
    <w:p w14:paraId="724B6263" w14:textId="665015D5" w:rsidR="00054C1C" w:rsidRPr="00FE4453" w:rsidRDefault="00D72D2F" w:rsidP="000061B5">
      <w:pPr>
        <w:spacing w:line="360" w:lineRule="auto"/>
        <w:ind w:firstLine="284"/>
        <w:jc w:val="both"/>
      </w:pPr>
      <w:r w:rsidRPr="00FE4453">
        <w:t>La garantie européenne des droits de l’homme se caractérise par le fait qu’elle a pour objet un ensemble de règles à la fois hétérogènes, générales et supranationales. Communs à tous les Etats membres du Conseil de l’Europe, les droits de l’homme issus de la convention européenne doivent être mis en œuvre dans le cadre de système</w:t>
      </w:r>
      <w:r w:rsidR="00054C1C" w:rsidRPr="00FE4453">
        <w:t>s</w:t>
      </w:r>
      <w:r w:rsidRPr="00FE4453">
        <w:t xml:space="preserve"> juridiques différents ; l’objectif est une application si ce n’est identique</w:t>
      </w:r>
      <w:r w:rsidR="00A05BAD">
        <w:t>,</w:t>
      </w:r>
      <w:r w:rsidRPr="00FE4453">
        <w:t xml:space="preserve"> mais au moins harmonieuse de </w:t>
      </w:r>
      <w:r w:rsidR="00054C1C" w:rsidRPr="00FE4453">
        <w:t>c</w:t>
      </w:r>
      <w:r w:rsidRPr="00FE4453">
        <w:t xml:space="preserve">es droits </w:t>
      </w:r>
      <w:r w:rsidR="00054C1C" w:rsidRPr="00FE4453">
        <w:t xml:space="preserve">de l’homme </w:t>
      </w:r>
      <w:r w:rsidRPr="00FE4453">
        <w:t xml:space="preserve">qui ne remet cependant pas en cause les spécificités de chaque Etat. La protection des droits de l’homme en Europe est fondée sur le souci permanent d’harmoniser les réponses juridiques dans le respect des différences.  </w:t>
      </w:r>
      <w:r w:rsidR="00054C1C" w:rsidRPr="00FE4453">
        <w:t>Elle se caractérise en outre par un caractère évolutif particulièrement marqué, dû à l’influence sans commune mesure qu’exerce la Cour européenne des droits de l’homme. Il n’en reste pas moins nécessaire, avant d’aborder le contrôle exercé sur la mise en œuvre en Europe des droits de l’homme, on pourrait parler de sanction des droits de l’homme, de se pencher sur les sources formelles du droit européen des droits de l’homme et particulièrement sur le texte fondateur du droit européen des droits qu’est la Convention européenne de sauvegarde des droits et libertés fondamentales.</w:t>
      </w:r>
      <w:r w:rsidR="00A03312" w:rsidRPr="00FE4453">
        <w:t xml:space="preserve"> Il paraît enfin essentiel au regard de l’évolution du droit positif </w:t>
      </w:r>
      <w:r w:rsidR="00B80F16" w:rsidRPr="00FE4453">
        <w:t>de présenter les mécanismes d’influence de la jurisprudence de la Cour européenne sur le droit interne.</w:t>
      </w:r>
    </w:p>
    <w:p w14:paraId="724B626A" w14:textId="77777777" w:rsidR="00B80F16" w:rsidRPr="00FE4453" w:rsidRDefault="00B80F16" w:rsidP="000061B5">
      <w:pPr>
        <w:spacing w:line="360" w:lineRule="auto"/>
        <w:ind w:firstLine="284"/>
        <w:jc w:val="both"/>
      </w:pPr>
    </w:p>
    <w:p w14:paraId="724B626B" w14:textId="77777777" w:rsidR="00054C1C" w:rsidRPr="00FE4453" w:rsidRDefault="00054C1C" w:rsidP="000061B5">
      <w:pPr>
        <w:spacing w:line="360" w:lineRule="auto"/>
        <w:ind w:firstLine="284"/>
        <w:jc w:val="both"/>
        <w:rPr>
          <w:b/>
        </w:rPr>
      </w:pPr>
      <w:r w:rsidRPr="00FE4453">
        <w:rPr>
          <w:b/>
        </w:rPr>
        <w:t>Chapitre 1 : Les sources formelles du droit européen des droits de l’homme</w:t>
      </w:r>
    </w:p>
    <w:p w14:paraId="724B626C" w14:textId="77777777" w:rsidR="00452F9A" w:rsidRPr="00FE4453" w:rsidRDefault="00912882" w:rsidP="000061B5">
      <w:pPr>
        <w:spacing w:line="360" w:lineRule="auto"/>
        <w:ind w:firstLine="284"/>
        <w:jc w:val="both"/>
      </w:pPr>
      <w:r w:rsidRPr="00FE4453">
        <w:t>La sauvegarde et le développement des droits de l’homme sont des moyens d’atteindre le but du conseil de l’Europe</w:t>
      </w:r>
      <w:r w:rsidR="00EE18D7" w:rsidRPr="00FE4453">
        <w:t xml:space="preserve"> qui consiste</w:t>
      </w:r>
      <w:r w:rsidRPr="00FE4453">
        <w:t xml:space="preserve"> </w:t>
      </w:r>
      <w:r w:rsidR="00EE18D7" w:rsidRPr="00FE4453">
        <w:t>à</w:t>
      </w:r>
      <w:r w:rsidRPr="00FE4453">
        <w:t xml:space="preserve"> réaliser une union plus étroite entre ses membres. La volonté de défendre et de promouvoir la liberté et la démocratie imprègne tout le statut du Conseil de l’Europe adopté à Londres le 5 mai 1949 en réponse aux barbaries commises durant la seconde guerre mondiale. </w:t>
      </w:r>
      <w:r w:rsidR="00F96A55" w:rsidRPr="00FE4453">
        <w:t xml:space="preserve">L’article 3 de ce statut impose à tout Etat membre de reconnaître le principe de la prééminence du droit et le principe en vertu duquel </w:t>
      </w:r>
      <w:r w:rsidR="00452F9A" w:rsidRPr="00FE4453">
        <w:t>toute personne placée sous sa juridiction doit jouir des droits de l’homme et des libertés fondamentales.</w:t>
      </w:r>
    </w:p>
    <w:p w14:paraId="5ED75C63" w14:textId="6C6AAFD2" w:rsidR="004D1ADF" w:rsidRPr="00FE4453" w:rsidRDefault="00C0360C" w:rsidP="000061B5">
      <w:pPr>
        <w:spacing w:line="360" w:lineRule="auto"/>
        <w:ind w:firstLine="284"/>
        <w:jc w:val="both"/>
      </w:pPr>
      <w:hyperlink r:id="rId8" w:history="1">
        <w:r w:rsidR="00B31652" w:rsidRPr="0053549A">
          <w:rPr>
            <w:rStyle w:val="Lienhypertexte"/>
            <w:color w:val="auto"/>
            <w:highlight w:val="yellow"/>
          </w:rPr>
          <w:t>https://prd-echr.coe.int/documents/d/echr/Convention_FRA</w:t>
        </w:r>
      </w:hyperlink>
    </w:p>
    <w:p w14:paraId="3D8C2BD5" w14:textId="77777777" w:rsidR="00B31652" w:rsidRPr="00FE4453" w:rsidRDefault="00912882" w:rsidP="000061B5">
      <w:pPr>
        <w:spacing w:line="360" w:lineRule="auto"/>
        <w:jc w:val="both"/>
      </w:pPr>
      <w:r w:rsidRPr="00FE4453">
        <w:t xml:space="preserve">La Convention européenne des droits de l’homme est le premier traité multilatéral conclu dans le cadre du Conseil de l’Europe dont elle pose les bases statutaires. </w:t>
      </w:r>
    </w:p>
    <w:p w14:paraId="724B626D" w14:textId="2C1D51BB" w:rsidR="004E7C17" w:rsidRPr="00FE4453" w:rsidRDefault="00912882" w:rsidP="000061B5">
      <w:pPr>
        <w:spacing w:line="360" w:lineRule="auto"/>
        <w:jc w:val="both"/>
      </w:pPr>
      <w:r w:rsidRPr="00FE4453">
        <w:t xml:space="preserve">La Cour européenne dans l’arrêt </w:t>
      </w:r>
      <w:proofErr w:type="spellStart"/>
      <w:r w:rsidRPr="00FE4453">
        <w:t>Loizidou</w:t>
      </w:r>
      <w:proofErr w:type="spellEnd"/>
      <w:r w:rsidRPr="00FE4453">
        <w:t xml:space="preserve"> c/ Turquie du 23 mars 1995 a</w:t>
      </w:r>
      <w:r w:rsidR="00452F9A" w:rsidRPr="00FE4453">
        <w:t xml:space="preserve"> qualifié</w:t>
      </w:r>
      <w:r w:rsidRPr="00FE4453">
        <w:t xml:space="preserve"> la convention européenne des droits de l’homme d’instrument constitutionnel de l’ordre public européen.</w:t>
      </w:r>
      <w:r w:rsidR="008446E8" w:rsidRPr="00FE4453">
        <w:t xml:space="preserve"> En se référant à l’ordre public européen, la cour pose le postulat de l’existence d’un ensemble de règles perçues comme fondamentales pour la société européenne et s’imposant à ses membres.</w:t>
      </w:r>
      <w:r w:rsidRPr="00FE4453">
        <w:t xml:space="preserve"> </w:t>
      </w:r>
      <w:r w:rsidR="008446E8" w:rsidRPr="00FE4453">
        <w:lastRenderedPageBreak/>
        <w:t>La ConvEDH</w:t>
      </w:r>
      <w:r w:rsidR="00452F9A" w:rsidRPr="00FE4453">
        <w:t xml:space="preserve"> constitue la pièce maîtresse du système européen de </w:t>
      </w:r>
      <w:r w:rsidR="008E249E" w:rsidRPr="00FE4453">
        <w:t xml:space="preserve">la </w:t>
      </w:r>
      <w:r w:rsidR="00452F9A" w:rsidRPr="00FE4453">
        <w:t>protection des droits de l’homme</w:t>
      </w:r>
      <w:r w:rsidR="008E249E" w:rsidRPr="00FE4453">
        <w:t xml:space="preserve"> en Europe</w:t>
      </w:r>
      <w:r w:rsidR="00452F9A" w:rsidRPr="00FE4453">
        <w:t xml:space="preserve">. </w:t>
      </w:r>
      <w:r w:rsidRPr="00FE4453">
        <w:t xml:space="preserve">C’est la raison pour laquelle nous nous contenterons d’étudier ce texte et ses </w:t>
      </w:r>
      <w:r w:rsidR="008E249E" w:rsidRPr="00FE4453">
        <w:t>protocoles</w:t>
      </w:r>
      <w:r w:rsidRPr="00FE4453">
        <w:t xml:space="preserve"> ainsi bien évidemment que la jurisprudence à laquelle sa mise en œuvre à donner lieu.</w:t>
      </w:r>
      <w:r w:rsidR="00781E31" w:rsidRPr="00FE4453">
        <w:t xml:space="preserve"> </w:t>
      </w:r>
    </w:p>
    <w:p w14:paraId="724B626F" w14:textId="4ECC650B" w:rsidR="00F30E2D" w:rsidRDefault="002B3EC6" w:rsidP="000061B5">
      <w:pPr>
        <w:spacing w:line="360" w:lineRule="auto"/>
        <w:ind w:firstLine="284"/>
        <w:jc w:val="both"/>
      </w:pPr>
      <w:r w:rsidRPr="00FE4453">
        <w:t>Il faut d’abord comprendre</w:t>
      </w:r>
      <w:r w:rsidR="00F30E2D" w:rsidRPr="00FE4453">
        <w:t xml:space="preserve"> l’économie ou la substance de la Convention européenne telle qu’elle résulte de l’adjonction des différents protocoles pour ensuite s’intéresser à sa spécificité normative, laquelle est un facteur essentiel de sa richesse et de son influence</w:t>
      </w:r>
      <w:r w:rsidR="00C22CC7" w:rsidRPr="00FE4453">
        <w:t xml:space="preserve"> spécifique</w:t>
      </w:r>
      <w:r w:rsidR="00F30E2D" w:rsidRPr="00FE4453">
        <w:t>.</w:t>
      </w:r>
    </w:p>
    <w:p w14:paraId="776C0771" w14:textId="77777777" w:rsidR="00EE56D8" w:rsidRDefault="00EE56D8" w:rsidP="000061B5">
      <w:pPr>
        <w:spacing w:line="360" w:lineRule="auto"/>
        <w:jc w:val="both"/>
        <w:rPr>
          <w:b/>
        </w:rPr>
      </w:pPr>
    </w:p>
    <w:p w14:paraId="724B6271" w14:textId="1359CF22" w:rsidR="00F30E2D" w:rsidRPr="00FE4453" w:rsidRDefault="00F30E2D" w:rsidP="000061B5">
      <w:pPr>
        <w:spacing w:line="360" w:lineRule="auto"/>
        <w:jc w:val="both"/>
        <w:rPr>
          <w:b/>
        </w:rPr>
      </w:pPr>
      <w:r w:rsidRPr="00FE4453">
        <w:rPr>
          <w:b/>
        </w:rPr>
        <w:t>Section 1 : L’économie de la Convention européenne des droits de l’homme</w:t>
      </w:r>
    </w:p>
    <w:p w14:paraId="724B6273" w14:textId="308FCE29" w:rsidR="00E17565" w:rsidRDefault="00E17565" w:rsidP="000061B5">
      <w:pPr>
        <w:spacing w:line="360" w:lineRule="auto"/>
        <w:ind w:firstLine="284"/>
        <w:jc w:val="both"/>
        <w:rPr>
          <w:bCs/>
        </w:rPr>
      </w:pPr>
      <w:r w:rsidRPr="00FE4453">
        <w:rPr>
          <w:bCs/>
        </w:rPr>
        <w:t xml:space="preserve">Ce qu’on appelle la convention européenne des droits de l’homme est en réalité composée d’un traité intitulé la Convention européenne de sauvegarde des droits de l’homme et de </w:t>
      </w:r>
      <w:r w:rsidR="00573F3C" w:rsidRPr="00FE4453">
        <w:rPr>
          <w:bCs/>
        </w:rPr>
        <w:t>sauvegarde</w:t>
      </w:r>
      <w:r w:rsidRPr="00FE4453">
        <w:rPr>
          <w:bCs/>
        </w:rPr>
        <w:t xml:space="preserve"> </w:t>
      </w:r>
      <w:r w:rsidR="00E12E1E" w:rsidRPr="00FE4453">
        <w:rPr>
          <w:bCs/>
        </w:rPr>
        <w:t>des libertés</w:t>
      </w:r>
      <w:r w:rsidRPr="00FE4453">
        <w:rPr>
          <w:bCs/>
        </w:rPr>
        <w:t xml:space="preserve"> fondamentales et des différents protocoles qui sont venus le compléter ou le modifier depuis 1950.</w:t>
      </w:r>
    </w:p>
    <w:p w14:paraId="3BD33472" w14:textId="77777777" w:rsidR="0053549A" w:rsidRPr="00FE4453" w:rsidRDefault="0053549A" w:rsidP="000061B5">
      <w:pPr>
        <w:spacing w:line="360" w:lineRule="auto"/>
        <w:ind w:firstLine="284"/>
        <w:jc w:val="both"/>
        <w:rPr>
          <w:bCs/>
        </w:rPr>
      </w:pPr>
    </w:p>
    <w:p w14:paraId="724B6274" w14:textId="77777777" w:rsidR="009F2D26" w:rsidRPr="00FE4453" w:rsidRDefault="009F2D26" w:rsidP="000061B5">
      <w:pPr>
        <w:spacing w:line="360" w:lineRule="auto"/>
        <w:ind w:firstLine="284"/>
        <w:jc w:val="both"/>
        <w:rPr>
          <w:b/>
        </w:rPr>
      </w:pPr>
      <w:r w:rsidRPr="00FE4453">
        <w:rPr>
          <w:b/>
        </w:rPr>
        <w:t>§1 : Le texte originaire</w:t>
      </w:r>
    </w:p>
    <w:p w14:paraId="724B6275" w14:textId="32D8D715" w:rsidR="00E17565" w:rsidRPr="00FE4453" w:rsidRDefault="00F30E2D" w:rsidP="000061B5">
      <w:pPr>
        <w:spacing w:line="360" w:lineRule="auto"/>
        <w:ind w:firstLine="284"/>
        <w:jc w:val="both"/>
      </w:pPr>
      <w:r w:rsidRPr="00FE4453">
        <w:t xml:space="preserve">La Convention européenne de sauvegarde des droits de l’homme et </w:t>
      </w:r>
      <w:r w:rsidR="00F252AD" w:rsidRPr="00FE4453">
        <w:t>de</w:t>
      </w:r>
      <w:r w:rsidR="00573F3C" w:rsidRPr="00FE4453">
        <w:t>s libertés</w:t>
      </w:r>
      <w:r w:rsidRPr="00FE4453">
        <w:t xml:space="preserve"> fondamentales </w:t>
      </w:r>
      <w:r w:rsidR="004D7701" w:rsidRPr="00FE4453">
        <w:t xml:space="preserve">– communément appelée convention européenne des droits de l’homme - </w:t>
      </w:r>
      <w:r w:rsidRPr="00FE4453">
        <w:t xml:space="preserve">a été signée à Rome le 4 novembre 1950 et est entrée en vigueur le 3 septembre 1953. </w:t>
      </w:r>
      <w:r w:rsidR="004D7701" w:rsidRPr="00FE4453">
        <w:t>I</w:t>
      </w:r>
      <w:r w:rsidRPr="00FE4453">
        <w:t>l faut signaler que la France n’a ratifié ce texte que le 3 mai 1974 soit treize ans plus tard.</w:t>
      </w:r>
    </w:p>
    <w:p w14:paraId="68F22A9E" w14:textId="12C4DE38" w:rsidR="006655FB" w:rsidRPr="00FE4453" w:rsidRDefault="00F96A55" w:rsidP="00FD7D78">
      <w:pPr>
        <w:spacing w:line="360" w:lineRule="auto"/>
        <w:ind w:firstLine="284"/>
        <w:jc w:val="both"/>
      </w:pPr>
      <w:r w:rsidRPr="00FE4453">
        <w:t xml:space="preserve">Le conseil de l’Europe </w:t>
      </w:r>
      <w:r w:rsidR="00E17565" w:rsidRPr="00FE4453">
        <w:t>est une organisation intergouvernementale regroupant aujourd’hui 4</w:t>
      </w:r>
      <w:r w:rsidR="0067081B" w:rsidRPr="00FE4453">
        <w:t>6</w:t>
      </w:r>
      <w:r w:rsidR="00E17565" w:rsidRPr="00FE4453">
        <w:t xml:space="preserve"> États membres</w:t>
      </w:r>
      <w:r w:rsidRPr="00FE4453">
        <w:t xml:space="preserve">, </w:t>
      </w:r>
      <w:r w:rsidR="00E17565" w:rsidRPr="00FE4453">
        <w:t>dont les 2</w:t>
      </w:r>
      <w:r w:rsidR="00FD7D78">
        <w:t>7</w:t>
      </w:r>
      <w:r w:rsidR="00E17565" w:rsidRPr="00FE4453">
        <w:t xml:space="preserve"> États membres de l’UE</w:t>
      </w:r>
      <w:r w:rsidRPr="00FE4453">
        <w:t>.</w:t>
      </w:r>
      <w:r w:rsidR="00B5643B" w:rsidRPr="00FE4453">
        <w:t xml:space="preserve"> </w:t>
      </w:r>
      <w:r w:rsidR="00E17565" w:rsidRPr="00FE4453">
        <w:t>Le Conseil de l’Europe est une organisation distincte de l’Union européenne.</w:t>
      </w:r>
    </w:p>
    <w:p w14:paraId="724B6277" w14:textId="77777777" w:rsidR="00E17565" w:rsidRPr="00FE4453" w:rsidRDefault="00E17565" w:rsidP="000061B5">
      <w:pPr>
        <w:spacing w:line="360" w:lineRule="auto"/>
        <w:ind w:firstLine="284"/>
        <w:jc w:val="both"/>
      </w:pPr>
      <w:r w:rsidRPr="00FE4453">
        <w:t>Il ne faut pas confondre le Conseil de l’Europe avec :</w:t>
      </w:r>
    </w:p>
    <w:p w14:paraId="724B6278" w14:textId="77777777" w:rsidR="00E17565" w:rsidRPr="00FE4453" w:rsidRDefault="00E17565" w:rsidP="000061B5">
      <w:pPr>
        <w:numPr>
          <w:ilvl w:val="0"/>
          <w:numId w:val="8"/>
        </w:numPr>
        <w:spacing w:line="360" w:lineRule="auto"/>
        <w:jc w:val="both"/>
      </w:pPr>
      <w:proofErr w:type="gramStart"/>
      <w:r w:rsidRPr="00FE4453">
        <w:t>le</w:t>
      </w:r>
      <w:proofErr w:type="gramEnd"/>
      <w:r w:rsidRPr="00FE4453">
        <w:t xml:space="preserve"> Conseil européen, qui lui est une institution de l’UE, réunissant les chefs d’État et de gouvernement des États membres ;</w:t>
      </w:r>
    </w:p>
    <w:p w14:paraId="724B6279" w14:textId="17E4BF15" w:rsidR="00E17565" w:rsidRDefault="00E17565" w:rsidP="000061B5">
      <w:pPr>
        <w:numPr>
          <w:ilvl w:val="0"/>
          <w:numId w:val="8"/>
        </w:numPr>
        <w:spacing w:line="360" w:lineRule="auto"/>
        <w:jc w:val="both"/>
      </w:pPr>
      <w:proofErr w:type="gramStart"/>
      <w:r w:rsidRPr="00FE4453">
        <w:t>le</w:t>
      </w:r>
      <w:proofErr w:type="gramEnd"/>
      <w:r w:rsidRPr="00FE4453">
        <w:t xml:space="preserve"> </w:t>
      </w:r>
      <w:r w:rsidR="00F60CF3" w:rsidRPr="00FE4453">
        <w:t xml:space="preserve">Conseil de l’Union européenne ou Conseil des ministres </w:t>
      </w:r>
      <w:r w:rsidRPr="00FE4453">
        <w:t>également institution de l’UE, rassemblant les ministres des gouvernements des États membres, également appelé.</w:t>
      </w:r>
    </w:p>
    <w:p w14:paraId="3D834758" w14:textId="258DC324" w:rsidR="00FD7D78" w:rsidRDefault="00FD7D78">
      <w:r>
        <w:br w:type="page"/>
      </w:r>
    </w:p>
    <w:p w14:paraId="06C2D316" w14:textId="73C5D813" w:rsidR="008C4675" w:rsidRPr="00FE4453" w:rsidRDefault="008C4675" w:rsidP="000061B5">
      <w:pPr>
        <w:spacing w:line="360" w:lineRule="auto"/>
        <w:jc w:val="both"/>
        <w:rPr>
          <w:b/>
          <w:bCs/>
        </w:rPr>
      </w:pPr>
      <w:r w:rsidRPr="00FE4453">
        <w:rPr>
          <w:b/>
          <w:bCs/>
        </w:rPr>
        <w:lastRenderedPageBreak/>
        <w:t>Les Etats parties</w:t>
      </w:r>
    </w:p>
    <w:p w14:paraId="6207427E" w14:textId="52986ED5" w:rsidR="008C4675" w:rsidRDefault="008C4675" w:rsidP="000061B5">
      <w:pPr>
        <w:pStyle w:val="Retraitcorpsdetexte2"/>
        <w:jc w:val="both"/>
        <w:rPr>
          <w:szCs w:val="24"/>
        </w:rPr>
      </w:pPr>
      <w:r w:rsidRPr="00FE4453">
        <w:rPr>
          <w:szCs w:val="24"/>
        </w:rPr>
        <w:t>Le Conseil de l’Europe regroupe 46 Etats depuis l’exclusion de la Russi</w:t>
      </w:r>
      <w:r w:rsidR="00716391">
        <w:rPr>
          <w:szCs w:val="24"/>
        </w:rPr>
        <w:t>e</w:t>
      </w:r>
      <w:r w:rsidRPr="00FE4453">
        <w:rPr>
          <w:szCs w:val="24"/>
        </w:rPr>
        <w:t xml:space="preserve">. </w:t>
      </w:r>
    </w:p>
    <w:p w14:paraId="3CE0D13F" w14:textId="77777777" w:rsidR="0083571A" w:rsidRDefault="0083571A" w:rsidP="000061B5">
      <w:pPr>
        <w:pStyle w:val="Retraitcorpsdetexte2"/>
        <w:jc w:val="both"/>
        <w:rPr>
          <w:szCs w:val="24"/>
        </w:rPr>
      </w:pPr>
    </w:p>
    <w:p w14:paraId="4B8ED947" w14:textId="0778A892" w:rsidR="008C4675" w:rsidRPr="00FE4453" w:rsidRDefault="008C4675" w:rsidP="000061B5">
      <w:pPr>
        <w:pStyle w:val="Retraitcorpsdetexte2"/>
        <w:numPr>
          <w:ilvl w:val="0"/>
          <w:numId w:val="18"/>
        </w:numPr>
        <w:pBdr>
          <w:top w:val="single" w:sz="4" w:space="1" w:color="auto"/>
          <w:left w:val="single" w:sz="4" w:space="4" w:color="auto"/>
          <w:bottom w:val="single" w:sz="4" w:space="1" w:color="auto"/>
          <w:right w:val="single" w:sz="4" w:space="4" w:color="auto"/>
        </w:pBdr>
        <w:jc w:val="both"/>
        <w:rPr>
          <w:szCs w:val="24"/>
        </w:rPr>
      </w:pPr>
      <w:r w:rsidRPr="00FE4453">
        <w:rPr>
          <w:szCs w:val="24"/>
        </w:rPr>
        <w:t xml:space="preserve">Le 25 février, à la suite d’un échange de vues avec l’Assemblée parlementaire, le Comité des </w:t>
      </w:r>
      <w:r w:rsidR="00A05BAD">
        <w:rPr>
          <w:szCs w:val="24"/>
        </w:rPr>
        <w:t>m</w:t>
      </w:r>
      <w:r w:rsidRPr="00FE4453">
        <w:rPr>
          <w:szCs w:val="24"/>
        </w:rPr>
        <w:t>inistres </w:t>
      </w:r>
      <w:hyperlink r:id="rId9" w:history="1">
        <w:r w:rsidRPr="00FE4453">
          <w:rPr>
            <w:rStyle w:val="Lienhypertexte"/>
            <w:color w:val="auto"/>
            <w:szCs w:val="24"/>
          </w:rPr>
          <w:t>a décidé</w:t>
        </w:r>
      </w:hyperlink>
      <w:r w:rsidRPr="00FE4453">
        <w:rPr>
          <w:szCs w:val="24"/>
        </w:rPr>
        <w:t> d’engager la procédure prévue à l’Article 8 du Statut et est convenu de suspendre la Fédération de Russie de ses droits de représentation au sein du Conseil de l'Europe, conformément à sa </w:t>
      </w:r>
      <w:hyperlink r:id="rId10" w:history="1">
        <w:r w:rsidRPr="00FE4453">
          <w:rPr>
            <w:rStyle w:val="Lienhypertexte"/>
            <w:color w:val="auto"/>
            <w:szCs w:val="24"/>
          </w:rPr>
          <w:t>Résolution</w:t>
        </w:r>
      </w:hyperlink>
      <w:r w:rsidRPr="00FE4453">
        <w:rPr>
          <w:szCs w:val="24"/>
        </w:rPr>
        <w:t xml:space="preserve"> pertinente sur les conséquences juridiques et financières de la suspension. </w:t>
      </w:r>
    </w:p>
    <w:p w14:paraId="42325C26" w14:textId="6554C421" w:rsidR="008C4675" w:rsidRPr="00FE4453" w:rsidRDefault="008C4675" w:rsidP="000061B5">
      <w:pPr>
        <w:pStyle w:val="Retraitcorpsdetexte2"/>
        <w:numPr>
          <w:ilvl w:val="0"/>
          <w:numId w:val="18"/>
        </w:numPr>
        <w:pBdr>
          <w:top w:val="single" w:sz="4" w:space="1" w:color="auto"/>
          <w:left w:val="single" w:sz="4" w:space="4" w:color="auto"/>
          <w:bottom w:val="single" w:sz="4" w:space="1" w:color="auto"/>
          <w:right w:val="single" w:sz="4" w:space="4" w:color="auto"/>
        </w:pBdr>
        <w:jc w:val="both"/>
        <w:rPr>
          <w:szCs w:val="24"/>
        </w:rPr>
      </w:pPr>
      <w:r w:rsidRPr="00FE4453">
        <w:rPr>
          <w:szCs w:val="24"/>
        </w:rPr>
        <w:t xml:space="preserve">Le 10 mars, le Comité des </w:t>
      </w:r>
      <w:r w:rsidR="00A05BAD">
        <w:rPr>
          <w:szCs w:val="24"/>
        </w:rPr>
        <w:t>m</w:t>
      </w:r>
      <w:r w:rsidRPr="00FE4453">
        <w:rPr>
          <w:szCs w:val="24"/>
        </w:rPr>
        <w:t>inistres </w:t>
      </w:r>
      <w:hyperlink r:id="rId11" w:history="1">
        <w:r w:rsidRPr="00FE4453">
          <w:rPr>
            <w:rStyle w:val="Lienhypertexte"/>
            <w:color w:val="auto"/>
            <w:szCs w:val="24"/>
          </w:rPr>
          <w:t>a décidé</w:t>
        </w:r>
      </w:hyperlink>
      <w:r w:rsidRPr="00FE4453">
        <w:rPr>
          <w:szCs w:val="24"/>
        </w:rPr>
        <w:t> de consulter l’Assemblée parlementaire sur une potentielle future utilisation de l’Article 8 du Statut.</w:t>
      </w:r>
    </w:p>
    <w:p w14:paraId="2105F21A" w14:textId="77777777" w:rsidR="008C4675" w:rsidRPr="00FE4453" w:rsidRDefault="008C4675" w:rsidP="000061B5">
      <w:pPr>
        <w:pStyle w:val="Retraitcorpsdetexte2"/>
        <w:numPr>
          <w:ilvl w:val="0"/>
          <w:numId w:val="18"/>
        </w:numPr>
        <w:pBdr>
          <w:top w:val="single" w:sz="4" w:space="1" w:color="auto"/>
          <w:left w:val="single" w:sz="4" w:space="4" w:color="auto"/>
          <w:bottom w:val="single" w:sz="4" w:space="1" w:color="auto"/>
          <w:right w:val="single" w:sz="4" w:space="4" w:color="auto"/>
        </w:pBdr>
        <w:jc w:val="both"/>
        <w:rPr>
          <w:szCs w:val="24"/>
        </w:rPr>
      </w:pPr>
      <w:r w:rsidRPr="00FE4453">
        <w:rPr>
          <w:szCs w:val="24"/>
        </w:rPr>
        <w:t xml:space="preserve"> Le 15 mars, l’Assemblée parlementaire a adopté à l’unanimité un </w:t>
      </w:r>
      <w:hyperlink r:id="rId12" w:history="1">
        <w:r w:rsidRPr="00FE4453">
          <w:rPr>
            <w:rStyle w:val="Lienhypertexte"/>
            <w:color w:val="auto"/>
            <w:szCs w:val="24"/>
          </w:rPr>
          <w:t>Avis</w:t>
        </w:r>
      </w:hyperlink>
      <w:r w:rsidRPr="00FE4453">
        <w:rPr>
          <w:szCs w:val="24"/>
        </w:rPr>
        <w:t> qui considère que la Fédération de Russie ne peut plus être membre de l’Organisation.</w:t>
      </w:r>
    </w:p>
    <w:p w14:paraId="7C25902E" w14:textId="77777777" w:rsidR="008C4675" w:rsidRPr="00FE4453" w:rsidRDefault="008C4675" w:rsidP="000061B5">
      <w:pPr>
        <w:pStyle w:val="Retraitcorpsdetexte2"/>
        <w:numPr>
          <w:ilvl w:val="0"/>
          <w:numId w:val="18"/>
        </w:numPr>
        <w:pBdr>
          <w:top w:val="single" w:sz="4" w:space="1" w:color="auto"/>
          <w:left w:val="single" w:sz="4" w:space="4" w:color="auto"/>
          <w:bottom w:val="single" w:sz="4" w:space="1" w:color="auto"/>
          <w:right w:val="single" w:sz="4" w:space="4" w:color="auto"/>
        </w:pBdr>
        <w:jc w:val="both"/>
        <w:rPr>
          <w:szCs w:val="24"/>
        </w:rPr>
      </w:pPr>
      <w:r w:rsidRPr="00FE4453">
        <w:rPr>
          <w:szCs w:val="24"/>
        </w:rPr>
        <w:t>Le 15 mars, le Gouvernement de la Fédération de Russie a informé la Secrétaire Générale de son retrait du Conseil de l’Europe conformément au </w:t>
      </w:r>
      <w:hyperlink r:id="rId13" w:history="1">
        <w:r w:rsidRPr="00FE4453">
          <w:rPr>
            <w:rStyle w:val="Lienhypertexte"/>
            <w:color w:val="auto"/>
            <w:szCs w:val="24"/>
          </w:rPr>
          <w:t>Statut</w:t>
        </w:r>
      </w:hyperlink>
      <w:r w:rsidRPr="00FE4453">
        <w:rPr>
          <w:szCs w:val="24"/>
        </w:rPr>
        <w:t> du Conseil de l’Europe et de son intention de dénoncer la Convention européenne des droits de l’homme.</w:t>
      </w:r>
    </w:p>
    <w:p w14:paraId="48193284" w14:textId="21E95BEC" w:rsidR="008C4675" w:rsidRPr="00FE4453" w:rsidRDefault="008C4675" w:rsidP="000061B5">
      <w:pPr>
        <w:pStyle w:val="Retraitcorpsdetexte2"/>
        <w:numPr>
          <w:ilvl w:val="0"/>
          <w:numId w:val="18"/>
        </w:numPr>
        <w:pBdr>
          <w:top w:val="single" w:sz="4" w:space="1" w:color="auto"/>
          <w:left w:val="single" w:sz="4" w:space="4" w:color="auto"/>
          <w:bottom w:val="single" w:sz="4" w:space="1" w:color="auto"/>
          <w:right w:val="single" w:sz="4" w:space="4" w:color="auto"/>
        </w:pBdr>
        <w:jc w:val="both"/>
        <w:rPr>
          <w:szCs w:val="24"/>
        </w:rPr>
      </w:pPr>
      <w:r w:rsidRPr="00FE4453">
        <w:rPr>
          <w:szCs w:val="24"/>
        </w:rPr>
        <w:t xml:space="preserve">Le 16 mars 2022, le Comité des </w:t>
      </w:r>
      <w:r w:rsidR="00A05BAD">
        <w:rPr>
          <w:szCs w:val="24"/>
        </w:rPr>
        <w:t>m</w:t>
      </w:r>
      <w:r w:rsidRPr="00FE4453">
        <w:rPr>
          <w:szCs w:val="24"/>
        </w:rPr>
        <w:t>inistres a adopté une </w:t>
      </w:r>
      <w:hyperlink r:id="rId14" w:history="1">
        <w:r w:rsidRPr="00FE4453">
          <w:rPr>
            <w:rStyle w:val="Lienhypertexte"/>
            <w:color w:val="auto"/>
            <w:szCs w:val="24"/>
          </w:rPr>
          <w:t>décision</w:t>
        </w:r>
      </w:hyperlink>
      <w:r w:rsidRPr="00FE4453">
        <w:rPr>
          <w:szCs w:val="24"/>
        </w:rPr>
        <w:t xml:space="preserve"> par laquelle la Fédération de Russie a cessé d'être membre du Conseil de l'Europe, cela après 26 ans d'adhésion. Cette décision a été prise conformément à la procédure engagée et prévue par l’article 8 du Statut du Conseil de l'Europe. En conséquence, la Fédération de Russie ne participera plus aux travaux du CCPE ni à aucun de ses organes subordonnés et groupes de travail. Le 17 mars 2022, le Comité des </w:t>
      </w:r>
      <w:r w:rsidR="00A05BAD">
        <w:rPr>
          <w:szCs w:val="24"/>
        </w:rPr>
        <w:t>m</w:t>
      </w:r>
      <w:r w:rsidRPr="00FE4453">
        <w:rPr>
          <w:szCs w:val="24"/>
        </w:rPr>
        <w:t>inistres a également décidé de suspendre toutes les relations avec le Bélarus ainsi que ses droits à participer à toutes les réunions et activités de l'Organisation.</w:t>
      </w:r>
    </w:p>
    <w:p w14:paraId="09B3CAE6" w14:textId="70AB6D69" w:rsidR="008C4675" w:rsidRPr="00FE4453" w:rsidRDefault="008C4675" w:rsidP="000061B5">
      <w:pPr>
        <w:pStyle w:val="Retraitcorpsdetexte2"/>
        <w:numPr>
          <w:ilvl w:val="0"/>
          <w:numId w:val="18"/>
        </w:numPr>
        <w:pBdr>
          <w:top w:val="single" w:sz="4" w:space="1" w:color="auto"/>
          <w:left w:val="single" w:sz="4" w:space="4" w:color="auto"/>
          <w:bottom w:val="single" w:sz="4" w:space="1" w:color="auto"/>
          <w:right w:val="single" w:sz="4" w:space="4" w:color="auto"/>
        </w:pBdr>
        <w:jc w:val="both"/>
        <w:rPr>
          <w:szCs w:val="24"/>
        </w:rPr>
      </w:pPr>
      <w:r w:rsidRPr="00FE4453">
        <w:rPr>
          <w:szCs w:val="24"/>
        </w:rPr>
        <w:t xml:space="preserve">Le 16 mars, le Comité des </w:t>
      </w:r>
      <w:r w:rsidR="00A05BAD">
        <w:rPr>
          <w:szCs w:val="24"/>
        </w:rPr>
        <w:t>m</w:t>
      </w:r>
      <w:r w:rsidRPr="00FE4453">
        <w:rPr>
          <w:szCs w:val="24"/>
        </w:rPr>
        <w:t>inistres a adopté la Résolution </w:t>
      </w:r>
      <w:hyperlink r:id="rId15" w:history="1">
        <w:r w:rsidRPr="00FE4453">
          <w:rPr>
            <w:rStyle w:val="Lienhypertexte"/>
            <w:color w:val="auto"/>
            <w:szCs w:val="24"/>
          </w:rPr>
          <w:t>CM/</w:t>
        </w:r>
        <w:proofErr w:type="spellStart"/>
        <w:proofErr w:type="gramStart"/>
        <w:r w:rsidRPr="00FE4453">
          <w:rPr>
            <w:rStyle w:val="Lienhypertexte"/>
            <w:color w:val="auto"/>
            <w:szCs w:val="24"/>
          </w:rPr>
          <w:t>Res</w:t>
        </w:r>
        <w:proofErr w:type="spellEnd"/>
        <w:r w:rsidRPr="00FE4453">
          <w:rPr>
            <w:rStyle w:val="Lienhypertexte"/>
            <w:color w:val="auto"/>
            <w:szCs w:val="24"/>
          </w:rPr>
          <w:t>(</w:t>
        </w:r>
        <w:proofErr w:type="gramEnd"/>
        <w:r w:rsidRPr="00FE4453">
          <w:rPr>
            <w:rStyle w:val="Lienhypertexte"/>
            <w:color w:val="auto"/>
            <w:szCs w:val="24"/>
          </w:rPr>
          <w:t>2022)2</w:t>
        </w:r>
      </w:hyperlink>
      <w:r w:rsidRPr="00FE4453">
        <w:rPr>
          <w:szCs w:val="24"/>
        </w:rPr>
        <w:t> sur la cessation de la qualité de membre de la Fédération de Russie du Conseil de l'Europe. La Russie a rejoint le Conseil de l'Europe le 28 février 1996.</w:t>
      </w:r>
    </w:p>
    <w:p w14:paraId="517B7DF8" w14:textId="0D371A8A" w:rsidR="008C4675" w:rsidRPr="00FE4453" w:rsidRDefault="008C4675" w:rsidP="000061B5">
      <w:pPr>
        <w:pStyle w:val="Retraitcorpsdetexte2"/>
        <w:numPr>
          <w:ilvl w:val="0"/>
          <w:numId w:val="18"/>
        </w:numPr>
        <w:pBdr>
          <w:top w:val="single" w:sz="4" w:space="1" w:color="auto"/>
          <w:left w:val="single" w:sz="4" w:space="4" w:color="auto"/>
          <w:bottom w:val="single" w:sz="4" w:space="1" w:color="auto"/>
          <w:right w:val="single" w:sz="4" w:space="4" w:color="auto"/>
        </w:pBdr>
        <w:jc w:val="both"/>
        <w:rPr>
          <w:szCs w:val="24"/>
        </w:rPr>
      </w:pPr>
      <w:r w:rsidRPr="00FE4453">
        <w:rPr>
          <w:szCs w:val="24"/>
        </w:rPr>
        <w:t xml:space="preserve">Le 17 mars, le Comité des </w:t>
      </w:r>
      <w:r w:rsidR="00A05BAD">
        <w:rPr>
          <w:szCs w:val="24"/>
        </w:rPr>
        <w:t>m</w:t>
      </w:r>
      <w:r w:rsidRPr="00FE4453">
        <w:rPr>
          <w:szCs w:val="24"/>
        </w:rPr>
        <w:t>inistres a décidé de suspendre toutes les relations avec le Bélarus en raison de sa participation active à l'agression de la Fédération de Russie contre l'Ukraine (voir </w:t>
      </w:r>
      <w:hyperlink r:id="rId16" w:history="1">
        <w:r w:rsidRPr="00FE4453">
          <w:rPr>
            <w:rStyle w:val="Lienhypertexte"/>
            <w:color w:val="auto"/>
            <w:szCs w:val="24"/>
          </w:rPr>
          <w:t>CM/Del/</w:t>
        </w:r>
        <w:proofErr w:type="spellStart"/>
        <w:proofErr w:type="gramStart"/>
        <w:r w:rsidRPr="00FE4453">
          <w:rPr>
            <w:rStyle w:val="Lienhypertexte"/>
            <w:color w:val="auto"/>
            <w:szCs w:val="24"/>
          </w:rPr>
          <w:t>Dec</w:t>
        </w:r>
        <w:proofErr w:type="spellEnd"/>
        <w:r w:rsidRPr="00FE4453">
          <w:rPr>
            <w:rStyle w:val="Lienhypertexte"/>
            <w:color w:val="auto"/>
            <w:szCs w:val="24"/>
          </w:rPr>
          <w:t>(</w:t>
        </w:r>
        <w:proofErr w:type="gramEnd"/>
        <w:r w:rsidRPr="00FE4453">
          <w:rPr>
            <w:rStyle w:val="Lienhypertexte"/>
            <w:color w:val="auto"/>
            <w:szCs w:val="24"/>
          </w:rPr>
          <w:t>2022)1429/2.5)</w:t>
        </w:r>
      </w:hyperlink>
      <w:r w:rsidRPr="00FE4453">
        <w:rPr>
          <w:szCs w:val="24"/>
        </w:rPr>
        <w:t>.</w:t>
      </w:r>
    </w:p>
    <w:p w14:paraId="099C7794" w14:textId="17C83EFF" w:rsidR="008C4675" w:rsidRDefault="008C4675" w:rsidP="000061B5">
      <w:pPr>
        <w:pStyle w:val="Retraitcorpsdetexte2"/>
        <w:pBdr>
          <w:between w:val="single" w:sz="4" w:space="1" w:color="auto"/>
        </w:pBdr>
        <w:jc w:val="both"/>
        <w:rPr>
          <w:szCs w:val="24"/>
        </w:rPr>
      </w:pPr>
    </w:p>
    <w:p w14:paraId="51A0BF4E" w14:textId="6A9184B4" w:rsidR="0083571A" w:rsidRPr="00FE4453" w:rsidRDefault="0083571A" w:rsidP="0083571A">
      <w:pPr>
        <w:pStyle w:val="Retraitcorpsdetexte2"/>
        <w:jc w:val="both"/>
        <w:rPr>
          <w:szCs w:val="24"/>
        </w:rPr>
      </w:pPr>
      <w:bookmarkStart w:id="0" w:name="_Hlk207622855"/>
      <w:r w:rsidRPr="0083571A">
        <w:rPr>
          <w:szCs w:val="24"/>
          <w:highlight w:val="yellow"/>
        </w:rPr>
        <w:t xml:space="preserve">Quels sont les </w:t>
      </w:r>
      <w:proofErr w:type="gramStart"/>
      <w:r w:rsidRPr="0083571A">
        <w:rPr>
          <w:szCs w:val="24"/>
          <w:highlight w:val="yellow"/>
        </w:rPr>
        <w:t xml:space="preserve">Etats </w:t>
      </w:r>
      <w:r w:rsidR="00A05BAD">
        <w:rPr>
          <w:szCs w:val="24"/>
          <w:highlight w:val="yellow"/>
        </w:rPr>
        <w:t xml:space="preserve"> membres</w:t>
      </w:r>
      <w:proofErr w:type="gramEnd"/>
      <w:r w:rsidR="00A05BAD">
        <w:rPr>
          <w:szCs w:val="24"/>
          <w:highlight w:val="yellow"/>
        </w:rPr>
        <w:t xml:space="preserve"> du Conseil de l’Europe</w:t>
      </w:r>
      <w:r w:rsidR="00562C76">
        <w:rPr>
          <w:szCs w:val="24"/>
          <w:highlight w:val="yellow"/>
        </w:rPr>
        <w:t xml:space="preserve"> </w:t>
      </w:r>
      <w:r w:rsidR="00A05BAD">
        <w:rPr>
          <w:szCs w:val="24"/>
          <w:highlight w:val="yellow"/>
        </w:rPr>
        <w:t xml:space="preserve">qui ne font pas partie de l’Union européenne </w:t>
      </w:r>
      <w:r w:rsidRPr="0083571A">
        <w:rPr>
          <w:szCs w:val="24"/>
          <w:highlight w:val="yellow"/>
        </w:rPr>
        <w:t> ?</w:t>
      </w:r>
    </w:p>
    <w:bookmarkEnd w:id="0"/>
    <w:p w14:paraId="78257FB2" w14:textId="1ED8060E" w:rsidR="0083571A" w:rsidRDefault="0083571A" w:rsidP="000061B5">
      <w:pPr>
        <w:pStyle w:val="Retraitcorpsdetexte2"/>
        <w:pBdr>
          <w:between w:val="single" w:sz="4" w:space="1" w:color="auto"/>
        </w:pBdr>
        <w:jc w:val="both"/>
        <w:rPr>
          <w:szCs w:val="24"/>
        </w:rPr>
      </w:pPr>
    </w:p>
    <w:p w14:paraId="606CFE15" w14:textId="77777777" w:rsidR="0083571A" w:rsidRPr="00FE4453" w:rsidRDefault="0083571A" w:rsidP="000061B5">
      <w:pPr>
        <w:pStyle w:val="Retraitcorpsdetexte2"/>
        <w:pBdr>
          <w:between w:val="single" w:sz="4" w:space="1" w:color="auto"/>
        </w:pBdr>
        <w:jc w:val="both"/>
        <w:rPr>
          <w:szCs w:val="24"/>
        </w:rPr>
      </w:pPr>
    </w:p>
    <w:p w14:paraId="0CA79110" w14:textId="77777777" w:rsidR="008C4675" w:rsidRPr="00F1304E" w:rsidRDefault="008C4675" w:rsidP="000061B5">
      <w:pPr>
        <w:pStyle w:val="Retraitcorpsdetexte2"/>
        <w:jc w:val="both"/>
        <w:rPr>
          <w:b/>
          <w:bCs/>
          <w:szCs w:val="24"/>
        </w:rPr>
      </w:pPr>
      <w:r w:rsidRPr="00F1304E">
        <w:rPr>
          <w:b/>
          <w:bCs/>
          <w:szCs w:val="24"/>
        </w:rPr>
        <w:t>Les Etats observateurs</w:t>
      </w:r>
    </w:p>
    <w:p w14:paraId="1374DD5F" w14:textId="77777777" w:rsidR="008C4675" w:rsidRPr="00FE4453" w:rsidRDefault="008C4675" w:rsidP="000061B5">
      <w:pPr>
        <w:pStyle w:val="Retraitcorpsdetexte2"/>
        <w:jc w:val="both"/>
        <w:rPr>
          <w:szCs w:val="24"/>
        </w:rPr>
      </w:pPr>
      <w:r w:rsidRPr="00FE4453">
        <w:rPr>
          <w:szCs w:val="24"/>
        </w:rPr>
        <w:t>Outre ses 46 Etats membres, le Conseil de l'Europe noue des liens avec de nombreux Etats non-membres, y compris les cinq pays jouissant du statut d'observateur auprès de l'Organisation : le Saint-Siège (1970), les États-Unis d'Amérique, le Canada, le Japon (1996) et le Mexique (1999).</w:t>
      </w:r>
    </w:p>
    <w:p w14:paraId="055D2EBA" w14:textId="77777777" w:rsidR="008C4675" w:rsidRPr="00FE4453" w:rsidRDefault="008C4675" w:rsidP="000061B5">
      <w:pPr>
        <w:pStyle w:val="Retraitcorpsdetexte2"/>
        <w:jc w:val="both"/>
        <w:rPr>
          <w:szCs w:val="24"/>
        </w:rPr>
      </w:pPr>
      <w:r w:rsidRPr="00FE4453">
        <w:rPr>
          <w:szCs w:val="24"/>
        </w:rPr>
        <w:t>Les relations que le Conseil de l'Europe noue avec les Etats non-membres de tous les continents lui permettent d'élargir son champ d'action et d'avoir un rayonnement mondial. Plus de 45 Etats non membres sont parties à des traités du Conseil de l'Europe ou bien sont associés à titre de membre, d'observateur ou de participant, aux travaux des accords partiels comme la Commission de Venise ou encore le Centre Nord-Sud. Les instruments juridiques du Conseil de l'Europe sont élaborés de plus en plus fréquemment avec la participation d'Etats non-membres intéressés.</w:t>
      </w:r>
    </w:p>
    <w:p w14:paraId="62D6454C" w14:textId="77777777" w:rsidR="008C4675" w:rsidRPr="00FE4453" w:rsidRDefault="008C4675" w:rsidP="000061B5">
      <w:pPr>
        <w:pStyle w:val="Retraitcorpsdetexte2"/>
        <w:jc w:val="both"/>
        <w:rPr>
          <w:szCs w:val="24"/>
        </w:rPr>
      </w:pPr>
    </w:p>
    <w:p w14:paraId="512D697F" w14:textId="77777777" w:rsidR="008C4675" w:rsidRPr="00FE4453" w:rsidRDefault="008C4675" w:rsidP="000061B5">
      <w:pPr>
        <w:pStyle w:val="Retraitcorpsdetexte2"/>
        <w:pBdr>
          <w:top w:val="single" w:sz="4" w:space="1" w:color="auto"/>
          <w:left w:val="single" w:sz="4" w:space="4" w:color="auto"/>
          <w:bottom w:val="single" w:sz="4" w:space="1" w:color="auto"/>
          <w:right w:val="single" w:sz="4" w:space="4" w:color="auto"/>
        </w:pBdr>
        <w:jc w:val="both"/>
        <w:rPr>
          <w:b/>
          <w:bCs/>
          <w:szCs w:val="24"/>
        </w:rPr>
      </w:pPr>
      <w:r w:rsidRPr="00FE4453">
        <w:rPr>
          <w:b/>
          <w:bCs/>
          <w:szCs w:val="24"/>
        </w:rPr>
        <w:t>Le statut d'observateur auprès du Conseil de l'Europe</w:t>
      </w:r>
    </w:p>
    <w:p w14:paraId="563514C3" w14:textId="77777777" w:rsidR="008C4675" w:rsidRPr="00FE4453" w:rsidRDefault="008C4675" w:rsidP="000061B5">
      <w:pPr>
        <w:pStyle w:val="Retraitcorpsdetexte2"/>
        <w:pBdr>
          <w:top w:val="single" w:sz="4" w:space="1" w:color="auto"/>
          <w:left w:val="single" w:sz="4" w:space="4" w:color="auto"/>
          <w:bottom w:val="single" w:sz="4" w:space="1" w:color="auto"/>
          <w:right w:val="single" w:sz="4" w:space="4" w:color="auto"/>
        </w:pBdr>
        <w:jc w:val="both"/>
        <w:rPr>
          <w:szCs w:val="24"/>
        </w:rPr>
      </w:pPr>
      <w:r w:rsidRPr="00FE4453">
        <w:rPr>
          <w:szCs w:val="24"/>
        </w:rPr>
        <w:t xml:space="preserve">Les États non européens peuvent avoir la possibilité de coopérer avec le Conseil de l'Europe, d'accepter les principes de la démocratie, la prééminence du droit et les droits de l'homme et des libertés fondamentales et d'envoyer des observateurs aux comités d'experts et aux conférences de ministres spécialisés. </w:t>
      </w:r>
    </w:p>
    <w:p w14:paraId="4D6A5EB2" w14:textId="77777777" w:rsidR="008C4675" w:rsidRPr="00FE4453" w:rsidRDefault="008C4675" w:rsidP="000061B5">
      <w:pPr>
        <w:pStyle w:val="Retraitcorpsdetexte2"/>
        <w:pBdr>
          <w:top w:val="single" w:sz="4" w:space="1" w:color="auto"/>
          <w:left w:val="single" w:sz="4" w:space="4" w:color="auto"/>
          <w:bottom w:val="single" w:sz="4" w:space="1" w:color="auto"/>
          <w:right w:val="single" w:sz="4" w:space="4" w:color="auto"/>
        </w:pBdr>
        <w:jc w:val="both"/>
        <w:rPr>
          <w:szCs w:val="24"/>
        </w:rPr>
      </w:pPr>
      <w:r w:rsidRPr="00FE4453">
        <w:rPr>
          <w:szCs w:val="24"/>
        </w:rPr>
        <w:t>Cinq pays jouissent particulièrement du statut d'observateur auprès de l'Organisation : le Saint-Siège (1970), les États-Unis d'Amérique, le Canada, le Japon (1996) et le Mexique (1999).</w:t>
      </w:r>
    </w:p>
    <w:p w14:paraId="04BFB50D" w14:textId="4B618B6F" w:rsidR="008C4675" w:rsidRPr="00FE4453" w:rsidRDefault="008C4675" w:rsidP="000061B5">
      <w:pPr>
        <w:pStyle w:val="Retraitcorpsdetexte2"/>
        <w:pBdr>
          <w:top w:val="single" w:sz="4" w:space="1" w:color="auto"/>
          <w:left w:val="single" w:sz="4" w:space="4" w:color="auto"/>
          <w:bottom w:val="single" w:sz="4" w:space="1" w:color="auto"/>
          <w:right w:val="single" w:sz="4" w:space="4" w:color="auto"/>
        </w:pBdr>
        <w:jc w:val="both"/>
        <w:rPr>
          <w:szCs w:val="24"/>
        </w:rPr>
      </w:pPr>
      <w:r w:rsidRPr="00FE4453">
        <w:rPr>
          <w:szCs w:val="24"/>
        </w:rPr>
        <w:t xml:space="preserve">Depuis septembre 2006, les Etats observateurs ont également la faculté d'envoyer un représentant pour observer les réunions régulières des Délégués des </w:t>
      </w:r>
      <w:r w:rsidR="00A05BAD">
        <w:rPr>
          <w:szCs w:val="24"/>
        </w:rPr>
        <w:t>m</w:t>
      </w:r>
      <w:r w:rsidRPr="00FE4453">
        <w:rPr>
          <w:szCs w:val="24"/>
        </w:rPr>
        <w:t xml:space="preserve">inistres. Ils peuvent nommer un observateur permanent auprès du Conseil de l'Europe. Le statut d'observateur est régi par la Résolution statutaire (93) 26, adoptée par le Comité des </w:t>
      </w:r>
      <w:r w:rsidR="00A05BAD">
        <w:rPr>
          <w:szCs w:val="24"/>
        </w:rPr>
        <w:t>m</w:t>
      </w:r>
      <w:r w:rsidRPr="00FE4453">
        <w:rPr>
          <w:szCs w:val="24"/>
        </w:rPr>
        <w:t>inistres du Conseil de l'Europe, le 14 mai 1993.</w:t>
      </w:r>
    </w:p>
    <w:p w14:paraId="499153CB" w14:textId="77777777" w:rsidR="008C4675" w:rsidRPr="00FE4453" w:rsidRDefault="008C4675" w:rsidP="000061B5">
      <w:pPr>
        <w:pStyle w:val="Retraitcorpsdetexte2"/>
        <w:jc w:val="both"/>
        <w:rPr>
          <w:szCs w:val="24"/>
        </w:rPr>
      </w:pPr>
    </w:p>
    <w:p w14:paraId="5E57370D" w14:textId="296270B6" w:rsidR="00F1304E" w:rsidRDefault="00B5643B" w:rsidP="000061B5">
      <w:pPr>
        <w:spacing w:line="360" w:lineRule="auto"/>
        <w:ind w:firstLine="284"/>
        <w:jc w:val="both"/>
      </w:pPr>
      <w:r w:rsidRPr="00FE4453">
        <w:t xml:space="preserve">La convention européenne des droits de l’homme possède une double dimension normative et institutionnelle. Non seulement elle consacre des droits </w:t>
      </w:r>
      <w:r w:rsidR="00E17565" w:rsidRPr="00FE4453">
        <w:t xml:space="preserve">fondamentaux </w:t>
      </w:r>
      <w:r w:rsidRPr="00FE4453">
        <w:t>individuels</w:t>
      </w:r>
      <w:r w:rsidR="00A05BAD">
        <w:t>,</w:t>
      </w:r>
      <w:r w:rsidRPr="00FE4453">
        <w:t xml:space="preserve"> mais elle leur confère pour la première fois en droit international un régime protecteur</w:t>
      </w:r>
      <w:r w:rsidR="007644FE" w:rsidRPr="00FE4453">
        <w:t xml:space="preserve"> spécifique</w:t>
      </w:r>
      <w:r w:rsidRPr="00FE4453">
        <w:t xml:space="preserve">. L’originalité de la convention européenne réside en effet </w:t>
      </w:r>
      <w:r w:rsidR="00F1304E">
        <w:t>autant</w:t>
      </w:r>
      <w:r w:rsidRPr="00FE4453">
        <w:t xml:space="preserve"> dans la liste des droits énumérés que dans le mécanisme institutionnel de protection mis en place qui a son siège à Strasbourg.</w:t>
      </w:r>
    </w:p>
    <w:p w14:paraId="213BACD9" w14:textId="72935BB6" w:rsidR="00F1304E" w:rsidRDefault="00A05BAD" w:rsidP="000061B5">
      <w:pPr>
        <w:spacing w:line="360" w:lineRule="auto"/>
        <w:ind w:firstLine="284"/>
        <w:jc w:val="both"/>
      </w:pPr>
      <w:r>
        <w:lastRenderedPageBreak/>
        <w:t>À</w:t>
      </w:r>
      <w:r w:rsidR="00B5643B" w:rsidRPr="00FE4453">
        <w:t xml:space="preserve"> l’origine</w:t>
      </w:r>
      <w:r w:rsidR="00F1304E">
        <w:t xml:space="preserve"> il y avait</w:t>
      </w:r>
      <w:r w:rsidR="00B5643B" w:rsidRPr="00FE4453">
        <w:t xml:space="preserve"> </w:t>
      </w:r>
      <w:r w:rsidR="00847913" w:rsidRPr="00FE4453">
        <w:t>trois organes</w:t>
      </w:r>
      <w:r w:rsidR="00B5643B" w:rsidRPr="00FE4453">
        <w:t xml:space="preserve"> : un organe d’enquête et de conciliation, la commission, un organe politique de décision le conseil des ministres du Conseil de l’Europe et un organe judiciaire de décision, la </w:t>
      </w:r>
      <w:r w:rsidR="004A1FA5" w:rsidRPr="00FE4453">
        <w:t>Cour européenne</w:t>
      </w:r>
      <w:r w:rsidR="00B5643B" w:rsidRPr="00FE4453">
        <w:t xml:space="preserve"> des droits de l’homme. </w:t>
      </w:r>
    </w:p>
    <w:p w14:paraId="724B627A" w14:textId="52E7C9F5" w:rsidR="00F96A55" w:rsidRPr="00FE4453" w:rsidRDefault="00B5643B" w:rsidP="000061B5">
      <w:pPr>
        <w:spacing w:line="360" w:lineRule="auto"/>
        <w:ind w:firstLine="284"/>
        <w:jc w:val="both"/>
      </w:pPr>
      <w:r w:rsidRPr="00FE4453">
        <w:t>Le mécanisme de contrôle restructuré par le protocole 11 ne comporte plus aujourd’hui qu’un seul organe, la Cour européenne des droits de l’homme</w:t>
      </w:r>
      <w:r w:rsidR="00E06F63" w:rsidRPr="00FE4453">
        <w:t>.</w:t>
      </w:r>
    </w:p>
    <w:p w14:paraId="724B627B" w14:textId="1A325792" w:rsidR="00452F9A" w:rsidRPr="00FE4453" w:rsidRDefault="00F30E2D" w:rsidP="000061B5">
      <w:pPr>
        <w:spacing w:line="360" w:lineRule="auto"/>
        <w:ind w:firstLine="284"/>
        <w:jc w:val="both"/>
      </w:pPr>
      <w:r w:rsidRPr="00FE4453">
        <w:t>Texte de compromis</w:t>
      </w:r>
      <w:r w:rsidR="00A05BAD">
        <w:t>,</w:t>
      </w:r>
      <w:r w:rsidRPr="00FE4453">
        <w:t xml:space="preserve"> la convention était </w:t>
      </w:r>
      <w:proofErr w:type="gramStart"/>
      <w:r w:rsidRPr="00FE4453">
        <w:t>doté</w:t>
      </w:r>
      <w:proofErr w:type="gramEnd"/>
      <w:r w:rsidRPr="00FE4453">
        <w:t xml:space="preserve"> d’un caractère évolutif permettant des engagements progressifs de la part des Etats </w:t>
      </w:r>
      <w:r w:rsidR="00D81758">
        <w:t>(</w:t>
      </w:r>
      <w:r w:rsidRPr="00FE4453">
        <w:t xml:space="preserve">au départ ils ont pu ratifier la convention sans </w:t>
      </w:r>
      <w:r w:rsidR="00D81758" w:rsidRPr="00FE4453">
        <w:t>adhérer au</w:t>
      </w:r>
      <w:r w:rsidRPr="00FE4453">
        <w:t xml:space="preserve"> recours individuel) et une évolution des dispositions d’origine. </w:t>
      </w:r>
    </w:p>
    <w:p w14:paraId="724B627C" w14:textId="279EC62D" w:rsidR="0067754B" w:rsidRPr="00FE4453" w:rsidRDefault="00F30E2D" w:rsidP="000061B5">
      <w:pPr>
        <w:spacing w:line="360" w:lineRule="auto"/>
        <w:ind w:firstLine="284"/>
        <w:jc w:val="both"/>
      </w:pPr>
      <w:r w:rsidRPr="00FE4453">
        <w:t xml:space="preserve">Cette évolution a pris la forme de protocoles qui ont été </w:t>
      </w:r>
      <w:r w:rsidR="00A05BAD">
        <w:t>ajoutés</w:t>
      </w:r>
      <w:r w:rsidRPr="00FE4453">
        <w:t xml:space="preserve"> au texte de la convention et qui en modifie le contenu puisque le texte du protocole remplace </w:t>
      </w:r>
      <w:r w:rsidR="0067754B" w:rsidRPr="00FE4453">
        <w:t>ou s’ajoute à celui de la convention</w:t>
      </w:r>
      <w:r w:rsidR="007644FE" w:rsidRPr="00FE4453">
        <w:t>.</w:t>
      </w:r>
    </w:p>
    <w:p w14:paraId="724B627D" w14:textId="77777777" w:rsidR="007644FE" w:rsidRPr="00FE4453" w:rsidRDefault="007644FE" w:rsidP="000061B5">
      <w:pPr>
        <w:spacing w:line="360" w:lineRule="auto"/>
        <w:ind w:firstLine="284"/>
        <w:jc w:val="both"/>
      </w:pPr>
    </w:p>
    <w:p w14:paraId="724B627E" w14:textId="77777777" w:rsidR="00F252AD" w:rsidRPr="00FE4453" w:rsidRDefault="00F252AD" w:rsidP="000061B5">
      <w:pPr>
        <w:spacing w:line="360" w:lineRule="auto"/>
        <w:ind w:firstLine="284"/>
        <w:jc w:val="both"/>
        <w:rPr>
          <w:b/>
        </w:rPr>
      </w:pPr>
      <w:r w:rsidRPr="00FE4453">
        <w:rPr>
          <w:b/>
        </w:rPr>
        <w:t>§2 : Les protocoles</w:t>
      </w:r>
    </w:p>
    <w:p w14:paraId="724B627F" w14:textId="2BF50D28" w:rsidR="00F252AD" w:rsidRDefault="0067754B" w:rsidP="000061B5">
      <w:pPr>
        <w:autoSpaceDE w:val="0"/>
        <w:autoSpaceDN w:val="0"/>
        <w:adjustRightInd w:val="0"/>
        <w:spacing w:line="360" w:lineRule="auto"/>
        <w:jc w:val="both"/>
      </w:pPr>
      <w:r w:rsidRPr="00FE4453">
        <w:t xml:space="preserve">Il y a </w:t>
      </w:r>
      <w:r w:rsidR="005936F7" w:rsidRPr="00FE4453">
        <w:t xml:space="preserve">16 protocoles additionnels qui se répartissent en </w:t>
      </w:r>
      <w:r w:rsidRPr="00FE4453">
        <w:t>deux catégories</w:t>
      </w:r>
      <w:r w:rsidR="00716391">
        <w:t> :</w:t>
      </w:r>
      <w:r w:rsidR="00AB1688" w:rsidRPr="00FE4453">
        <w:t xml:space="preserve"> </w:t>
      </w:r>
      <w:r w:rsidRPr="00FE4453">
        <w:t>ceux qui touchent le fond</w:t>
      </w:r>
      <w:r w:rsidR="00F252AD" w:rsidRPr="00FE4453">
        <w:t xml:space="preserve"> et ceux qui modifient la procédure devant la Cour.</w:t>
      </w:r>
    </w:p>
    <w:p w14:paraId="7306738C" w14:textId="77777777" w:rsidR="00D81758" w:rsidRPr="00FE4453" w:rsidRDefault="00D81758" w:rsidP="000061B5">
      <w:pPr>
        <w:autoSpaceDE w:val="0"/>
        <w:autoSpaceDN w:val="0"/>
        <w:adjustRightInd w:val="0"/>
        <w:spacing w:line="360" w:lineRule="auto"/>
        <w:jc w:val="both"/>
      </w:pPr>
    </w:p>
    <w:p w14:paraId="5B8899C1" w14:textId="77777777" w:rsidR="00D81758" w:rsidRDefault="00F252AD" w:rsidP="000061B5">
      <w:pPr>
        <w:autoSpaceDE w:val="0"/>
        <w:autoSpaceDN w:val="0"/>
        <w:adjustRightInd w:val="0"/>
        <w:spacing w:line="360" w:lineRule="auto"/>
        <w:jc w:val="both"/>
        <w:rPr>
          <w:b/>
        </w:rPr>
      </w:pPr>
      <w:r w:rsidRPr="00FE4453">
        <w:rPr>
          <w:b/>
        </w:rPr>
        <w:t>A. Les protocoles relatifs au fond des droits garantis</w:t>
      </w:r>
    </w:p>
    <w:p w14:paraId="724B6282" w14:textId="112581EB" w:rsidR="0096580A" w:rsidRPr="00D81758" w:rsidRDefault="00F252AD" w:rsidP="000061B5">
      <w:pPr>
        <w:autoSpaceDE w:val="0"/>
        <w:autoSpaceDN w:val="0"/>
        <w:adjustRightInd w:val="0"/>
        <w:spacing w:line="360" w:lineRule="auto"/>
        <w:jc w:val="both"/>
      </w:pPr>
      <w:r w:rsidRPr="00FE4453">
        <w:t>Ces protocoles sont relatifs à</w:t>
      </w:r>
      <w:r w:rsidR="0067754B" w:rsidRPr="00FE4453">
        <w:t xml:space="preserve"> la substance des droits garantie et </w:t>
      </w:r>
      <w:r w:rsidR="0096580A" w:rsidRPr="00FE4453">
        <w:t xml:space="preserve">s’ajoutent à la convention. </w:t>
      </w:r>
      <w:r w:rsidR="008C6131" w:rsidRPr="00FE4453">
        <w:t xml:space="preserve">Ils élargissent le champ des droits protégés par la convention. </w:t>
      </w:r>
      <w:r w:rsidR="0096580A" w:rsidRPr="00FE4453">
        <w:t>F</w:t>
      </w:r>
      <w:r w:rsidR="0067754B" w:rsidRPr="00FE4453">
        <w:t xml:space="preserve">ormellement </w:t>
      </w:r>
      <w:r w:rsidR="0096580A" w:rsidRPr="00FE4453">
        <w:t xml:space="preserve">ces protocoles </w:t>
      </w:r>
      <w:r w:rsidR="0067754B" w:rsidRPr="00FE4453">
        <w:t xml:space="preserve">se présentent comme des textes indépendants placés à la suite du texte de la convention, qui font corps avec elle, comme sur le site de la Cour. </w:t>
      </w:r>
      <w:r w:rsidR="008C6131" w:rsidRPr="00FE4453">
        <w:t>Ces protocoles sont facultatifs</w:t>
      </w:r>
      <w:r w:rsidR="008D746F" w:rsidRPr="00FE4453">
        <w:t xml:space="preserve">, </w:t>
      </w:r>
      <w:r w:rsidR="008C6131" w:rsidRPr="00FE4453">
        <w:t>leur entrée en vigueur est subordonnée à la ratification d'un certain nombre d'Etats et une fois en vigueur ils ne lient que les seuls Etats qui les ont ratifiés.</w:t>
      </w:r>
      <w:r w:rsidR="008D746F" w:rsidRPr="00FE4453">
        <w:t xml:space="preserve"> </w:t>
      </w:r>
      <w:r w:rsidR="00D725C0" w:rsidRPr="00FE4453">
        <w:t>I</w:t>
      </w:r>
      <w:r w:rsidR="0067754B" w:rsidRPr="00FE4453">
        <w:t xml:space="preserve">l s’agit des protocoles 1, 4, 6, 7, 12 et 13. </w:t>
      </w:r>
    </w:p>
    <w:p w14:paraId="724B6283" w14:textId="66F5D87B" w:rsidR="00787ABC" w:rsidRPr="00FE4453" w:rsidRDefault="0096580A" w:rsidP="000061B5">
      <w:pPr>
        <w:spacing w:line="360" w:lineRule="auto"/>
        <w:ind w:firstLine="284"/>
        <w:jc w:val="both"/>
      </w:pPr>
      <w:r w:rsidRPr="00FE4453">
        <w:t>Le protocole additionnel</w:t>
      </w:r>
      <w:r w:rsidR="00D81758">
        <w:t xml:space="preserve"> </w:t>
      </w:r>
      <w:r w:rsidRPr="00FE4453">
        <w:t xml:space="preserve">n°1 </w:t>
      </w:r>
      <w:r w:rsidR="0067754B" w:rsidRPr="00FE4453">
        <w:t xml:space="preserve">date de 1952 et consacre trois nouveaux droits : le droit de propriété, le droit à l’instruction et le droit à des élections libres. </w:t>
      </w:r>
    </w:p>
    <w:p w14:paraId="724B6284" w14:textId="77777777" w:rsidR="00787ABC" w:rsidRPr="00FE4453" w:rsidRDefault="0067754B" w:rsidP="000061B5">
      <w:pPr>
        <w:spacing w:line="360" w:lineRule="auto"/>
        <w:ind w:firstLine="284"/>
        <w:jc w:val="both"/>
      </w:pPr>
      <w:r w:rsidRPr="00FE4453">
        <w:t xml:space="preserve"> </w:t>
      </w:r>
      <w:r w:rsidR="00D725C0" w:rsidRPr="00FE4453">
        <w:t xml:space="preserve">Le protocole n°4 de 1963 concerne notamment la question des expulsions et de la liberté de circulation. </w:t>
      </w:r>
    </w:p>
    <w:p w14:paraId="5C38B0D3" w14:textId="1D2437DB" w:rsidR="00036210" w:rsidRPr="00FE4453" w:rsidRDefault="00787ABC" w:rsidP="00036210">
      <w:pPr>
        <w:spacing w:line="360" w:lineRule="auto"/>
        <w:ind w:firstLine="284"/>
        <w:jc w:val="both"/>
      </w:pPr>
      <w:r w:rsidRPr="00FE4453">
        <w:t>Les</w:t>
      </w:r>
      <w:r w:rsidR="0067754B" w:rsidRPr="00FE4453">
        <w:t xml:space="preserve"> protocoles </w:t>
      </w:r>
      <w:r w:rsidRPr="00FE4453">
        <w:t xml:space="preserve">6 et 13 </w:t>
      </w:r>
      <w:r w:rsidR="0067754B" w:rsidRPr="00FE4453">
        <w:t>concernent</w:t>
      </w:r>
      <w:r w:rsidR="00F30E2D" w:rsidRPr="00FE4453">
        <w:t xml:space="preserve"> la peine de </w:t>
      </w:r>
      <w:proofErr w:type="gramStart"/>
      <w:r w:rsidR="00F30E2D" w:rsidRPr="00FE4453">
        <w:t>mort  admise</w:t>
      </w:r>
      <w:proofErr w:type="gramEnd"/>
      <w:r w:rsidR="00F30E2D" w:rsidRPr="00FE4453">
        <w:t xml:space="preserve"> </w:t>
      </w:r>
      <w:r w:rsidR="00A05BAD">
        <w:t>à l'origine</w:t>
      </w:r>
      <w:r w:rsidR="00F30E2D" w:rsidRPr="00FE4453">
        <w:t xml:space="preserve"> comme exception au droit à la vie a été ensuite prohibée par un protocole d’abord en temps de paix </w:t>
      </w:r>
      <w:r w:rsidR="004D7701" w:rsidRPr="00FE4453">
        <w:t xml:space="preserve">(protocole n°6 du 28 avril 1983) </w:t>
      </w:r>
      <w:r w:rsidR="00F30E2D" w:rsidRPr="00FE4453">
        <w:t>puis en temps de guerre</w:t>
      </w:r>
      <w:r w:rsidR="004D7701" w:rsidRPr="00FE4453">
        <w:t xml:space="preserve"> (protocole 13 adopté le 2 mai 2002)</w:t>
      </w:r>
      <w:r w:rsidR="00F30E2D" w:rsidRPr="00FE4453">
        <w:t>.</w:t>
      </w:r>
    </w:p>
    <w:p w14:paraId="724B6286" w14:textId="77777777" w:rsidR="00787ABC" w:rsidRPr="00FE4453" w:rsidRDefault="00452F9A" w:rsidP="000061B5">
      <w:pPr>
        <w:spacing w:line="360" w:lineRule="auto"/>
        <w:ind w:firstLine="284"/>
        <w:jc w:val="both"/>
      </w:pPr>
      <w:r w:rsidRPr="00FE4453">
        <w:t xml:space="preserve"> </w:t>
      </w:r>
      <w:r w:rsidR="00B5643B" w:rsidRPr="00FE4453">
        <w:t xml:space="preserve">Le protocole 7 </w:t>
      </w:r>
      <w:r w:rsidR="0096580A" w:rsidRPr="00FE4453">
        <w:t xml:space="preserve">de 1984 </w:t>
      </w:r>
      <w:r w:rsidR="00B5643B" w:rsidRPr="00FE4453">
        <w:t>consacre diver</w:t>
      </w:r>
      <w:r w:rsidR="00F333E4" w:rsidRPr="00FE4453">
        <w:t xml:space="preserve">s droits comme l’égalité de droit entre époux, le droit à un double degré de juridiction en matière pénale, ou encore des droits concernant l’expulsion des étrangers. </w:t>
      </w:r>
    </w:p>
    <w:p w14:paraId="42AE2647" w14:textId="14B91074" w:rsidR="00D81758" w:rsidRDefault="00A73B12" w:rsidP="000061B5">
      <w:pPr>
        <w:spacing w:line="360" w:lineRule="auto"/>
        <w:ind w:firstLine="284"/>
        <w:jc w:val="both"/>
      </w:pPr>
      <w:r w:rsidRPr="00FE4453">
        <w:lastRenderedPageBreak/>
        <w:t xml:space="preserve">Le protocole 12 consacre un droit général à la </w:t>
      </w:r>
      <w:r w:rsidR="00D81758" w:rsidRPr="00FE4453">
        <w:t>non-discrimination</w:t>
      </w:r>
      <w:r w:rsidR="0003188B">
        <w:t xml:space="preserve"> alors que</w:t>
      </w:r>
      <w:r w:rsidR="00147FBB" w:rsidRPr="00FE4453">
        <w:t xml:space="preserve"> </w:t>
      </w:r>
      <w:r w:rsidR="0003188B">
        <w:t>l</w:t>
      </w:r>
      <w:r w:rsidR="00147FBB" w:rsidRPr="00FE4453">
        <w:t xml:space="preserve">es dispositions de la Convention européenne des Droits de l'Homme en matière de protection contre la discrimination sont à l’origine de portée limitée du fait qu’elles interdisent la discrimination seulement lorsqu'elle s'applique à l'un des droits reconnus par la Convention </w:t>
      </w:r>
    </w:p>
    <w:p w14:paraId="724B6289" w14:textId="209D96BA" w:rsidR="00A73B12" w:rsidRDefault="00147FBB" w:rsidP="000061B5">
      <w:pPr>
        <w:spacing w:line="360" w:lineRule="auto"/>
        <w:ind w:firstLine="284"/>
        <w:jc w:val="both"/>
      </w:pPr>
      <w:r w:rsidRPr="00FE4453">
        <w:t xml:space="preserve">Le Protocole </w:t>
      </w:r>
      <w:r w:rsidR="00D81758">
        <w:t xml:space="preserve">12 </w:t>
      </w:r>
      <w:r w:rsidRPr="00FE4453">
        <w:t>lève cette limitation et garantit que personne ne doit faire l’objet d'une quelconque forme de discrimination par aucune autorité publique et sous quelque motif que ce soit.</w:t>
      </w:r>
    </w:p>
    <w:p w14:paraId="3F4C288A" w14:textId="4677FEFE" w:rsidR="0003188B" w:rsidRPr="00FE4453" w:rsidRDefault="00787ABC" w:rsidP="00FD7D78">
      <w:pPr>
        <w:spacing w:line="360" w:lineRule="auto"/>
        <w:ind w:firstLine="284"/>
        <w:jc w:val="both"/>
      </w:pPr>
      <w:r w:rsidRPr="00FE4453">
        <w:t>Les protocoles 1, 4, et 7 sont entrés en vigueur dans tous les Etats et font partie intégrante de la convention</w:t>
      </w:r>
      <w:r w:rsidR="0096580A" w:rsidRPr="00FE4453">
        <w:t>.</w:t>
      </w:r>
      <w:r w:rsidRPr="00FE4453">
        <w:t xml:space="preserve"> </w:t>
      </w:r>
      <w:r w:rsidR="00F333E4" w:rsidRPr="00FE4453">
        <w:t>Le</w:t>
      </w:r>
      <w:r w:rsidR="0016421F" w:rsidRPr="00FE4453">
        <w:t xml:space="preserve"> cas des protocoles 12, 6 et </w:t>
      </w:r>
      <w:r w:rsidR="00F333E4" w:rsidRPr="00FE4453">
        <w:t>13 est plus complexe.</w:t>
      </w:r>
      <w:r w:rsidR="00D725C0" w:rsidRPr="00FE4453">
        <w:t xml:space="preserve"> </w:t>
      </w:r>
    </w:p>
    <w:p w14:paraId="213E4455" w14:textId="6E1294BE" w:rsidR="0003188B" w:rsidRDefault="00A73B12" w:rsidP="000061B5">
      <w:pPr>
        <w:spacing w:line="360" w:lineRule="auto"/>
        <w:ind w:firstLine="284"/>
        <w:jc w:val="both"/>
      </w:pPr>
      <w:r w:rsidRPr="00FE4453">
        <w:t xml:space="preserve">Le protocole 12 est entré en vigueur dans les </w:t>
      </w:r>
      <w:r w:rsidR="0003188B">
        <w:t>20</w:t>
      </w:r>
      <w:r w:rsidRPr="00FE4453">
        <w:t xml:space="preserve"> Etats qui l’ont ratifié dont la France ne fait pas partie ni le Royaume uni, </w:t>
      </w:r>
      <w:r w:rsidR="00841159" w:rsidRPr="00FE4453">
        <w:t xml:space="preserve">qui ne l’ont même pas signé ; </w:t>
      </w:r>
      <w:r w:rsidRPr="00FE4453">
        <w:t>l'Allemagne l'a signé mais pas ratifié.</w:t>
      </w:r>
      <w:r w:rsidR="0016421F" w:rsidRPr="00FE4453">
        <w:t xml:space="preserve"> Le moins qu’on puisse dire c’est que ce protocole ne fait pas l’unanimité au sein du conseil de l’Europe ! </w:t>
      </w:r>
      <w:r w:rsidR="00841159" w:rsidRPr="00FE4453">
        <w:t>Les Etats craignent</w:t>
      </w:r>
      <w:r w:rsidR="00A71F48" w:rsidRPr="00FE4453">
        <w:t xml:space="preserve"> de se voir imposer des obligations trop lourdes en matière de traitement égalitaire. </w:t>
      </w:r>
    </w:p>
    <w:p w14:paraId="724B628B" w14:textId="117F9548" w:rsidR="00137942" w:rsidRPr="00FE4453" w:rsidRDefault="0003188B" w:rsidP="000061B5">
      <w:pPr>
        <w:spacing w:line="360" w:lineRule="auto"/>
        <w:ind w:firstLine="284"/>
        <w:jc w:val="both"/>
      </w:pPr>
      <w:r>
        <w:t>L</w:t>
      </w:r>
      <w:r w:rsidR="00137942" w:rsidRPr="00FE4453">
        <w:t xml:space="preserve">’interdiction de la discrimination est </w:t>
      </w:r>
      <w:r>
        <w:t xml:space="preserve">cependant </w:t>
      </w:r>
      <w:r w:rsidR="00137942" w:rsidRPr="00FE4453">
        <w:t xml:space="preserve">contenue dans l’article 14 de la convention </w:t>
      </w:r>
      <w:r>
        <w:t>même si</w:t>
      </w:r>
      <w:r w:rsidR="00137942" w:rsidRPr="00FE4453">
        <w:t xml:space="preserve"> le droit de ne pas subir de discrimination n’a pas d’existence indépendante au sein de la convention : la discrimination n’existe que par rapport à l’existence d’un droit garanti et l’article 14 ne peut être mis en </w:t>
      </w:r>
      <w:r w:rsidRPr="00FE4453">
        <w:t>œuvre</w:t>
      </w:r>
      <w:r w:rsidR="00137942" w:rsidRPr="00FE4453">
        <w:t xml:space="preserve"> que conjointement</w:t>
      </w:r>
      <w:r w:rsidR="002C43F6" w:rsidRPr="00FE4453">
        <w:t xml:space="preserve"> à un autre article de la Conve</w:t>
      </w:r>
      <w:r w:rsidR="00137942" w:rsidRPr="00FE4453">
        <w:t>n</w:t>
      </w:r>
      <w:r w:rsidR="002C43F6" w:rsidRPr="00FE4453">
        <w:t>t</w:t>
      </w:r>
      <w:r w:rsidR="00137942" w:rsidRPr="00FE4453">
        <w:t xml:space="preserve">ion ; le </w:t>
      </w:r>
      <w:r w:rsidRPr="00FE4453">
        <w:t>droit à</w:t>
      </w:r>
      <w:r w:rsidR="00137942" w:rsidRPr="00FE4453">
        <w:t xml:space="preserve"> la </w:t>
      </w:r>
      <w:r w:rsidRPr="00FE4453">
        <w:t>non-discrimination</w:t>
      </w:r>
      <w:r w:rsidR="00137942" w:rsidRPr="00FE4453">
        <w:t xml:space="preserve"> est un droit complémentaire des autres droits. </w:t>
      </w:r>
      <w:r>
        <w:t>Cependant</w:t>
      </w:r>
      <w:r w:rsidR="00137942" w:rsidRPr="00FE4453">
        <w:t xml:space="preserve">, le juge européen a donné une portée autonome à ce droit considérant que l’applicabilité de l’article 14 ne saurait être limitée aux seules hypothèses de violation </w:t>
      </w:r>
      <w:r w:rsidR="002C43F6" w:rsidRPr="00FE4453">
        <w:t>concomitante</w:t>
      </w:r>
      <w:r w:rsidR="00137942" w:rsidRPr="00FE4453">
        <w:t xml:space="preserve"> d’un autre article de la convention</w:t>
      </w:r>
      <w:r w:rsidR="00CA1748" w:rsidRPr="00FE4453">
        <w:t> </w:t>
      </w:r>
      <w:r w:rsidRPr="00FE4453">
        <w:t>; l’article</w:t>
      </w:r>
      <w:r w:rsidR="00CA1748" w:rsidRPr="00FE4453">
        <w:t xml:space="preserve"> 14 peut être mis en </w:t>
      </w:r>
      <w:r w:rsidRPr="00FE4453">
        <w:t>œuvre</w:t>
      </w:r>
      <w:r w:rsidR="00CA1748" w:rsidRPr="00FE4453">
        <w:t xml:space="preserve"> même en l’absence de manquement à l’un des droits garantis dès lors qu’on se situe dans le domaine d’un droit consacré par la convention.</w:t>
      </w:r>
    </w:p>
    <w:p w14:paraId="30F0EC14" w14:textId="77777777" w:rsidR="00036210" w:rsidRDefault="00036210" w:rsidP="000061B5">
      <w:pPr>
        <w:spacing w:line="360" w:lineRule="auto"/>
        <w:ind w:firstLine="284"/>
        <w:jc w:val="both"/>
      </w:pPr>
    </w:p>
    <w:p w14:paraId="724B6290" w14:textId="259D7D81" w:rsidR="006C1182" w:rsidRDefault="0016421F" w:rsidP="000061B5">
      <w:pPr>
        <w:spacing w:line="360" w:lineRule="auto"/>
        <w:ind w:firstLine="284"/>
        <w:jc w:val="both"/>
      </w:pPr>
      <w:r w:rsidRPr="00FE4453">
        <w:t xml:space="preserve">Pour ce qui est des protocoles 6 et 13 relatifs à la peine de mort </w:t>
      </w:r>
      <w:r w:rsidR="00C15935" w:rsidRPr="00FE4453">
        <w:t xml:space="preserve">la situation est comparable quoique différente puisque </w:t>
      </w:r>
      <w:r w:rsidR="0003188B">
        <w:t>tous les</w:t>
      </w:r>
      <w:r w:rsidR="00C15935" w:rsidRPr="00FE4453">
        <w:t xml:space="preserve"> Etats les ont ratifié</w:t>
      </w:r>
      <w:r w:rsidR="00841159" w:rsidRPr="00FE4453">
        <w:t>s</w:t>
      </w:r>
      <w:r w:rsidR="0003188B">
        <w:t xml:space="preserve"> à l’exception d’un seul pour le protocole 13 : </w:t>
      </w:r>
      <w:r w:rsidR="0003188B" w:rsidRPr="0003188B">
        <w:rPr>
          <w:highlight w:val="yellow"/>
        </w:rPr>
        <w:t>lequel</w:t>
      </w:r>
      <w:r w:rsidR="0003188B">
        <w:t> ?</w:t>
      </w:r>
    </w:p>
    <w:p w14:paraId="25E48738" w14:textId="77777777" w:rsidR="00036210" w:rsidRPr="00FE4453" w:rsidRDefault="00036210" w:rsidP="000061B5">
      <w:pPr>
        <w:spacing w:line="360" w:lineRule="auto"/>
        <w:ind w:firstLine="284"/>
        <w:jc w:val="both"/>
      </w:pPr>
    </w:p>
    <w:p w14:paraId="724B6291" w14:textId="00C4DB13" w:rsidR="008C6131" w:rsidRPr="00FE4453" w:rsidRDefault="008C6131" w:rsidP="000061B5">
      <w:pPr>
        <w:spacing w:line="360" w:lineRule="auto"/>
        <w:ind w:firstLine="284"/>
        <w:jc w:val="both"/>
        <w:rPr>
          <w:b/>
        </w:rPr>
      </w:pPr>
      <w:r w:rsidRPr="00FE4453">
        <w:rPr>
          <w:b/>
        </w:rPr>
        <w:t>B. Les protocoles d'amendement</w:t>
      </w:r>
      <w:r w:rsidR="00D46049">
        <w:rPr>
          <w:b/>
        </w:rPr>
        <w:t xml:space="preserve"> (à compléter en cours)</w:t>
      </w:r>
    </w:p>
    <w:p w14:paraId="724B6292" w14:textId="0727FCF2" w:rsidR="00A71F48" w:rsidRDefault="00452F9A" w:rsidP="000061B5">
      <w:pPr>
        <w:spacing w:line="360" w:lineRule="auto"/>
        <w:ind w:firstLine="284"/>
        <w:jc w:val="both"/>
      </w:pPr>
      <w:r w:rsidRPr="00FE4453">
        <w:t>Depuis son entrée en vigueur</w:t>
      </w:r>
      <w:r w:rsidR="00A05BAD">
        <w:t>,</w:t>
      </w:r>
      <w:r w:rsidRPr="00FE4453">
        <w:t xml:space="preserve"> la </w:t>
      </w:r>
      <w:proofErr w:type="spellStart"/>
      <w:r w:rsidRPr="00FE4453">
        <w:t>Conv</w:t>
      </w:r>
      <w:proofErr w:type="spellEnd"/>
      <w:r w:rsidRPr="00FE4453">
        <w:t xml:space="preserve"> EDH a </w:t>
      </w:r>
      <w:r w:rsidR="0067754B" w:rsidRPr="00FE4453">
        <w:t xml:space="preserve">par ailleurs </w:t>
      </w:r>
      <w:r w:rsidRPr="00FE4453">
        <w:t>fait l’objet d</w:t>
      </w:r>
      <w:r w:rsidR="0067754B" w:rsidRPr="00FE4453">
        <w:t>’amendements</w:t>
      </w:r>
      <w:r w:rsidR="00B8563B" w:rsidRPr="00FE4453">
        <w:t xml:space="preserve"> par </w:t>
      </w:r>
      <w:r w:rsidR="0067754B" w:rsidRPr="00FE4453">
        <w:t xml:space="preserve">des protocoles modifiant le contrôle des droits garantis et le fonctionnement de la Cour européenne des droits de l’homme. </w:t>
      </w:r>
      <w:r w:rsidR="008C6131" w:rsidRPr="00FE4453">
        <w:t xml:space="preserve">Ces protocoles doivent </w:t>
      </w:r>
      <w:r w:rsidR="006C1182" w:rsidRPr="00FE4453">
        <w:t>être</w:t>
      </w:r>
      <w:r w:rsidR="008C6131" w:rsidRPr="00FE4453">
        <w:t xml:space="preserve"> ratifiés par tous les Etats parties et dès lors chaque Etat dispose de la faculté de s'opposer à l'entrée en vigueur du protocole d'amendement</w:t>
      </w:r>
      <w:r w:rsidR="00A71F48" w:rsidRPr="00FE4453">
        <w:t>.</w:t>
      </w:r>
    </w:p>
    <w:p w14:paraId="309043DD" w14:textId="77777777" w:rsidR="009B3171" w:rsidRPr="00FE4453" w:rsidRDefault="009B3171" w:rsidP="000061B5">
      <w:pPr>
        <w:spacing w:line="360" w:lineRule="auto"/>
        <w:ind w:firstLine="284"/>
        <w:jc w:val="both"/>
      </w:pPr>
    </w:p>
    <w:p w14:paraId="6D788E7C" w14:textId="241F954D" w:rsidR="009B3171" w:rsidRPr="00FE4453" w:rsidRDefault="0067754B" w:rsidP="00A81D3C">
      <w:pPr>
        <w:spacing w:line="360" w:lineRule="auto"/>
        <w:ind w:firstLine="284"/>
        <w:jc w:val="both"/>
      </w:pPr>
      <w:r w:rsidRPr="00FE4453">
        <w:lastRenderedPageBreak/>
        <w:t>Il s’agit tout d’abord d</w:t>
      </w:r>
      <w:r w:rsidR="00B8563B" w:rsidRPr="00FE4453">
        <w:t>es Protocole n°</w:t>
      </w:r>
      <w:r w:rsidRPr="00FE4453">
        <w:t>2</w:t>
      </w:r>
      <w:r w:rsidR="006C1182" w:rsidRPr="00FE4453">
        <w:t>,</w:t>
      </w:r>
      <w:r w:rsidR="00B8563B" w:rsidRPr="00FE4453">
        <w:t xml:space="preserve"> n° 5</w:t>
      </w:r>
      <w:r w:rsidR="006C1182" w:rsidRPr="00FE4453">
        <w:t xml:space="preserve">, </w:t>
      </w:r>
      <w:r w:rsidR="00B8563B" w:rsidRPr="00FE4453">
        <w:t>n° 8</w:t>
      </w:r>
      <w:r w:rsidR="006C1182" w:rsidRPr="00FE4453">
        <w:t>, n°9</w:t>
      </w:r>
      <w:r w:rsidR="00847913">
        <w:t xml:space="preserve"> qui</w:t>
      </w:r>
      <w:r w:rsidR="00B8563B" w:rsidRPr="00FE4453">
        <w:t xml:space="preserve"> </w:t>
      </w:r>
      <w:r w:rsidRPr="00FE4453">
        <w:t>ont été remplacés</w:t>
      </w:r>
      <w:r w:rsidR="00B8563B" w:rsidRPr="00FE4453">
        <w:t xml:space="preserve"> par le Protocole</w:t>
      </w:r>
      <w:r w:rsidRPr="00FE4453">
        <w:t xml:space="preserve"> </w:t>
      </w:r>
      <w:r w:rsidR="00B8563B" w:rsidRPr="00FE4453">
        <w:t>n° 11 à compter de la date de son entrée en vigueur</w:t>
      </w:r>
      <w:r w:rsidRPr="00FE4453">
        <w:t xml:space="preserve"> </w:t>
      </w:r>
      <w:r w:rsidR="00B8563B" w:rsidRPr="00FE4453">
        <w:t>le 1er novembre 1998</w:t>
      </w:r>
      <w:r w:rsidR="001E1099">
        <w:t xml:space="preserve"> et qui instaure la cour européenne des droits de l’homme comme organe unique de contrôle de la mise en œuvre de la convention.</w:t>
      </w:r>
    </w:p>
    <w:p w14:paraId="440ABED4" w14:textId="55110FCD" w:rsidR="00B00E89" w:rsidRPr="00B00E89" w:rsidRDefault="0079324F" w:rsidP="00B00E89">
      <w:pPr>
        <w:pStyle w:val="Retraitcorpsdetexte2"/>
        <w:jc w:val="both"/>
      </w:pPr>
      <w:r w:rsidRPr="00FE4453">
        <w:rPr>
          <w:szCs w:val="24"/>
        </w:rPr>
        <w:t>Le</w:t>
      </w:r>
      <w:r w:rsidR="00D725C0" w:rsidRPr="00FE4453">
        <w:rPr>
          <w:szCs w:val="24"/>
        </w:rPr>
        <w:t xml:space="preserve"> protocole 14 </w:t>
      </w:r>
      <w:r w:rsidR="00B00E89" w:rsidRPr="00B00E89">
        <w:t xml:space="preserve">Le Protocole n˚ 14, </w:t>
      </w:r>
      <w:r w:rsidR="001E1099">
        <w:t xml:space="preserve">crée le juge unique et </w:t>
      </w:r>
      <w:r w:rsidR="00B00E89" w:rsidRPr="00B00E89">
        <w:t>introduit un nouveau critère de recevabilité et le traitement des affaires répétitives ou manifestement irrecevables</w:t>
      </w:r>
      <w:r w:rsidR="00B00E89">
        <w:t xml:space="preserve">. </w:t>
      </w:r>
      <w:r w:rsidR="00B00E89" w:rsidRPr="00B00E89">
        <w:t>Le Protocole n° 14 est entré en vigueur le 1er juin 20</w:t>
      </w:r>
      <w:r w:rsidR="00A81D3C">
        <w:t>1</w:t>
      </w:r>
      <w:r w:rsidR="00B00E89" w:rsidRPr="00B00E89">
        <w:t>0</w:t>
      </w:r>
      <w:r w:rsidR="001E1099">
        <w:t>.</w:t>
      </w:r>
    </w:p>
    <w:p w14:paraId="1E85EFB9" w14:textId="3CEAEEA0" w:rsidR="00B00E89" w:rsidRPr="001F40C6" w:rsidRDefault="00B00E89" w:rsidP="001F40C6">
      <w:pPr>
        <w:pStyle w:val="Retraitcorpsdetexte2"/>
        <w:jc w:val="both"/>
        <w:rPr>
          <w:szCs w:val="24"/>
        </w:rPr>
      </w:pPr>
      <w:r w:rsidRPr="00B00E89">
        <w:t>Le Protocole n˚ 15</w:t>
      </w:r>
      <w:r>
        <w:t xml:space="preserve"> du 24 juin 2013</w:t>
      </w:r>
      <w:r w:rsidR="001F40C6">
        <w:t xml:space="preserve"> </w:t>
      </w:r>
      <w:r w:rsidR="001F40C6" w:rsidRPr="00FE4453">
        <w:rPr>
          <w:szCs w:val="24"/>
        </w:rPr>
        <w:t xml:space="preserve">retouche également les conditions de recevabilité et d’examen des recours individuels. </w:t>
      </w:r>
    </w:p>
    <w:p w14:paraId="65232B66" w14:textId="65EC6642" w:rsidR="00B00E89" w:rsidRDefault="00B00E89" w:rsidP="00A81D3C">
      <w:pPr>
        <w:pStyle w:val="Retraitcorpsdetexte2"/>
        <w:jc w:val="both"/>
      </w:pPr>
      <w:r w:rsidRPr="00B00E89">
        <w:t xml:space="preserve">Le Protocole n° 16 </w:t>
      </w:r>
      <w:r>
        <w:t xml:space="preserve">du 2 </w:t>
      </w:r>
      <w:r w:rsidR="001E1099">
        <w:t>octobre</w:t>
      </w:r>
      <w:r>
        <w:t xml:space="preserve"> 2013 </w:t>
      </w:r>
      <w:r w:rsidRPr="00B00E89">
        <w:t>à la Convention prévoit la possibilité pour les plus hautes juridictions des Etats parties, d’adresser des demandes d’avis consultatif à la Cour sur des questions de principe relatives à l’interprétation ou à l’application des droits et libertés définis par la Convention ou ses protocoles.</w:t>
      </w:r>
      <w:r>
        <w:t xml:space="preserve"> </w:t>
      </w:r>
      <w:r w:rsidRPr="00B00E89">
        <w:t>Le Protocole n°16 est entré en vigueur le 1er </w:t>
      </w:r>
      <w:r w:rsidR="00A05BAD">
        <w:t>août</w:t>
      </w:r>
      <w:r w:rsidRPr="00B00E89">
        <w:t xml:space="preserve"> 2018</w:t>
      </w:r>
      <w:r w:rsidR="00F41F0B">
        <w:t>.</w:t>
      </w:r>
    </w:p>
    <w:p w14:paraId="6475E046" w14:textId="77777777" w:rsidR="00A81D3C" w:rsidRPr="00B00E89" w:rsidRDefault="00A81D3C" w:rsidP="00A81D3C">
      <w:pPr>
        <w:pStyle w:val="Retraitcorpsdetexte2"/>
        <w:jc w:val="both"/>
      </w:pPr>
    </w:p>
    <w:p w14:paraId="06AA6E64" w14:textId="7F1F994B" w:rsidR="001F40C6" w:rsidRPr="00A81D3C" w:rsidRDefault="001F40C6" w:rsidP="00A81D3C">
      <w:pPr>
        <w:pStyle w:val="Retraitcorpsdetexte2"/>
        <w:jc w:val="both"/>
        <w:rPr>
          <w:b/>
          <w:bCs/>
          <w:szCs w:val="24"/>
        </w:rPr>
      </w:pPr>
      <w:r w:rsidRPr="00A81D3C">
        <w:rPr>
          <w:b/>
          <w:bCs/>
          <w:szCs w:val="24"/>
        </w:rPr>
        <w:t>Activité de la Cour européenne des droits de l’homme</w:t>
      </w:r>
      <w:r w:rsidR="005057E8">
        <w:rPr>
          <w:b/>
          <w:bCs/>
          <w:szCs w:val="24"/>
        </w:rPr>
        <w:t xml:space="preserve"> (source </w:t>
      </w:r>
      <w:proofErr w:type="spellStart"/>
      <w:r w:rsidR="005057E8">
        <w:rPr>
          <w:b/>
          <w:bCs/>
          <w:szCs w:val="24"/>
        </w:rPr>
        <w:t>Chatgpt</w:t>
      </w:r>
      <w:proofErr w:type="spellEnd"/>
      <w:r w:rsidR="005057E8">
        <w:rPr>
          <w:b/>
          <w:bCs/>
          <w:szCs w:val="24"/>
        </w:rPr>
        <w:t>)</w:t>
      </w:r>
    </w:p>
    <w:p w14:paraId="31B1E18D" w14:textId="10032DE3" w:rsidR="00A81D3C" w:rsidRPr="00A81D3C" w:rsidRDefault="00A81D3C" w:rsidP="00A81D3C">
      <w:pPr>
        <w:spacing w:before="100" w:beforeAutospacing="1" w:after="100" w:afterAutospacing="1"/>
      </w:pPr>
      <w:r w:rsidRPr="00A81D3C">
        <w:rPr>
          <w:noProof/>
        </w:rPr>
        <w:drawing>
          <wp:inline distT="0" distB="0" distL="0" distR="0" wp14:anchorId="2D47AC83" wp14:editId="6FB864E2">
            <wp:extent cx="5760720" cy="345630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3456305"/>
                    </a:xfrm>
                    <a:prstGeom prst="rect">
                      <a:avLst/>
                    </a:prstGeom>
                    <a:noFill/>
                    <a:ln>
                      <a:noFill/>
                    </a:ln>
                  </pic:spPr>
                </pic:pic>
              </a:graphicData>
            </a:graphic>
          </wp:inline>
        </w:drawing>
      </w:r>
    </w:p>
    <w:p w14:paraId="7E05D097" w14:textId="08061DD7" w:rsidR="00625708" w:rsidRPr="00D46049" w:rsidRDefault="00A81D3C" w:rsidP="00D46049">
      <w:pPr>
        <w:spacing w:before="100" w:beforeAutospacing="1" w:after="100" w:afterAutospacing="1"/>
      </w:pPr>
      <w:r w:rsidRPr="00A81D3C">
        <w:rPr>
          <w:highlight w:val="yellow"/>
        </w:rPr>
        <w:t>Commentaire du schéma au regard de l’évolution du contenu normatif de la Convention européenne des droits de l’homme</w:t>
      </w:r>
    </w:p>
    <w:p w14:paraId="0FF3B39A" w14:textId="77777777" w:rsidR="00625708" w:rsidRDefault="00625708" w:rsidP="000061B5">
      <w:pPr>
        <w:pStyle w:val="Retraitcorpsdetexte2"/>
        <w:jc w:val="both"/>
        <w:rPr>
          <w:szCs w:val="24"/>
        </w:rPr>
      </w:pPr>
    </w:p>
    <w:p w14:paraId="248D36EB" w14:textId="32A9A04F" w:rsidR="00E20A5B" w:rsidRDefault="00D44B99" w:rsidP="00933CAE">
      <w:pPr>
        <w:pStyle w:val="Retraitcorpsdetexte2"/>
        <w:ind w:firstLine="0"/>
        <w:jc w:val="both"/>
        <w:rPr>
          <w:szCs w:val="24"/>
          <w:highlight w:val="yellow"/>
          <w:shd w:val="clear" w:color="auto" w:fill="FFFFFF"/>
        </w:rPr>
      </w:pPr>
      <w:r w:rsidRPr="00933CAE">
        <w:rPr>
          <w:rStyle w:val="srvrlnk"/>
          <w:szCs w:val="24"/>
          <w:highlight w:val="yellow"/>
          <w:shd w:val="clear" w:color="auto" w:fill="FFFFFF"/>
        </w:rPr>
        <w:lastRenderedPageBreak/>
        <w:t>Application du p</w:t>
      </w:r>
      <w:r w:rsidR="009C66AB" w:rsidRPr="00933CAE">
        <w:rPr>
          <w:rStyle w:val="srvrlnk"/>
          <w:szCs w:val="24"/>
          <w:highlight w:val="yellow"/>
          <w:shd w:val="clear" w:color="auto" w:fill="FFFFFF"/>
        </w:rPr>
        <w:t>rotocole n° 16</w:t>
      </w:r>
      <w:r w:rsidR="009C66AB" w:rsidRPr="00933CAE">
        <w:rPr>
          <w:szCs w:val="24"/>
          <w:highlight w:val="yellow"/>
          <w:shd w:val="clear" w:color="auto" w:fill="FFFFFF"/>
        </w:rPr>
        <w:t>.</w:t>
      </w:r>
      <w:r w:rsidR="00D46049" w:rsidRPr="00933CAE">
        <w:rPr>
          <w:szCs w:val="24"/>
          <w:highlight w:val="yellow"/>
          <w:shd w:val="clear" w:color="auto" w:fill="FFFFFF"/>
        </w:rPr>
        <w:t xml:space="preserve"> </w:t>
      </w:r>
      <w:r w:rsidR="00F41F0B">
        <w:rPr>
          <w:szCs w:val="24"/>
          <w:highlight w:val="yellow"/>
          <w:shd w:val="clear" w:color="auto" w:fill="FFFFFF"/>
        </w:rPr>
        <w:t>T</w:t>
      </w:r>
      <w:r w:rsidR="00D46049" w:rsidRPr="00933CAE">
        <w:rPr>
          <w:szCs w:val="24"/>
          <w:highlight w:val="yellow"/>
          <w:shd w:val="clear" w:color="auto" w:fill="FFFFFF"/>
        </w:rPr>
        <w:t>rouver et lire l</w:t>
      </w:r>
      <w:r w:rsidR="00F41F0B">
        <w:rPr>
          <w:szCs w:val="24"/>
          <w:highlight w:val="yellow"/>
          <w:shd w:val="clear" w:color="auto" w:fill="FFFFFF"/>
        </w:rPr>
        <w:t xml:space="preserve">e premier </w:t>
      </w:r>
      <w:r w:rsidR="00D46049" w:rsidRPr="00933CAE">
        <w:rPr>
          <w:szCs w:val="24"/>
          <w:highlight w:val="yellow"/>
          <w:shd w:val="clear" w:color="auto" w:fill="FFFFFF"/>
        </w:rPr>
        <w:t>avis</w:t>
      </w:r>
      <w:r w:rsidR="00F41F0B">
        <w:rPr>
          <w:szCs w:val="24"/>
          <w:highlight w:val="yellow"/>
          <w:shd w:val="clear" w:color="auto" w:fill="FFFFFF"/>
        </w:rPr>
        <w:t xml:space="preserve"> rendu par la Cour européenne des droits de l’homme</w:t>
      </w:r>
      <w:r w:rsidR="00E20A5B" w:rsidRPr="00933CAE">
        <w:rPr>
          <w:szCs w:val="24"/>
          <w:highlight w:val="yellow"/>
          <w:shd w:val="clear" w:color="auto" w:fill="FFFFFF"/>
        </w:rPr>
        <w:t>. Faire une chronologie de l</w:t>
      </w:r>
      <w:r w:rsidR="00FD7D78">
        <w:rPr>
          <w:szCs w:val="24"/>
          <w:highlight w:val="yellow"/>
          <w:shd w:val="clear" w:color="auto" w:fill="FFFFFF"/>
        </w:rPr>
        <w:t>’ensemble de l</w:t>
      </w:r>
      <w:r w:rsidR="00E20A5B" w:rsidRPr="00933CAE">
        <w:rPr>
          <w:szCs w:val="24"/>
          <w:highlight w:val="yellow"/>
          <w:shd w:val="clear" w:color="auto" w:fill="FFFFFF"/>
        </w:rPr>
        <w:t xml:space="preserve">a procédure d’avis </w:t>
      </w:r>
      <w:r w:rsidR="005421A6" w:rsidRPr="00933CAE">
        <w:rPr>
          <w:szCs w:val="24"/>
          <w:highlight w:val="yellow"/>
          <w:shd w:val="clear" w:color="auto" w:fill="FFFFFF"/>
        </w:rPr>
        <w:t>en indiquant la date</w:t>
      </w:r>
      <w:r w:rsidR="00FD7D78">
        <w:rPr>
          <w:szCs w:val="24"/>
          <w:highlight w:val="yellow"/>
          <w:shd w:val="clear" w:color="auto" w:fill="FFFFFF"/>
        </w:rPr>
        <w:t xml:space="preserve">, la juridiction, et </w:t>
      </w:r>
      <w:r w:rsidR="005421A6" w:rsidRPr="00933CAE">
        <w:rPr>
          <w:szCs w:val="24"/>
          <w:highlight w:val="yellow"/>
          <w:shd w:val="clear" w:color="auto" w:fill="FFFFFF"/>
        </w:rPr>
        <w:t>le sens de chacune des décisions</w:t>
      </w:r>
    </w:p>
    <w:p w14:paraId="7A0980C0" w14:textId="77777777" w:rsidR="00F41F0B" w:rsidRPr="00933CAE" w:rsidRDefault="00F41F0B" w:rsidP="00933CAE">
      <w:pPr>
        <w:pStyle w:val="Retraitcorpsdetexte2"/>
        <w:ind w:firstLine="0"/>
        <w:jc w:val="both"/>
        <w:rPr>
          <w:szCs w:val="24"/>
          <w:highlight w:val="yellow"/>
          <w:shd w:val="clear" w:color="auto" w:fill="FFFFFF"/>
        </w:rPr>
      </w:pPr>
    </w:p>
    <w:p w14:paraId="724B6299" w14:textId="76653AC9" w:rsidR="00B8042A" w:rsidRPr="00933CAE" w:rsidRDefault="00E20A5B" w:rsidP="00F41F0B">
      <w:pPr>
        <w:pStyle w:val="Retraitcorpsdetexte2"/>
        <w:ind w:firstLine="0"/>
        <w:jc w:val="both"/>
        <w:rPr>
          <w:szCs w:val="24"/>
        </w:rPr>
      </w:pPr>
      <w:r w:rsidRPr="00933CAE">
        <w:rPr>
          <w:szCs w:val="24"/>
          <w:highlight w:val="yellow"/>
          <w:shd w:val="clear" w:color="auto" w:fill="FFFFFF"/>
        </w:rPr>
        <w:t xml:space="preserve"> Quel est l’autre avis rendu par la Cour concernant la France ?</w:t>
      </w:r>
    </w:p>
    <w:p w14:paraId="724B629A" w14:textId="77777777" w:rsidR="00E06F63" w:rsidRPr="00FE4453" w:rsidRDefault="00E06F63" w:rsidP="000061B5">
      <w:pPr>
        <w:pStyle w:val="Retraitcorpsdetexte2"/>
        <w:jc w:val="both"/>
        <w:rPr>
          <w:szCs w:val="24"/>
        </w:rPr>
      </w:pPr>
      <w:bookmarkStart w:id="1" w:name="_Hlk50365083"/>
    </w:p>
    <w:p w14:paraId="724B629B" w14:textId="77777777" w:rsidR="00F30E2D" w:rsidRPr="00FE4453" w:rsidRDefault="00F30E2D" w:rsidP="000061B5">
      <w:pPr>
        <w:spacing w:line="360" w:lineRule="auto"/>
        <w:ind w:firstLine="284"/>
        <w:jc w:val="both"/>
        <w:rPr>
          <w:b/>
        </w:rPr>
      </w:pPr>
      <w:r w:rsidRPr="00FE4453">
        <w:rPr>
          <w:b/>
        </w:rPr>
        <w:t>Section 2 : La spécificité normative de la Convention européenne des droits de l’homme</w:t>
      </w:r>
    </w:p>
    <w:bookmarkEnd w:id="1"/>
    <w:p w14:paraId="5EBC49AD" w14:textId="1FD8BB66" w:rsidR="00AB37E7" w:rsidRDefault="00601E53" w:rsidP="000061B5">
      <w:pPr>
        <w:pStyle w:val="Retraitcorpsdetexte2"/>
        <w:jc w:val="both"/>
        <w:rPr>
          <w:szCs w:val="24"/>
        </w:rPr>
      </w:pPr>
      <w:r w:rsidRPr="00FE4453">
        <w:rPr>
          <w:szCs w:val="24"/>
        </w:rPr>
        <w:t xml:space="preserve">La source essentielle du droit européen des droits de l’homme qu’est la convention européenne des droits de l’homme exerce une influence incomparable en Europe et dans les Etats membres du Conseil de l’Europe pour différentes raisons dont bien évidemment le contrôle exercé par la Cour européenne des droits de l’homme. Mais la spécificité du texte même, de la norme explique aussi, en amont cette influence d’autant qu’elle est un facteur du contrôle judiciaire dont la convention fait l’objet. Cette spécificité normative </w:t>
      </w:r>
      <w:r w:rsidR="00C96086" w:rsidRPr="00FE4453">
        <w:rPr>
          <w:szCs w:val="24"/>
        </w:rPr>
        <w:t>se manifeste par deux éléments d’une part l’objet même du traité, d’autre part son applicabilité directe.</w:t>
      </w:r>
    </w:p>
    <w:p w14:paraId="589A0109" w14:textId="77777777" w:rsidR="00006D11" w:rsidRPr="00FE4453" w:rsidRDefault="00006D11" w:rsidP="000061B5">
      <w:pPr>
        <w:pStyle w:val="Retraitcorpsdetexte2"/>
        <w:jc w:val="both"/>
        <w:rPr>
          <w:szCs w:val="24"/>
        </w:rPr>
      </w:pPr>
    </w:p>
    <w:p w14:paraId="724B629E" w14:textId="77777777" w:rsidR="00E06F63" w:rsidRPr="00FE4453" w:rsidRDefault="00E74AE1" w:rsidP="000061B5">
      <w:pPr>
        <w:pStyle w:val="Retraitcorpsdetexte2"/>
        <w:jc w:val="both"/>
        <w:rPr>
          <w:b/>
          <w:szCs w:val="24"/>
        </w:rPr>
      </w:pPr>
      <w:bookmarkStart w:id="2" w:name="_Hlk50365109"/>
      <w:r w:rsidRPr="00FE4453">
        <w:rPr>
          <w:b/>
          <w:szCs w:val="24"/>
        </w:rPr>
        <w:t>§1</w:t>
      </w:r>
      <w:r w:rsidR="00E06F63" w:rsidRPr="00FE4453">
        <w:rPr>
          <w:b/>
          <w:szCs w:val="24"/>
        </w:rPr>
        <w:t xml:space="preserve"> L'objet du traité</w:t>
      </w:r>
    </w:p>
    <w:bookmarkEnd w:id="2"/>
    <w:p w14:paraId="724B629F" w14:textId="65ADE9E3" w:rsidR="00E06F63" w:rsidRPr="00FE4453" w:rsidRDefault="00E06F63" w:rsidP="000061B5">
      <w:pPr>
        <w:pStyle w:val="Retraitcorpsdetexte2"/>
        <w:jc w:val="both"/>
        <w:rPr>
          <w:szCs w:val="24"/>
        </w:rPr>
      </w:pPr>
      <w:r w:rsidRPr="00FE4453">
        <w:rPr>
          <w:szCs w:val="24"/>
        </w:rPr>
        <w:t xml:space="preserve">C'est bien parce que l'objet du traité est constitué par les droits de l'homme, dont on considère qu'ils sont des droits universels et objectifs que la convention européenne est un traité particulier dont l'importance est aussi grande. Le caractère objectif des droits de l'homme implique que leur jouissance </w:t>
      </w:r>
      <w:r w:rsidR="00841C1F" w:rsidRPr="00FE4453">
        <w:rPr>
          <w:szCs w:val="24"/>
        </w:rPr>
        <w:t>n’est</w:t>
      </w:r>
      <w:r w:rsidRPr="00FE4453">
        <w:rPr>
          <w:szCs w:val="24"/>
        </w:rPr>
        <w:t xml:space="preserve"> pas subordonnée contrairement aux règles traditionnelles du droit international public au respect de la réciprocité des obligations souscrites. Il ne faut pas non plus ignorer l'aspect symbolique d’un traité concernant les droits de l’homme qui a permis notamment aux autorités françaises d'affirmer lors de sa ratification qu'elle marquait par cet acte à côté des autres pays européens son attachement aux droits de l'homme.</w:t>
      </w:r>
      <w:r w:rsidR="008446E8" w:rsidRPr="00FE4453">
        <w:rPr>
          <w:szCs w:val="24"/>
        </w:rPr>
        <w:t xml:space="preserve"> La convention est plus qu’un simple échange d’engagements interétatiques, elle assure au nom de valeurs communes et supérieures aux Etats la protection des intérêts des individus vivant sous l’autorité nationale et crée des obligations objectives dont le respect s’</w:t>
      </w:r>
      <w:r w:rsidR="00E941A4" w:rsidRPr="00FE4453">
        <w:rPr>
          <w:szCs w:val="24"/>
        </w:rPr>
        <w:t>im</w:t>
      </w:r>
      <w:r w:rsidR="008446E8" w:rsidRPr="00FE4453">
        <w:rPr>
          <w:szCs w:val="24"/>
        </w:rPr>
        <w:t xml:space="preserve">pose aux Etats non pas à titre de contrepartie des droits consentis par les autres Etats lais à raison des engagements pris </w:t>
      </w:r>
      <w:r w:rsidR="00E941A4" w:rsidRPr="00FE4453">
        <w:rPr>
          <w:szCs w:val="24"/>
        </w:rPr>
        <w:t>à l’égard des individus.</w:t>
      </w:r>
      <w:r w:rsidR="00DF0144" w:rsidRPr="00FE4453">
        <w:rPr>
          <w:szCs w:val="24"/>
        </w:rPr>
        <w:t xml:space="preserve"> Instauration d’une sauvegarde collective des droits de l’homme qui singularise la convention</w:t>
      </w:r>
      <w:r w:rsidR="00B80F16" w:rsidRPr="00FE4453">
        <w:rPr>
          <w:szCs w:val="24"/>
        </w:rPr>
        <w:t>.</w:t>
      </w:r>
    </w:p>
    <w:p w14:paraId="724B62A0" w14:textId="3077C0F4" w:rsidR="00B80F16" w:rsidRDefault="00B80F16" w:rsidP="000061B5">
      <w:pPr>
        <w:pStyle w:val="Retraitcorpsdetexte2"/>
        <w:jc w:val="both"/>
        <w:rPr>
          <w:szCs w:val="24"/>
        </w:rPr>
      </w:pPr>
    </w:p>
    <w:p w14:paraId="7D322AB3" w14:textId="6B9CD90F" w:rsidR="00FD7D78" w:rsidRDefault="00FD7D78" w:rsidP="000061B5">
      <w:pPr>
        <w:pStyle w:val="Retraitcorpsdetexte2"/>
        <w:jc w:val="both"/>
        <w:rPr>
          <w:szCs w:val="24"/>
        </w:rPr>
      </w:pPr>
    </w:p>
    <w:p w14:paraId="7B401553" w14:textId="77777777" w:rsidR="00562C76" w:rsidRDefault="00562C76" w:rsidP="000061B5">
      <w:pPr>
        <w:pStyle w:val="Retraitcorpsdetexte2"/>
        <w:jc w:val="both"/>
        <w:rPr>
          <w:szCs w:val="24"/>
        </w:rPr>
      </w:pPr>
    </w:p>
    <w:p w14:paraId="0F2CF433" w14:textId="77777777" w:rsidR="00FD7D78" w:rsidRPr="00FE4453" w:rsidRDefault="00FD7D78" w:rsidP="000061B5">
      <w:pPr>
        <w:pStyle w:val="Retraitcorpsdetexte2"/>
        <w:jc w:val="both"/>
        <w:rPr>
          <w:szCs w:val="24"/>
        </w:rPr>
      </w:pPr>
    </w:p>
    <w:p w14:paraId="4A723FF5" w14:textId="04A78A87" w:rsidR="00841C1F" w:rsidRPr="00FE4453" w:rsidRDefault="00E74AE1" w:rsidP="000061B5">
      <w:pPr>
        <w:pStyle w:val="Retraitcorpsdetexte2"/>
        <w:jc w:val="both"/>
        <w:rPr>
          <w:b/>
          <w:szCs w:val="24"/>
        </w:rPr>
      </w:pPr>
      <w:bookmarkStart w:id="3" w:name="_Hlk207634515"/>
      <w:r w:rsidRPr="00FE4453">
        <w:rPr>
          <w:b/>
          <w:szCs w:val="24"/>
        </w:rPr>
        <w:lastRenderedPageBreak/>
        <w:t>§2</w:t>
      </w:r>
      <w:r w:rsidR="00B8042A" w:rsidRPr="00FE4453">
        <w:rPr>
          <w:b/>
          <w:szCs w:val="24"/>
        </w:rPr>
        <w:t xml:space="preserve"> </w:t>
      </w:r>
      <w:r w:rsidRPr="00FE4453">
        <w:rPr>
          <w:b/>
          <w:szCs w:val="24"/>
        </w:rPr>
        <w:t>:</w:t>
      </w:r>
      <w:r w:rsidR="00E06F63" w:rsidRPr="00FE4453">
        <w:rPr>
          <w:b/>
          <w:szCs w:val="24"/>
        </w:rPr>
        <w:t xml:space="preserve"> </w:t>
      </w:r>
      <w:r w:rsidR="00841C1F" w:rsidRPr="00FE4453">
        <w:rPr>
          <w:b/>
          <w:szCs w:val="24"/>
        </w:rPr>
        <w:t>L’effet direct de la Convention européenne des droits de l’homme</w:t>
      </w:r>
      <w:r w:rsidR="00006D11">
        <w:rPr>
          <w:b/>
          <w:szCs w:val="24"/>
        </w:rPr>
        <w:t xml:space="preserve"> (</w:t>
      </w:r>
      <w:r w:rsidR="00006D11" w:rsidRPr="00FD7D78">
        <w:rPr>
          <w:b/>
          <w:szCs w:val="24"/>
          <w:highlight w:val="yellow"/>
        </w:rPr>
        <w:t>exercice à trou</w:t>
      </w:r>
      <w:r w:rsidR="00006D11">
        <w:rPr>
          <w:b/>
          <w:szCs w:val="24"/>
        </w:rPr>
        <w:t>)</w:t>
      </w:r>
    </w:p>
    <w:p w14:paraId="724B62A2" w14:textId="48B88252" w:rsidR="00E06F63" w:rsidRPr="00FE4453" w:rsidRDefault="00EF6E5E" w:rsidP="000061B5">
      <w:pPr>
        <w:pStyle w:val="Retraitcorpsdetexte2"/>
        <w:jc w:val="both"/>
        <w:rPr>
          <w:szCs w:val="24"/>
        </w:rPr>
      </w:pPr>
      <w:r w:rsidRPr="00FE4453">
        <w:rPr>
          <w:szCs w:val="24"/>
        </w:rPr>
        <w:t xml:space="preserve">L’effet direct permet à tout individu peut se prévaloir d'un des droits qu'elle consacre devant les juridictions nationales. </w:t>
      </w:r>
      <w:r w:rsidR="00247942" w:rsidRPr="00FE4453">
        <w:rPr>
          <w:szCs w:val="24"/>
        </w:rPr>
        <w:t>Selon l’article **</w:t>
      </w:r>
      <w:proofErr w:type="gramStart"/>
      <w:r w:rsidR="00247942" w:rsidRPr="00FE4453">
        <w:rPr>
          <w:szCs w:val="24"/>
        </w:rPr>
        <w:t>*</w:t>
      </w:r>
      <w:r w:rsidR="000534AB" w:rsidRPr="00FE4453">
        <w:rPr>
          <w:szCs w:val="24"/>
        </w:rPr>
        <w:t> ,</w:t>
      </w:r>
      <w:proofErr w:type="gramEnd"/>
      <w:r w:rsidR="000534AB" w:rsidRPr="00FE4453">
        <w:rPr>
          <w:szCs w:val="24"/>
        </w:rPr>
        <w:t xml:space="preserve"> l</w:t>
      </w:r>
      <w:r w:rsidRPr="00FE4453">
        <w:rPr>
          <w:szCs w:val="24"/>
        </w:rPr>
        <w:t>a convention EDH reconnait à</w:t>
      </w:r>
      <w:r w:rsidR="00E06F63" w:rsidRPr="00FE4453">
        <w:rPr>
          <w:szCs w:val="24"/>
        </w:rPr>
        <w:t xml:space="preserve"> </w:t>
      </w:r>
      <w:proofErr w:type="spellStart"/>
      <w:r w:rsidR="00E06F63" w:rsidRPr="00FE4453">
        <w:rPr>
          <w:szCs w:val="24"/>
        </w:rPr>
        <w:t>à</w:t>
      </w:r>
      <w:proofErr w:type="spellEnd"/>
      <w:r w:rsidR="00E06F63" w:rsidRPr="00FE4453">
        <w:rPr>
          <w:szCs w:val="24"/>
        </w:rPr>
        <w:t xml:space="preserve"> toute personne relevant de leur juridiction les droit et libertés définis dans la convention. La ConvEDH est </w:t>
      </w:r>
      <w:r w:rsidR="00601D14" w:rsidRPr="00FE4453">
        <w:rPr>
          <w:szCs w:val="24"/>
        </w:rPr>
        <w:t xml:space="preserve">donc </w:t>
      </w:r>
      <w:r w:rsidR="00E06F63" w:rsidRPr="00FE4453">
        <w:rPr>
          <w:szCs w:val="24"/>
        </w:rPr>
        <w:t xml:space="preserve">directement applicable dans l'ordre juridique interne des Etats qui l'ont incorporée ce qui est le cas de la France. La primauté de la convention européenne en France étant totalement admise de par l'application de l'article </w:t>
      </w:r>
      <w:r w:rsidR="00006D11">
        <w:rPr>
          <w:szCs w:val="24"/>
        </w:rPr>
        <w:t>**</w:t>
      </w:r>
      <w:r w:rsidR="00E06F63" w:rsidRPr="00FE4453">
        <w:rPr>
          <w:szCs w:val="24"/>
        </w:rPr>
        <w:t xml:space="preserve"> de la Constitution et des jurisprudences Jacques Vabre </w:t>
      </w:r>
      <w:r w:rsidR="00262A08" w:rsidRPr="00FE4453">
        <w:rPr>
          <w:szCs w:val="24"/>
        </w:rPr>
        <w:t xml:space="preserve">de 1975 </w:t>
      </w:r>
      <w:r w:rsidR="00E06F63" w:rsidRPr="00FE4453">
        <w:rPr>
          <w:szCs w:val="24"/>
        </w:rPr>
        <w:t xml:space="preserve">et </w:t>
      </w:r>
      <w:proofErr w:type="spellStart"/>
      <w:r w:rsidR="00E06F63" w:rsidRPr="00FE4453">
        <w:rPr>
          <w:szCs w:val="24"/>
        </w:rPr>
        <w:t>Nicol</w:t>
      </w:r>
      <w:r w:rsidR="00F55862" w:rsidRPr="00FE4453">
        <w:rPr>
          <w:szCs w:val="24"/>
        </w:rPr>
        <w:t>o</w:t>
      </w:r>
      <w:proofErr w:type="spellEnd"/>
      <w:r w:rsidR="00262A08" w:rsidRPr="00FE4453">
        <w:rPr>
          <w:szCs w:val="24"/>
        </w:rPr>
        <w:t xml:space="preserve"> de 1989</w:t>
      </w:r>
      <w:r w:rsidR="00E06F63" w:rsidRPr="00FE4453">
        <w:rPr>
          <w:szCs w:val="24"/>
        </w:rPr>
        <w:t xml:space="preserve">. </w:t>
      </w:r>
      <w:r w:rsidR="00006D11">
        <w:rPr>
          <w:szCs w:val="24"/>
        </w:rPr>
        <w:t>Le</w:t>
      </w:r>
      <w:r w:rsidR="00E06F63" w:rsidRPr="00FE4453">
        <w:rPr>
          <w:szCs w:val="24"/>
        </w:rPr>
        <w:t xml:space="preserve"> juge </w:t>
      </w:r>
      <w:r w:rsidR="00006D11">
        <w:rPr>
          <w:szCs w:val="24"/>
        </w:rPr>
        <w:t>*** est donc</w:t>
      </w:r>
      <w:r w:rsidR="00E06F63" w:rsidRPr="00FE4453">
        <w:rPr>
          <w:szCs w:val="24"/>
        </w:rPr>
        <w:t xml:space="preserve"> le juge naturel, de droit commun de la</w:t>
      </w:r>
      <w:r w:rsidR="00006D11">
        <w:rPr>
          <w:szCs w:val="24"/>
        </w:rPr>
        <w:t xml:space="preserve"> mise en œuvre de la</w:t>
      </w:r>
      <w:r w:rsidR="00E06F63" w:rsidRPr="00FE4453">
        <w:rPr>
          <w:szCs w:val="24"/>
        </w:rPr>
        <w:t xml:space="preserve"> </w:t>
      </w:r>
      <w:proofErr w:type="spellStart"/>
      <w:r w:rsidR="00E06F63" w:rsidRPr="00FE4453">
        <w:rPr>
          <w:szCs w:val="24"/>
        </w:rPr>
        <w:t>conv</w:t>
      </w:r>
      <w:proofErr w:type="spellEnd"/>
      <w:r w:rsidR="00E06F63" w:rsidRPr="00FE4453">
        <w:rPr>
          <w:szCs w:val="24"/>
        </w:rPr>
        <w:t xml:space="preserve"> EDH.  Le traité n'est pas seulement une composante du droit objectif : il confère aux individus des droits </w:t>
      </w:r>
      <w:r w:rsidR="00006D11">
        <w:rPr>
          <w:szCs w:val="24"/>
        </w:rPr>
        <w:t>***</w:t>
      </w:r>
      <w:r w:rsidR="00E06F63" w:rsidRPr="00FE4453">
        <w:rPr>
          <w:szCs w:val="24"/>
        </w:rPr>
        <w:t xml:space="preserve"> qu'il</w:t>
      </w:r>
      <w:r w:rsidR="00D82FD8" w:rsidRPr="00FE4453">
        <w:rPr>
          <w:szCs w:val="24"/>
        </w:rPr>
        <w:t>s</w:t>
      </w:r>
      <w:r w:rsidR="00E06F63" w:rsidRPr="00FE4453">
        <w:rPr>
          <w:szCs w:val="24"/>
        </w:rPr>
        <w:t xml:space="preserve"> peuvent faire respecter eux-mêmes. En effet toute personne peut se prévaloir de la convention tant à l'encontre de dispositions normatives du droit </w:t>
      </w:r>
      <w:r w:rsidR="00D82FD8" w:rsidRPr="00FE4453">
        <w:rPr>
          <w:szCs w:val="24"/>
        </w:rPr>
        <w:t xml:space="preserve">interne que d'actes </w:t>
      </w:r>
      <w:r w:rsidR="00006D11">
        <w:rPr>
          <w:szCs w:val="24"/>
        </w:rPr>
        <w:t>***</w:t>
      </w:r>
      <w:r w:rsidR="00D82FD8" w:rsidRPr="00FE4453">
        <w:rPr>
          <w:szCs w:val="24"/>
        </w:rPr>
        <w:t xml:space="preserve"> dès lors qu’elle est victime d’une violation des droits contenus dans la convention.</w:t>
      </w:r>
      <w:r w:rsidR="00262A08" w:rsidRPr="00FE4453">
        <w:rPr>
          <w:szCs w:val="24"/>
        </w:rPr>
        <w:t xml:space="preserve"> Elle peut fonder une action devant un juge interne sur une disposition de la Convention EDH, elle doit même le faire pour pouvoir ensuite saisir la Cour européenne en cas d’échec devant le juge interne</w:t>
      </w:r>
      <w:r w:rsidR="00006D11">
        <w:rPr>
          <w:szCs w:val="24"/>
        </w:rPr>
        <w:t xml:space="preserve"> pour satisfaire la condition ***</w:t>
      </w:r>
      <w:r w:rsidR="00262A08" w:rsidRPr="00FE4453">
        <w:rPr>
          <w:szCs w:val="24"/>
        </w:rPr>
        <w:t>.</w:t>
      </w:r>
    </w:p>
    <w:p w14:paraId="724B62A3" w14:textId="175A0A10" w:rsidR="00D82FD8" w:rsidRPr="00FE4453" w:rsidRDefault="00D82FD8" w:rsidP="000061B5">
      <w:pPr>
        <w:pStyle w:val="Retraitcorpsdetexte2"/>
        <w:jc w:val="both"/>
        <w:rPr>
          <w:szCs w:val="24"/>
        </w:rPr>
      </w:pPr>
      <w:r w:rsidRPr="00FE4453">
        <w:rPr>
          <w:szCs w:val="24"/>
        </w:rPr>
        <w:t xml:space="preserve">Mais la spécificité normative de la ConvEDH si elle contribue à favoriser sa portée n’en est pas loin s’en faut la seule explication, la principale raison de l’influence considérable de la CEDH est le fait qu’elle est le seul traité international </w:t>
      </w:r>
      <w:proofErr w:type="spellStart"/>
      <w:proofErr w:type="gramStart"/>
      <w:r w:rsidRPr="00FE4453">
        <w:rPr>
          <w:szCs w:val="24"/>
        </w:rPr>
        <w:t>a</w:t>
      </w:r>
      <w:proofErr w:type="spellEnd"/>
      <w:proofErr w:type="gramEnd"/>
      <w:r w:rsidRPr="00FE4453">
        <w:rPr>
          <w:szCs w:val="24"/>
        </w:rPr>
        <w:t xml:space="preserve"> faire l’objet d’un contrôle judiciaire à la fois dans les </w:t>
      </w:r>
      <w:r w:rsidR="00006D11">
        <w:rPr>
          <w:szCs w:val="24"/>
        </w:rPr>
        <w:t>***</w:t>
      </w:r>
      <w:r w:rsidRPr="00FE4453">
        <w:rPr>
          <w:szCs w:val="24"/>
        </w:rPr>
        <w:t xml:space="preserve"> et au niveau </w:t>
      </w:r>
      <w:r w:rsidR="00006D11">
        <w:rPr>
          <w:szCs w:val="24"/>
        </w:rPr>
        <w:t>***</w:t>
      </w:r>
      <w:r w:rsidRPr="00FE4453">
        <w:rPr>
          <w:szCs w:val="24"/>
        </w:rPr>
        <w:t xml:space="preserve">, qui peut être </w:t>
      </w:r>
      <w:r w:rsidR="00006D11">
        <w:rPr>
          <w:szCs w:val="24"/>
        </w:rPr>
        <w:t>mis en œuvre</w:t>
      </w:r>
      <w:r w:rsidRPr="00FE4453">
        <w:rPr>
          <w:szCs w:val="24"/>
        </w:rPr>
        <w:t xml:space="preserve"> par les </w:t>
      </w:r>
      <w:r w:rsidR="00006D11">
        <w:rPr>
          <w:szCs w:val="24"/>
        </w:rPr>
        <w:t>***</w:t>
      </w:r>
      <w:r w:rsidRPr="00FE4453">
        <w:rPr>
          <w:szCs w:val="24"/>
        </w:rPr>
        <w:t>.</w:t>
      </w:r>
    </w:p>
    <w:bookmarkEnd w:id="3"/>
    <w:p w14:paraId="724B62A4" w14:textId="77777777" w:rsidR="00B80F16" w:rsidRPr="00FE4453" w:rsidRDefault="00262A08" w:rsidP="000061B5">
      <w:pPr>
        <w:pStyle w:val="Retraitcorpsdetexte2"/>
        <w:jc w:val="both"/>
        <w:rPr>
          <w:szCs w:val="24"/>
        </w:rPr>
      </w:pPr>
      <w:r w:rsidRPr="00FE4453">
        <w:rPr>
          <w:szCs w:val="24"/>
        </w:rPr>
        <w:br w:type="page"/>
      </w:r>
    </w:p>
    <w:p w14:paraId="420F5A1B" w14:textId="06CC0179" w:rsidR="00203DDE" w:rsidRPr="00FE4453" w:rsidRDefault="00054C1C" w:rsidP="000061B5">
      <w:pPr>
        <w:spacing w:line="360" w:lineRule="auto"/>
        <w:ind w:firstLine="284"/>
        <w:jc w:val="both"/>
        <w:rPr>
          <w:b/>
        </w:rPr>
      </w:pPr>
      <w:r w:rsidRPr="00FE4453">
        <w:rPr>
          <w:b/>
        </w:rPr>
        <w:lastRenderedPageBreak/>
        <w:t>Chapitre 2 : Le contrôle judiciaire des droits de l’homme</w:t>
      </w:r>
    </w:p>
    <w:p w14:paraId="5898A574" w14:textId="77777777" w:rsidR="00695716" w:rsidRPr="00FE4453" w:rsidRDefault="00D82FD8" w:rsidP="000061B5">
      <w:pPr>
        <w:pStyle w:val="Retraitcorpsdetexte2"/>
        <w:jc w:val="both"/>
        <w:rPr>
          <w:szCs w:val="24"/>
        </w:rPr>
      </w:pPr>
      <w:r w:rsidRPr="00FE4453">
        <w:rPr>
          <w:szCs w:val="24"/>
        </w:rPr>
        <w:t>Ce qui rend la CEDH unique et si efficace c'est qu'elle s'est dotée d'un mécanisme de contrôle supranationale, autonome.</w:t>
      </w:r>
      <w:r w:rsidR="00CF3147" w:rsidRPr="00FE4453">
        <w:rPr>
          <w:szCs w:val="24"/>
        </w:rPr>
        <w:t xml:space="preserve"> </w:t>
      </w:r>
      <w:r w:rsidR="00695716" w:rsidRPr="00FE4453">
        <w:rPr>
          <w:szCs w:val="24"/>
        </w:rPr>
        <w:t xml:space="preserve">L'influence de la </w:t>
      </w:r>
      <w:proofErr w:type="spellStart"/>
      <w:r w:rsidR="00695716" w:rsidRPr="00FE4453">
        <w:rPr>
          <w:szCs w:val="24"/>
        </w:rPr>
        <w:t>Conv</w:t>
      </w:r>
      <w:proofErr w:type="spellEnd"/>
      <w:r w:rsidR="00695716" w:rsidRPr="00FE4453">
        <w:rPr>
          <w:szCs w:val="24"/>
        </w:rPr>
        <w:t xml:space="preserve"> EDH est surtout fondée et permise par l'instauration dans le traité lui-même d'un organe spécifique supranational de contrôle de l'application du texte. </w:t>
      </w:r>
      <w:r w:rsidR="00CF3147" w:rsidRPr="00FE4453">
        <w:rPr>
          <w:szCs w:val="24"/>
          <w:highlight w:val="yellow"/>
        </w:rPr>
        <w:t>Selon quels articles de la convention ?</w:t>
      </w:r>
      <w:r w:rsidRPr="00FE4453">
        <w:rPr>
          <w:szCs w:val="24"/>
        </w:rPr>
        <w:t xml:space="preserve"> </w:t>
      </w:r>
    </w:p>
    <w:p w14:paraId="724B62A6" w14:textId="6200ED33" w:rsidR="00826EB6" w:rsidRPr="00FE4453" w:rsidRDefault="00826EB6" w:rsidP="000061B5">
      <w:pPr>
        <w:pStyle w:val="Retraitcorpsdetexte2"/>
        <w:jc w:val="both"/>
        <w:rPr>
          <w:szCs w:val="24"/>
        </w:rPr>
      </w:pPr>
      <w:r w:rsidRPr="00FE4453">
        <w:rPr>
          <w:szCs w:val="24"/>
        </w:rPr>
        <w:t xml:space="preserve">Le mécanisme mis en place dans la convention européenne des droits de l’homme et modifié à plusieurs reprises depuis pour faire face à son succès, </w:t>
      </w:r>
      <w:r w:rsidR="001C3CCE" w:rsidRPr="00FE4453">
        <w:rPr>
          <w:szCs w:val="24"/>
        </w:rPr>
        <w:t xml:space="preserve">Le dispositif </w:t>
      </w:r>
      <w:r w:rsidRPr="00FE4453">
        <w:rPr>
          <w:szCs w:val="24"/>
        </w:rPr>
        <w:t xml:space="preserve">est d’autant plus efficace que la Cour européenne s’est elle-même donné les moyens d’exercer une influence considérable sur le droit européen des droits de l’homme. </w:t>
      </w:r>
    </w:p>
    <w:p w14:paraId="724B62A7" w14:textId="77777777" w:rsidR="00A03312" w:rsidRPr="00FE4453" w:rsidRDefault="00A03312" w:rsidP="000061B5">
      <w:pPr>
        <w:pStyle w:val="Retraitcorpsdetexte2"/>
        <w:jc w:val="both"/>
        <w:rPr>
          <w:szCs w:val="24"/>
        </w:rPr>
      </w:pPr>
    </w:p>
    <w:p w14:paraId="724B62A8" w14:textId="77777777" w:rsidR="00826EB6" w:rsidRPr="00FE4453" w:rsidRDefault="00826EB6" w:rsidP="000061B5">
      <w:pPr>
        <w:pStyle w:val="Retraitcorpsdetexte2"/>
        <w:jc w:val="both"/>
        <w:rPr>
          <w:b/>
          <w:szCs w:val="24"/>
        </w:rPr>
      </w:pPr>
      <w:r w:rsidRPr="00FE4453">
        <w:rPr>
          <w:b/>
          <w:szCs w:val="24"/>
        </w:rPr>
        <w:t>Section 1 : Le mécanisme de contrôle contenu dans la Convention européenne des droits de l’homme</w:t>
      </w:r>
    </w:p>
    <w:p w14:paraId="724B62A9" w14:textId="77777777" w:rsidR="00F55862" w:rsidRPr="00FE4453" w:rsidRDefault="00D82FD8" w:rsidP="000061B5">
      <w:pPr>
        <w:pStyle w:val="Retraitcorpsdetexte2"/>
        <w:jc w:val="both"/>
        <w:rPr>
          <w:szCs w:val="24"/>
        </w:rPr>
      </w:pPr>
      <w:r w:rsidRPr="00FE4453">
        <w:rPr>
          <w:szCs w:val="24"/>
        </w:rPr>
        <w:t xml:space="preserve">Alors que le traité initial instituait deux organes : la commission chargée d'examiner la recevabilité des requêtes et la Cour qui statuait une fois la requête admis, le protocole 11 </w:t>
      </w:r>
      <w:r w:rsidR="00F55862" w:rsidRPr="00FE4453">
        <w:rPr>
          <w:szCs w:val="24"/>
        </w:rPr>
        <w:t xml:space="preserve">entrée en vigueur en 1998 </w:t>
      </w:r>
      <w:r w:rsidRPr="00FE4453">
        <w:rPr>
          <w:szCs w:val="24"/>
        </w:rPr>
        <w:t>a modifié ce système en ne conservant que la Cour, réformée</w:t>
      </w:r>
      <w:r w:rsidR="00F55862" w:rsidRPr="00FE4453">
        <w:rPr>
          <w:szCs w:val="24"/>
        </w:rPr>
        <w:t> ;</w:t>
      </w:r>
      <w:r w:rsidRPr="00FE4453">
        <w:rPr>
          <w:szCs w:val="24"/>
        </w:rPr>
        <w:t xml:space="preserve"> </w:t>
      </w:r>
      <w:r w:rsidR="00F55862" w:rsidRPr="00FE4453">
        <w:rPr>
          <w:szCs w:val="24"/>
        </w:rPr>
        <w:t>le protocole 14 qui est entré en vigueur en juin 2010 a instauré un système de filtrage qui limite l’accès à la cour.</w:t>
      </w:r>
    </w:p>
    <w:p w14:paraId="4E3B8F1F" w14:textId="77777777" w:rsidR="00695716" w:rsidRPr="00FE4453" w:rsidRDefault="00695716" w:rsidP="00193050">
      <w:pPr>
        <w:pStyle w:val="Retraitcorpsdetexte2"/>
        <w:ind w:firstLine="0"/>
        <w:jc w:val="both"/>
        <w:rPr>
          <w:szCs w:val="24"/>
        </w:rPr>
      </w:pPr>
    </w:p>
    <w:p w14:paraId="724B62AB" w14:textId="77777777" w:rsidR="00CD6404" w:rsidRPr="00FE4453" w:rsidRDefault="00CD6404" w:rsidP="000061B5">
      <w:pPr>
        <w:pStyle w:val="Retraitcorpsdetexte2"/>
        <w:jc w:val="both"/>
        <w:rPr>
          <w:b/>
          <w:szCs w:val="24"/>
        </w:rPr>
      </w:pPr>
      <w:r w:rsidRPr="00FE4453">
        <w:rPr>
          <w:b/>
          <w:szCs w:val="24"/>
        </w:rPr>
        <w:t xml:space="preserve">§1 La composition de la Cour </w:t>
      </w:r>
    </w:p>
    <w:p w14:paraId="343EE82C" w14:textId="77777777" w:rsidR="00FD7D78" w:rsidRDefault="00D82FD8" w:rsidP="00FD7D78">
      <w:pPr>
        <w:pStyle w:val="Retraitcorpsdetexte2"/>
        <w:jc w:val="both"/>
        <w:rPr>
          <w:szCs w:val="24"/>
        </w:rPr>
      </w:pPr>
      <w:r w:rsidRPr="00FE4453">
        <w:rPr>
          <w:szCs w:val="24"/>
        </w:rPr>
        <w:t>La Cour européenne des droits de l'homme est composée d'un nombre de juge égal à celui des membres du conseil de l'Europe</w:t>
      </w:r>
      <w:r w:rsidR="006655FB" w:rsidRPr="00FE4453">
        <w:rPr>
          <w:szCs w:val="24"/>
        </w:rPr>
        <w:t>.</w:t>
      </w:r>
    </w:p>
    <w:p w14:paraId="724B62AC" w14:textId="36033617" w:rsidR="002B0791" w:rsidRDefault="00F55862" w:rsidP="00FD7D78">
      <w:pPr>
        <w:pStyle w:val="Retraitcorpsdetexte2"/>
        <w:jc w:val="both"/>
        <w:rPr>
          <w:szCs w:val="24"/>
        </w:rPr>
      </w:pPr>
      <w:r w:rsidRPr="00FE4453">
        <w:rPr>
          <w:szCs w:val="24"/>
        </w:rPr>
        <w:t xml:space="preserve">Les juges sont élus pour un mandat de </w:t>
      </w:r>
      <w:r w:rsidR="00193050" w:rsidRPr="00FE4453">
        <w:rPr>
          <w:szCs w:val="24"/>
        </w:rPr>
        <w:t>neufs ans non renouvelables</w:t>
      </w:r>
      <w:r w:rsidR="00CF7468" w:rsidRPr="00FE4453">
        <w:rPr>
          <w:szCs w:val="24"/>
        </w:rPr>
        <w:t xml:space="preserve"> qui depuis le protocole 15 </w:t>
      </w:r>
      <w:r w:rsidR="008D7997" w:rsidRPr="00FE4453">
        <w:rPr>
          <w:szCs w:val="24"/>
        </w:rPr>
        <w:t xml:space="preserve">sera </w:t>
      </w:r>
      <w:r w:rsidR="00A90B7A" w:rsidRPr="00FE4453">
        <w:rPr>
          <w:szCs w:val="24"/>
        </w:rPr>
        <w:t>forcément</w:t>
      </w:r>
      <w:r w:rsidR="008D7997" w:rsidRPr="00FE4453">
        <w:rPr>
          <w:szCs w:val="24"/>
        </w:rPr>
        <w:t xml:space="preserve"> effectué dans son entier puisque désormais </w:t>
      </w:r>
      <w:r w:rsidR="00EA67F3" w:rsidRPr="00FE4453">
        <w:rPr>
          <w:szCs w:val="24"/>
        </w:rPr>
        <w:t xml:space="preserve">un juge doit </w:t>
      </w:r>
      <w:r w:rsidR="00B66FC0" w:rsidRPr="00FE4453">
        <w:rPr>
          <w:szCs w:val="24"/>
        </w:rPr>
        <w:t>être âgé</w:t>
      </w:r>
      <w:r w:rsidR="00EA67F3" w:rsidRPr="00FE4453">
        <w:rPr>
          <w:szCs w:val="24"/>
        </w:rPr>
        <w:t xml:space="preserve"> de moins de 65 ans au début de son </w:t>
      </w:r>
      <w:r w:rsidR="007E3CB8" w:rsidRPr="00FE4453">
        <w:rPr>
          <w:szCs w:val="24"/>
        </w:rPr>
        <w:t>mandat.</w:t>
      </w:r>
      <w:r w:rsidRPr="00FE4453">
        <w:rPr>
          <w:szCs w:val="24"/>
        </w:rPr>
        <w:t xml:space="preserve"> Ils sont élus</w:t>
      </w:r>
      <w:r w:rsidR="00D82FD8" w:rsidRPr="00FE4453">
        <w:rPr>
          <w:szCs w:val="24"/>
        </w:rPr>
        <w:t xml:space="preserve">, par l'Assemblée parlementaire du Conseil de l'Europe sur une liste de trois candidats présentés par chacun des Etats membres. </w:t>
      </w:r>
      <w:r w:rsidRPr="00FE4453">
        <w:rPr>
          <w:szCs w:val="24"/>
        </w:rPr>
        <w:t xml:space="preserve"> La cour </w:t>
      </w:r>
      <w:r w:rsidR="003E3A55" w:rsidRPr="00FE4453">
        <w:rPr>
          <w:szCs w:val="24"/>
        </w:rPr>
        <w:t>est présidée par un des juges élu</w:t>
      </w:r>
      <w:r w:rsidR="00E8209F" w:rsidRPr="00FE4453">
        <w:rPr>
          <w:szCs w:val="24"/>
        </w:rPr>
        <w:t>s</w:t>
      </w:r>
      <w:r w:rsidR="003E3A55" w:rsidRPr="00FE4453">
        <w:rPr>
          <w:szCs w:val="24"/>
        </w:rPr>
        <w:t xml:space="preserve"> par ses pairs.</w:t>
      </w:r>
      <w:r w:rsidRPr="00FE4453">
        <w:rPr>
          <w:szCs w:val="24"/>
        </w:rPr>
        <w:t xml:space="preserve"> </w:t>
      </w:r>
      <w:bookmarkStart w:id="4" w:name="_Hlk207635358"/>
      <w:r w:rsidR="007B3976" w:rsidRPr="00FE4453">
        <w:rPr>
          <w:szCs w:val="24"/>
          <w:highlight w:val="yellow"/>
        </w:rPr>
        <w:t>Quel est le président actuel de la Cour EDH</w:t>
      </w:r>
      <w:bookmarkEnd w:id="4"/>
      <w:r w:rsidR="007B3976" w:rsidRPr="00FE4453">
        <w:rPr>
          <w:szCs w:val="24"/>
          <w:highlight w:val="yellow"/>
        </w:rPr>
        <w:t xml:space="preserve"> ? </w:t>
      </w:r>
      <w:r w:rsidR="00DB0FBC" w:rsidRPr="00FE4453">
        <w:rPr>
          <w:szCs w:val="24"/>
          <w:highlight w:val="yellow"/>
        </w:rPr>
        <w:t xml:space="preserve">Qui est le juge </w:t>
      </w:r>
      <w:r w:rsidR="007B3976" w:rsidRPr="00FE4453">
        <w:rPr>
          <w:szCs w:val="24"/>
          <w:highlight w:val="yellow"/>
        </w:rPr>
        <w:t>fran</w:t>
      </w:r>
      <w:r w:rsidR="00DB0FBC" w:rsidRPr="00FE4453">
        <w:rPr>
          <w:szCs w:val="24"/>
          <w:highlight w:val="yellow"/>
        </w:rPr>
        <w:t>çais ?</w:t>
      </w:r>
    </w:p>
    <w:p w14:paraId="14DDA785" w14:textId="77777777" w:rsidR="00193050" w:rsidRPr="00FE4453" w:rsidRDefault="00193050" w:rsidP="000061B5">
      <w:pPr>
        <w:pStyle w:val="Retraitcorpsdetexte2"/>
        <w:jc w:val="both"/>
        <w:rPr>
          <w:szCs w:val="24"/>
        </w:rPr>
      </w:pPr>
    </w:p>
    <w:p w14:paraId="724B62AF" w14:textId="2D5BF871" w:rsidR="00CA1748" w:rsidRPr="00FE4453" w:rsidRDefault="003E6507" w:rsidP="000061B5">
      <w:pPr>
        <w:pStyle w:val="Retraitcorpsdetexte2"/>
        <w:ind w:firstLine="0"/>
        <w:jc w:val="both"/>
        <w:rPr>
          <w:szCs w:val="24"/>
        </w:rPr>
      </w:pPr>
      <w:r w:rsidRPr="00FE4453">
        <w:rPr>
          <w:szCs w:val="24"/>
        </w:rPr>
        <w:t>L</w:t>
      </w:r>
      <w:r w:rsidR="00CA1748" w:rsidRPr="00FE4453">
        <w:rPr>
          <w:szCs w:val="24"/>
        </w:rPr>
        <w:t xml:space="preserve">a cour comporte 4 formations contentieuses </w:t>
      </w:r>
    </w:p>
    <w:p w14:paraId="724B62B0" w14:textId="77777777" w:rsidR="00CA1748" w:rsidRPr="00FE4453" w:rsidRDefault="00CA1748" w:rsidP="000061B5">
      <w:pPr>
        <w:pStyle w:val="Retraitcorpsdetexte2"/>
        <w:numPr>
          <w:ilvl w:val="0"/>
          <w:numId w:val="1"/>
        </w:numPr>
        <w:jc w:val="both"/>
        <w:rPr>
          <w:szCs w:val="24"/>
        </w:rPr>
      </w:pPr>
      <w:r w:rsidRPr="00FE4453">
        <w:rPr>
          <w:szCs w:val="24"/>
        </w:rPr>
        <w:t>Le juge unique qui a pour fonction de rejeter une requête individuelle manifestement irrecevable</w:t>
      </w:r>
    </w:p>
    <w:p w14:paraId="724B62B1" w14:textId="469F8DD5" w:rsidR="00CA1748" w:rsidRPr="00FE4453" w:rsidRDefault="00CA1748" w:rsidP="000061B5">
      <w:pPr>
        <w:pStyle w:val="Retraitcorpsdetexte2"/>
        <w:numPr>
          <w:ilvl w:val="0"/>
          <w:numId w:val="1"/>
        </w:numPr>
        <w:jc w:val="both"/>
        <w:rPr>
          <w:szCs w:val="24"/>
        </w:rPr>
      </w:pPr>
      <w:r w:rsidRPr="00FE4453">
        <w:rPr>
          <w:szCs w:val="24"/>
        </w:rPr>
        <w:t xml:space="preserve">Le comité de trois juges qui a une double compétence : rejeter à l’unanimité une requête individuelle manifestement </w:t>
      </w:r>
      <w:r w:rsidR="009C58A3" w:rsidRPr="00FE4453">
        <w:rPr>
          <w:szCs w:val="24"/>
        </w:rPr>
        <w:t>irrecevable</w:t>
      </w:r>
      <w:r w:rsidRPr="00FE4453">
        <w:rPr>
          <w:szCs w:val="24"/>
        </w:rPr>
        <w:t xml:space="preserve"> et dans un même arrêt, déclarer la requête </w:t>
      </w:r>
      <w:r w:rsidRPr="00FE4453">
        <w:rPr>
          <w:szCs w:val="24"/>
        </w:rPr>
        <w:lastRenderedPageBreak/>
        <w:t xml:space="preserve">recevable, statuer au fond dès lors que l’affaire fait l’objet d’une jurisprudence bien établie de la </w:t>
      </w:r>
      <w:r w:rsidR="004A1FA5" w:rsidRPr="00FE4453">
        <w:rPr>
          <w:szCs w:val="24"/>
        </w:rPr>
        <w:t>Cour européenne</w:t>
      </w:r>
      <w:r w:rsidRPr="00FE4453">
        <w:rPr>
          <w:szCs w:val="24"/>
        </w:rPr>
        <w:t>.</w:t>
      </w:r>
    </w:p>
    <w:p w14:paraId="724B62B2" w14:textId="1FF64DDC" w:rsidR="00CA1748" w:rsidRPr="00FE4453" w:rsidRDefault="00CA1748" w:rsidP="000061B5">
      <w:pPr>
        <w:pStyle w:val="Retraitcorpsdetexte2"/>
        <w:numPr>
          <w:ilvl w:val="0"/>
          <w:numId w:val="1"/>
        </w:numPr>
        <w:jc w:val="both"/>
        <w:rPr>
          <w:szCs w:val="24"/>
        </w:rPr>
      </w:pPr>
      <w:r w:rsidRPr="00FE4453">
        <w:rPr>
          <w:szCs w:val="24"/>
        </w:rPr>
        <w:t>La chambre de 7 juges : formation ordinaire de la cour compétente pour examiner la recevabilité de la requête et la juger au fond</w:t>
      </w:r>
    </w:p>
    <w:p w14:paraId="7DE449B0" w14:textId="6C5DB553" w:rsidR="00F34D2E" w:rsidRDefault="00CA1748" w:rsidP="000061B5">
      <w:pPr>
        <w:pStyle w:val="Retraitcorpsdetexte2"/>
        <w:numPr>
          <w:ilvl w:val="0"/>
          <w:numId w:val="1"/>
        </w:numPr>
        <w:ind w:firstLine="0"/>
        <w:jc w:val="both"/>
        <w:rPr>
          <w:szCs w:val="24"/>
        </w:rPr>
      </w:pPr>
      <w:r w:rsidRPr="00FE4453">
        <w:rPr>
          <w:szCs w:val="24"/>
        </w:rPr>
        <w:t>La grande chambre de 17 juges qui est la formation supérieure de jugement chargée de veiller à la cohérence et à la continuité de la jurisprudence de la cour, saisie en appel ou directement lor</w:t>
      </w:r>
      <w:r w:rsidR="005062F3" w:rsidRPr="00FE4453">
        <w:rPr>
          <w:szCs w:val="24"/>
        </w:rPr>
        <w:t>s</w:t>
      </w:r>
      <w:r w:rsidRPr="00FE4453">
        <w:rPr>
          <w:szCs w:val="24"/>
        </w:rPr>
        <w:t>que la question l’exige.</w:t>
      </w:r>
      <w:r w:rsidR="005062F3" w:rsidRPr="00FE4453">
        <w:rPr>
          <w:szCs w:val="24"/>
        </w:rPr>
        <w:t xml:space="preserve"> </w:t>
      </w:r>
    </w:p>
    <w:p w14:paraId="62022D15" w14:textId="77777777" w:rsidR="00FD7D78" w:rsidRPr="00FE4453" w:rsidRDefault="00FD7D78" w:rsidP="000061B5">
      <w:pPr>
        <w:pStyle w:val="Retraitcorpsdetexte2"/>
        <w:numPr>
          <w:ilvl w:val="0"/>
          <w:numId w:val="1"/>
        </w:numPr>
        <w:ind w:firstLine="0"/>
        <w:jc w:val="both"/>
        <w:rPr>
          <w:szCs w:val="24"/>
        </w:rPr>
      </w:pPr>
    </w:p>
    <w:p w14:paraId="7DBC24B1" w14:textId="08886941" w:rsidR="007E3CB8" w:rsidRDefault="00F34D2E" w:rsidP="000061B5">
      <w:pPr>
        <w:pStyle w:val="Retraitcorpsdetexte2"/>
        <w:ind w:left="644" w:firstLine="0"/>
        <w:jc w:val="both"/>
        <w:rPr>
          <w:i/>
          <w:iCs/>
          <w:szCs w:val="24"/>
        </w:rPr>
      </w:pPr>
      <w:r w:rsidRPr="00FE4453">
        <w:rPr>
          <w:i/>
          <w:iCs/>
          <w:szCs w:val="24"/>
        </w:rPr>
        <w:t>ARTICLE 30 Dessaisissement en faveur de la Grande Chambre Si l’affaire pendante devant une chambre soulève une question grave relative à l’interprétation de la Convention ou de ses Protocoles, ou si la solution d’une question peut conduire à une contradiction avec un arrêt rendu antérieurement par la Cour, la chambre peut, tant qu’elle n’a pas rendu son arrêt, se dessaisir au profit de la Grande Chambre.</w:t>
      </w:r>
    </w:p>
    <w:p w14:paraId="743AA84B" w14:textId="77777777" w:rsidR="00FD7D78" w:rsidRPr="00FE4453" w:rsidRDefault="00FD7D78" w:rsidP="000061B5">
      <w:pPr>
        <w:pStyle w:val="Retraitcorpsdetexte2"/>
        <w:ind w:left="644" w:firstLine="0"/>
        <w:jc w:val="both"/>
        <w:rPr>
          <w:i/>
          <w:iCs/>
          <w:szCs w:val="24"/>
        </w:rPr>
      </w:pPr>
    </w:p>
    <w:p w14:paraId="724B62B4" w14:textId="57FC05C3" w:rsidR="00855603" w:rsidRPr="00FE4453" w:rsidRDefault="00D82FD8" w:rsidP="000061B5">
      <w:pPr>
        <w:pStyle w:val="Retraitcorpsdetexte2"/>
        <w:jc w:val="both"/>
        <w:rPr>
          <w:szCs w:val="24"/>
        </w:rPr>
      </w:pPr>
      <w:r w:rsidRPr="00FE4453">
        <w:rPr>
          <w:szCs w:val="24"/>
        </w:rPr>
        <w:t xml:space="preserve">A côté de sa fonction contentieuse </w:t>
      </w:r>
      <w:r w:rsidR="00CD6404" w:rsidRPr="00FE4453">
        <w:rPr>
          <w:szCs w:val="24"/>
        </w:rPr>
        <w:t>la cour</w:t>
      </w:r>
      <w:r w:rsidRPr="00FE4453">
        <w:rPr>
          <w:szCs w:val="24"/>
        </w:rPr>
        <w:t xml:space="preserve"> e</w:t>
      </w:r>
      <w:r w:rsidR="00CD6404" w:rsidRPr="00FE4453">
        <w:rPr>
          <w:szCs w:val="24"/>
        </w:rPr>
        <w:t>xerce une fonction consultative qui reste évidemment secondaire par rapport à la première.</w:t>
      </w:r>
      <w:r w:rsidR="004366E8" w:rsidRPr="00FE4453">
        <w:rPr>
          <w:szCs w:val="24"/>
        </w:rPr>
        <w:t xml:space="preserve"> L’article 47 de la CEDH lui confère ainsi des attributions consultatives relatives à l’interprétation de la convention et ses protocoles dont l’étendue est très réduite dans la mesure où seul le comité des min</w:t>
      </w:r>
      <w:r w:rsidR="00F824F3" w:rsidRPr="00FE4453">
        <w:rPr>
          <w:szCs w:val="24"/>
        </w:rPr>
        <w:t>istres peut la saisir pour avis.</w:t>
      </w:r>
    </w:p>
    <w:p w14:paraId="1F9E516C" w14:textId="77777777" w:rsidR="00DA7A17" w:rsidRPr="00FE4453" w:rsidRDefault="00DA7A17" w:rsidP="007A0DAF">
      <w:pPr>
        <w:pStyle w:val="Retraitcorpsdetexte2"/>
        <w:ind w:firstLine="0"/>
        <w:jc w:val="both"/>
        <w:rPr>
          <w:szCs w:val="24"/>
        </w:rPr>
      </w:pPr>
    </w:p>
    <w:p w14:paraId="724B62B6" w14:textId="1371BF7A" w:rsidR="00855603" w:rsidRPr="00FE4453" w:rsidRDefault="00855603" w:rsidP="000061B5">
      <w:pPr>
        <w:pStyle w:val="Retraitcorpsdetexte2"/>
        <w:jc w:val="both"/>
        <w:rPr>
          <w:b/>
          <w:szCs w:val="24"/>
        </w:rPr>
      </w:pPr>
      <w:r w:rsidRPr="00FE4453">
        <w:rPr>
          <w:b/>
          <w:szCs w:val="24"/>
        </w:rPr>
        <w:t xml:space="preserve">§ 2 : </w:t>
      </w:r>
      <w:r w:rsidR="00FB409C" w:rsidRPr="00FE4453">
        <w:rPr>
          <w:b/>
          <w:szCs w:val="24"/>
        </w:rPr>
        <w:t>La c</w:t>
      </w:r>
      <w:r w:rsidRPr="00FE4453">
        <w:rPr>
          <w:b/>
          <w:szCs w:val="24"/>
        </w:rPr>
        <w:t xml:space="preserve">ompétence de la </w:t>
      </w:r>
      <w:r w:rsidR="004A1FA5" w:rsidRPr="00FE4453">
        <w:rPr>
          <w:b/>
          <w:szCs w:val="24"/>
        </w:rPr>
        <w:t>Cour européenne</w:t>
      </w:r>
      <w:r w:rsidRPr="00FE4453">
        <w:rPr>
          <w:b/>
          <w:szCs w:val="24"/>
        </w:rPr>
        <w:t xml:space="preserve"> des droits de l’homme</w:t>
      </w:r>
    </w:p>
    <w:p w14:paraId="724B62B8" w14:textId="2103EC23" w:rsidR="00654782" w:rsidRPr="00FE4453" w:rsidRDefault="00E20B13" w:rsidP="000061B5">
      <w:pPr>
        <w:pStyle w:val="Retraitcorpsdetexte2"/>
        <w:jc w:val="both"/>
        <w:rPr>
          <w:szCs w:val="24"/>
        </w:rPr>
      </w:pPr>
      <w:r w:rsidRPr="00FE4453">
        <w:rPr>
          <w:szCs w:val="24"/>
        </w:rPr>
        <w:t xml:space="preserve">L’article 32 de la convention fonde en des termes très larges la compétence </w:t>
      </w:r>
      <w:proofErr w:type="spellStart"/>
      <w:r w:rsidRPr="00FE4453">
        <w:rPr>
          <w:i/>
          <w:iCs/>
          <w:szCs w:val="24"/>
        </w:rPr>
        <w:t>ratione</w:t>
      </w:r>
      <w:proofErr w:type="spellEnd"/>
      <w:r w:rsidRPr="00FE4453">
        <w:rPr>
          <w:i/>
          <w:iCs/>
          <w:szCs w:val="24"/>
        </w:rPr>
        <w:t xml:space="preserve"> materiae</w:t>
      </w:r>
      <w:r w:rsidRPr="00FE4453">
        <w:rPr>
          <w:szCs w:val="24"/>
        </w:rPr>
        <w:t xml:space="preserve"> de la cour qui s‘étend à toutes les affaires concernant l’interprétation et l’application de la convention et de ses protocoles additionnels ; la cour a affirmé très nettement sa plénitude de juridiction et considère qu’un fois qu’elle est régulièrement saisie elle peut connaître de chacun des problèmes de droit qui surgissent en </w:t>
      </w:r>
      <w:r w:rsidR="006B6C86" w:rsidRPr="00FE4453">
        <w:rPr>
          <w:szCs w:val="24"/>
        </w:rPr>
        <w:t>cours</w:t>
      </w:r>
      <w:r w:rsidRPr="00FE4453">
        <w:rPr>
          <w:szCs w:val="24"/>
        </w:rPr>
        <w:t xml:space="preserve"> d’instance à pr</w:t>
      </w:r>
      <w:r w:rsidR="00F37263" w:rsidRPr="00FE4453">
        <w:rPr>
          <w:szCs w:val="24"/>
        </w:rPr>
        <w:t>opos</w:t>
      </w:r>
      <w:r w:rsidRPr="00FE4453">
        <w:rPr>
          <w:szCs w:val="24"/>
        </w:rPr>
        <w:t xml:space="preserve"> des faits soumis à son contrôle.</w:t>
      </w:r>
      <w:r w:rsidR="006B6C86" w:rsidRPr="00FE4453">
        <w:rPr>
          <w:szCs w:val="24"/>
        </w:rPr>
        <w:t xml:space="preserve"> M</w:t>
      </w:r>
      <w:r w:rsidRPr="00FE4453">
        <w:rPr>
          <w:szCs w:val="24"/>
        </w:rPr>
        <w:t xml:space="preserve">aîtresse de la qualification juridique à donner à ces faits, </w:t>
      </w:r>
      <w:r w:rsidR="006B6C86" w:rsidRPr="00FE4453">
        <w:rPr>
          <w:szCs w:val="24"/>
        </w:rPr>
        <w:t>la cour est compétente</w:t>
      </w:r>
      <w:r w:rsidRPr="00FE4453">
        <w:rPr>
          <w:szCs w:val="24"/>
        </w:rPr>
        <w:t xml:space="preserve"> pour les examiner si elle le juge nécessaire et au besoin à la lumière de l’ensemble de la convention sans être limitée par les dispositions invoquées par les parties. Par ailleurs la cour est juge de sa propre compétence </w:t>
      </w:r>
      <w:r w:rsidR="00526526" w:rsidRPr="00FE4453">
        <w:rPr>
          <w:szCs w:val="24"/>
        </w:rPr>
        <w:t>l’article 32 de la convention disposant qu’en cas de contestation sur le point de savoir si la cour est compétente, la cour décide.</w:t>
      </w:r>
    </w:p>
    <w:p w14:paraId="724B62BC" w14:textId="0957429B" w:rsidR="00EF13C5" w:rsidRDefault="00EF13C5" w:rsidP="000061B5">
      <w:pPr>
        <w:pStyle w:val="Retraitcorpsdetexte2"/>
        <w:ind w:firstLine="0"/>
        <w:jc w:val="both"/>
        <w:rPr>
          <w:szCs w:val="24"/>
        </w:rPr>
      </w:pPr>
    </w:p>
    <w:p w14:paraId="73A2E370" w14:textId="4AFC2331" w:rsidR="00FD7D78" w:rsidRDefault="00FD7D78" w:rsidP="000061B5">
      <w:pPr>
        <w:pStyle w:val="Retraitcorpsdetexte2"/>
        <w:ind w:firstLine="0"/>
        <w:jc w:val="both"/>
        <w:rPr>
          <w:szCs w:val="24"/>
        </w:rPr>
      </w:pPr>
    </w:p>
    <w:p w14:paraId="45DEF108" w14:textId="14D19EC5" w:rsidR="00FD7D78" w:rsidRDefault="00FD7D78" w:rsidP="000061B5">
      <w:pPr>
        <w:pStyle w:val="Retraitcorpsdetexte2"/>
        <w:ind w:firstLine="0"/>
        <w:jc w:val="both"/>
        <w:rPr>
          <w:szCs w:val="24"/>
        </w:rPr>
      </w:pPr>
    </w:p>
    <w:p w14:paraId="48C49D65" w14:textId="77777777" w:rsidR="00FD7D78" w:rsidRPr="00FE4453" w:rsidRDefault="00FD7D78" w:rsidP="000061B5">
      <w:pPr>
        <w:pStyle w:val="Retraitcorpsdetexte2"/>
        <w:ind w:firstLine="0"/>
        <w:jc w:val="both"/>
        <w:rPr>
          <w:szCs w:val="24"/>
        </w:rPr>
      </w:pPr>
    </w:p>
    <w:p w14:paraId="724B62BD" w14:textId="5E2947DD" w:rsidR="008A1B22" w:rsidRPr="00FE4453" w:rsidRDefault="00E24AF6" w:rsidP="000061B5">
      <w:pPr>
        <w:pStyle w:val="Retraitcorpsdetexte2"/>
        <w:jc w:val="both"/>
        <w:rPr>
          <w:b/>
          <w:szCs w:val="24"/>
        </w:rPr>
      </w:pPr>
      <w:r w:rsidRPr="00FE4453">
        <w:rPr>
          <w:b/>
          <w:szCs w:val="24"/>
        </w:rPr>
        <w:lastRenderedPageBreak/>
        <w:t>§3</w:t>
      </w:r>
      <w:r w:rsidR="00CD6404" w:rsidRPr="00FE4453">
        <w:rPr>
          <w:b/>
          <w:szCs w:val="24"/>
        </w:rPr>
        <w:t xml:space="preserve"> </w:t>
      </w:r>
      <w:r w:rsidR="00D82FD8" w:rsidRPr="00FE4453">
        <w:rPr>
          <w:b/>
          <w:szCs w:val="24"/>
        </w:rPr>
        <w:t>La procédure devant la Cour eu</w:t>
      </w:r>
      <w:r w:rsidR="00436B73" w:rsidRPr="00FE4453">
        <w:rPr>
          <w:b/>
          <w:szCs w:val="24"/>
        </w:rPr>
        <w:t>ropéenne des droits de l'homme</w:t>
      </w:r>
      <w:r w:rsidR="005F009A" w:rsidRPr="00FE4453">
        <w:rPr>
          <w:b/>
          <w:szCs w:val="24"/>
        </w:rPr>
        <w:t xml:space="preserve"> </w:t>
      </w:r>
    </w:p>
    <w:p w14:paraId="724B62BE" w14:textId="77777777" w:rsidR="008A1B22" w:rsidRPr="00FE4453" w:rsidRDefault="008A1B22" w:rsidP="000061B5">
      <w:pPr>
        <w:pStyle w:val="Retraitcorpsdetexte2"/>
        <w:jc w:val="both"/>
        <w:rPr>
          <w:szCs w:val="24"/>
        </w:rPr>
      </w:pPr>
      <w:r w:rsidRPr="00FE4453">
        <w:rPr>
          <w:szCs w:val="24"/>
        </w:rPr>
        <w:t>La procédure devant la cour est écrite au stade de la recevabilité et orale pour l’examen au fond ; la cour a le pouvoir d’entendre toute pe</w:t>
      </w:r>
      <w:r w:rsidR="00587622" w:rsidRPr="00FE4453">
        <w:rPr>
          <w:szCs w:val="24"/>
        </w:rPr>
        <w:t>r</w:t>
      </w:r>
      <w:r w:rsidRPr="00FE4453">
        <w:rPr>
          <w:szCs w:val="24"/>
        </w:rPr>
        <w:t>sonne en qualité de témoin ou d’expert ; elle peut procéder à une visite des lieux</w:t>
      </w:r>
      <w:r w:rsidR="005062F3" w:rsidRPr="00FE4453">
        <w:rPr>
          <w:szCs w:val="24"/>
        </w:rPr>
        <w:t>.</w:t>
      </w:r>
    </w:p>
    <w:p w14:paraId="3FAB51C6" w14:textId="77777777" w:rsidR="002067BF" w:rsidRPr="00FE4453" w:rsidRDefault="00CD6404" w:rsidP="000061B5">
      <w:pPr>
        <w:pStyle w:val="Retraitcorpsdetexte2"/>
        <w:numPr>
          <w:ilvl w:val="0"/>
          <w:numId w:val="2"/>
        </w:numPr>
        <w:jc w:val="both"/>
        <w:rPr>
          <w:szCs w:val="24"/>
        </w:rPr>
      </w:pPr>
      <w:r w:rsidRPr="00FE4453">
        <w:rPr>
          <w:b/>
          <w:szCs w:val="24"/>
        </w:rPr>
        <w:t>La saisine de la Cour</w:t>
      </w:r>
      <w:r w:rsidR="00B34890" w:rsidRPr="00FE4453">
        <w:rPr>
          <w:b/>
          <w:szCs w:val="24"/>
        </w:rPr>
        <w:t> </w:t>
      </w:r>
    </w:p>
    <w:p w14:paraId="724B62C2" w14:textId="2551FAB5" w:rsidR="0066709E" w:rsidRPr="00FE4453" w:rsidRDefault="00187D94" w:rsidP="000061B5">
      <w:pPr>
        <w:pStyle w:val="Retraitcorpsdetexte2"/>
        <w:jc w:val="both"/>
        <w:rPr>
          <w:szCs w:val="24"/>
        </w:rPr>
      </w:pPr>
      <w:r w:rsidRPr="00FE4453">
        <w:rPr>
          <w:szCs w:val="24"/>
        </w:rPr>
        <w:t>La Cour peut être saisie d'une requête par toute personne physique, toute organisation non gouvernementale ou tout groupe de particuliers qui se prétend victime d'une violation par l'une des Hautes Parties contractantes des droits reconnus dans la Convention ou ses Protocoles</w:t>
      </w:r>
      <w:r w:rsidR="002067BF" w:rsidRPr="00FE4453">
        <w:rPr>
          <w:szCs w:val="24"/>
        </w:rPr>
        <w:t>.</w:t>
      </w:r>
    </w:p>
    <w:p w14:paraId="3E43F246" w14:textId="77777777" w:rsidR="002067BF" w:rsidRPr="00FE4453" w:rsidRDefault="002067BF" w:rsidP="000061B5">
      <w:pPr>
        <w:pStyle w:val="Retraitcorpsdetexte2"/>
        <w:jc w:val="both"/>
        <w:rPr>
          <w:szCs w:val="24"/>
        </w:rPr>
      </w:pPr>
    </w:p>
    <w:p w14:paraId="724B62C3" w14:textId="107DBE7E" w:rsidR="0066709E" w:rsidRPr="00FE4453" w:rsidRDefault="002067BF" w:rsidP="000061B5">
      <w:pPr>
        <w:pStyle w:val="Retraitcorpsdetexte2"/>
        <w:jc w:val="both"/>
        <w:rPr>
          <w:b/>
          <w:bCs/>
          <w:szCs w:val="24"/>
        </w:rPr>
      </w:pPr>
      <w:bookmarkStart w:id="5" w:name="_Hlk50365540"/>
      <w:r w:rsidRPr="00FE4453">
        <w:rPr>
          <w:b/>
          <w:bCs/>
          <w:szCs w:val="24"/>
        </w:rPr>
        <w:t>1° Les différentes requêtes</w:t>
      </w:r>
      <w:bookmarkEnd w:id="5"/>
    </w:p>
    <w:p w14:paraId="7B31B561" w14:textId="77777777" w:rsidR="002067BF" w:rsidRPr="00FE4453" w:rsidRDefault="002067BF" w:rsidP="000061B5">
      <w:pPr>
        <w:pStyle w:val="Retraitcorpsdetexte2"/>
        <w:numPr>
          <w:ilvl w:val="0"/>
          <w:numId w:val="1"/>
        </w:numPr>
        <w:jc w:val="both"/>
        <w:rPr>
          <w:b/>
          <w:bCs/>
          <w:szCs w:val="24"/>
        </w:rPr>
      </w:pPr>
      <w:r w:rsidRPr="00FE4453">
        <w:rPr>
          <w:b/>
          <w:bCs/>
          <w:szCs w:val="24"/>
        </w:rPr>
        <w:t xml:space="preserve">Le recours individuel </w:t>
      </w:r>
    </w:p>
    <w:p w14:paraId="57860D48" w14:textId="77777777" w:rsidR="0083789B" w:rsidRPr="00FE4453" w:rsidRDefault="00CD6404" w:rsidP="000061B5">
      <w:pPr>
        <w:pStyle w:val="Retraitcorpsdetexte2"/>
        <w:jc w:val="both"/>
        <w:rPr>
          <w:szCs w:val="24"/>
        </w:rPr>
      </w:pPr>
      <w:r w:rsidRPr="00FE4453">
        <w:rPr>
          <w:szCs w:val="24"/>
        </w:rPr>
        <w:t xml:space="preserve">En </w:t>
      </w:r>
      <w:smartTag w:uri="urn:schemas-microsoft-com:office:smarttags" w:element="metricconverter">
        <w:smartTagPr>
          <w:attr w:name="ProductID" w:val="1950 l"/>
        </w:smartTagPr>
        <w:r w:rsidRPr="00FE4453">
          <w:rPr>
            <w:szCs w:val="24"/>
          </w:rPr>
          <w:t>1950 l</w:t>
        </w:r>
      </w:smartTag>
      <w:r w:rsidRPr="00FE4453">
        <w:rPr>
          <w:szCs w:val="24"/>
        </w:rPr>
        <w:t xml:space="preserve">'ouverture aux particuliers d'un droit d'action directe devant un organe international était une telle nouveauté que l'acceptation de ce recours par les Etats était facultative. </w:t>
      </w:r>
      <w:r w:rsidR="000A0679" w:rsidRPr="00FE4453">
        <w:rPr>
          <w:szCs w:val="24"/>
        </w:rPr>
        <w:t>Elle est devenue obligatoire</w:t>
      </w:r>
      <w:r w:rsidR="0083789B" w:rsidRPr="00FE4453">
        <w:rPr>
          <w:szCs w:val="24"/>
        </w:rPr>
        <w:t>. La compétence contentieuse de la Cour européenne des droits de l’homme ne s’impose aux Etats que depuis 1998, l’adhésion à la convention emportant par elle-même reconnaissance de la compétence obligatoire de la cour alors que les Etats pouvaient l’écarter auparavant.</w:t>
      </w:r>
    </w:p>
    <w:p w14:paraId="00BF6492" w14:textId="6822C64D" w:rsidR="000A0679" w:rsidRPr="00FE4453" w:rsidRDefault="0083789B" w:rsidP="0075742E">
      <w:pPr>
        <w:pStyle w:val="Retraitcorpsdetexte2"/>
        <w:jc w:val="both"/>
        <w:rPr>
          <w:szCs w:val="24"/>
        </w:rPr>
      </w:pPr>
      <w:r w:rsidRPr="00FE4453">
        <w:rPr>
          <w:szCs w:val="24"/>
        </w:rPr>
        <w:t xml:space="preserve"> </w:t>
      </w:r>
      <w:r w:rsidRPr="00FE4453">
        <w:rPr>
          <w:szCs w:val="24"/>
          <w:highlight w:val="yellow"/>
        </w:rPr>
        <w:t>Qu’en est-il de la France </w:t>
      </w:r>
      <w:r w:rsidRPr="00FE4453">
        <w:rPr>
          <w:szCs w:val="24"/>
        </w:rPr>
        <w:t>?</w:t>
      </w:r>
      <w:r w:rsidR="00DE592D">
        <w:rPr>
          <w:szCs w:val="24"/>
        </w:rPr>
        <w:t xml:space="preserve"> </w:t>
      </w:r>
    </w:p>
    <w:p w14:paraId="18BEE4CF" w14:textId="390F1DE3" w:rsidR="00952336" w:rsidRPr="00FE4453" w:rsidRDefault="00CD6404" w:rsidP="000061B5">
      <w:pPr>
        <w:pStyle w:val="Retraitcorpsdetexte2"/>
        <w:jc w:val="both"/>
        <w:rPr>
          <w:szCs w:val="24"/>
        </w:rPr>
      </w:pPr>
      <w:r w:rsidRPr="00FE4453">
        <w:rPr>
          <w:szCs w:val="24"/>
        </w:rPr>
        <w:t>Le recours individuel est l</w:t>
      </w:r>
      <w:r w:rsidR="00436B73" w:rsidRPr="00FE4453">
        <w:rPr>
          <w:szCs w:val="24"/>
        </w:rPr>
        <w:t>a</w:t>
      </w:r>
      <w:r w:rsidRPr="00FE4453">
        <w:rPr>
          <w:szCs w:val="24"/>
        </w:rPr>
        <w:t xml:space="preserve"> pierre angulaire du mécanisme de sauvegarde institué par la CEDH. Le droit de recours individuel est reconnu à toute personne</w:t>
      </w:r>
      <w:r w:rsidR="000A0679" w:rsidRPr="00FE4453">
        <w:rPr>
          <w:szCs w:val="24"/>
        </w:rPr>
        <w:t xml:space="preserve"> physique ou morale</w:t>
      </w:r>
      <w:r w:rsidRPr="00FE4453">
        <w:rPr>
          <w:szCs w:val="24"/>
        </w:rPr>
        <w:t>, toute organisation non gouvernementale ou tout groupe de particulier</w:t>
      </w:r>
      <w:r w:rsidR="00A3535F" w:rsidRPr="00FE4453">
        <w:rPr>
          <w:szCs w:val="24"/>
        </w:rPr>
        <w:t>s</w:t>
      </w:r>
      <w:r w:rsidRPr="00FE4453">
        <w:rPr>
          <w:szCs w:val="24"/>
        </w:rPr>
        <w:t xml:space="preserve">. </w:t>
      </w:r>
    </w:p>
    <w:p w14:paraId="4A4BC1F7" w14:textId="77777777" w:rsidR="00952336" w:rsidRPr="00FE4453" w:rsidRDefault="00952336" w:rsidP="000061B5">
      <w:pPr>
        <w:pStyle w:val="Retraitcorpsdetexte2"/>
        <w:jc w:val="both"/>
        <w:rPr>
          <w:szCs w:val="24"/>
        </w:rPr>
      </w:pPr>
    </w:p>
    <w:p w14:paraId="0B9E1339" w14:textId="77777777" w:rsidR="00952336" w:rsidRPr="00FE4453" w:rsidRDefault="00952336" w:rsidP="000061B5">
      <w:pPr>
        <w:pStyle w:val="Retraitcorpsdetexte2"/>
        <w:numPr>
          <w:ilvl w:val="0"/>
          <w:numId w:val="1"/>
        </w:numPr>
        <w:jc w:val="both"/>
        <w:rPr>
          <w:b/>
          <w:bCs/>
          <w:szCs w:val="24"/>
        </w:rPr>
      </w:pPr>
      <w:r w:rsidRPr="00FE4453">
        <w:rPr>
          <w:b/>
          <w:bCs/>
          <w:szCs w:val="24"/>
        </w:rPr>
        <w:t>Le recours étatique</w:t>
      </w:r>
    </w:p>
    <w:p w14:paraId="450071A2" w14:textId="408AB1E9" w:rsidR="00952336" w:rsidRPr="00FE4453" w:rsidRDefault="00436B73" w:rsidP="000061B5">
      <w:pPr>
        <w:pStyle w:val="Retraitcorpsdetexte2"/>
        <w:jc w:val="both"/>
        <w:rPr>
          <w:szCs w:val="24"/>
        </w:rPr>
      </w:pPr>
      <w:r w:rsidRPr="00FE4453">
        <w:rPr>
          <w:szCs w:val="24"/>
        </w:rPr>
        <w:t>Le recours individuel ne doit pas faire oublier le recours étatique, l’article 33 de la convention autorisant en effet tout Etat contractant à saisir la cour pour tout manquement à la convention commis par un autre Etat partie. L’Etat agit alors non pas en tant que victime du manquement</w:t>
      </w:r>
      <w:r w:rsidR="00A05BAD">
        <w:rPr>
          <w:szCs w:val="24"/>
        </w:rPr>
        <w:t>,</w:t>
      </w:r>
      <w:r w:rsidRPr="00FE4453">
        <w:rPr>
          <w:szCs w:val="24"/>
        </w:rPr>
        <w:t xml:space="preserve"> mais en tant que gardien</w:t>
      </w:r>
      <w:r w:rsidR="00952336" w:rsidRPr="00FE4453">
        <w:rPr>
          <w:szCs w:val="24"/>
        </w:rPr>
        <w:t>,</w:t>
      </w:r>
      <w:r w:rsidRPr="00FE4453">
        <w:rPr>
          <w:szCs w:val="24"/>
        </w:rPr>
        <w:t xml:space="preserve"> comme tous les autres Etats membres, du respect de la convention.</w:t>
      </w:r>
      <w:r w:rsidR="00B34890" w:rsidRPr="00FE4453">
        <w:rPr>
          <w:szCs w:val="24"/>
        </w:rPr>
        <w:t xml:space="preserve"> Dans la mesure où il n’a pas à </w:t>
      </w:r>
      <w:r w:rsidR="005F1D48" w:rsidRPr="00FE4453">
        <w:rPr>
          <w:szCs w:val="24"/>
        </w:rPr>
        <w:t>démontrer une atteinte à son intérêt propre, l’Etat agit en quelque sorte comme accusateur public.</w:t>
      </w:r>
      <w:r w:rsidRPr="00FE4453">
        <w:rPr>
          <w:szCs w:val="24"/>
        </w:rPr>
        <w:t xml:space="preserve"> </w:t>
      </w:r>
      <w:r w:rsidR="006C4FA5" w:rsidRPr="00FE4453">
        <w:rPr>
          <w:szCs w:val="24"/>
        </w:rPr>
        <w:t>L’ex</w:t>
      </w:r>
      <w:r w:rsidR="002F1851" w:rsidRPr="00FE4453">
        <w:rPr>
          <w:szCs w:val="24"/>
        </w:rPr>
        <w:t>ercice du droit de recours étatique ne saurait donc être soumis à une condition de réciprocité.</w:t>
      </w:r>
      <w:r w:rsidR="000F25AB" w:rsidRPr="00FE4453">
        <w:rPr>
          <w:szCs w:val="24"/>
        </w:rPr>
        <w:t xml:space="preserve"> Chaque Etat partie a ainsi un droit </w:t>
      </w:r>
      <w:r w:rsidR="00F071D5" w:rsidRPr="00FE4453">
        <w:rPr>
          <w:szCs w:val="24"/>
        </w:rPr>
        <w:t>de regard sur la politique pratiquée par les autres Etats en matière de droits de l’homme.</w:t>
      </w:r>
    </w:p>
    <w:p w14:paraId="7D30F13F" w14:textId="1A0DECDC" w:rsidR="00337AAC" w:rsidRPr="00FE4453" w:rsidRDefault="00436B73" w:rsidP="000061B5">
      <w:pPr>
        <w:pStyle w:val="Retraitcorpsdetexte2"/>
        <w:jc w:val="both"/>
        <w:rPr>
          <w:szCs w:val="24"/>
        </w:rPr>
      </w:pPr>
      <w:r w:rsidRPr="00FE4453">
        <w:rPr>
          <w:szCs w:val="24"/>
        </w:rPr>
        <w:t xml:space="preserve">En réalité les requêtes étatiques sont peu nombreuses, </w:t>
      </w:r>
      <w:r w:rsidR="00C33D59" w:rsidRPr="00FE4453">
        <w:rPr>
          <w:szCs w:val="24"/>
        </w:rPr>
        <w:t>moins d’une vi</w:t>
      </w:r>
      <w:r w:rsidR="00337AAC" w:rsidRPr="00FE4453">
        <w:rPr>
          <w:szCs w:val="24"/>
        </w:rPr>
        <w:t xml:space="preserve">ngtaine, mais elles tendent à se développer. </w:t>
      </w:r>
      <w:r w:rsidR="00EE564E" w:rsidRPr="00FE4453">
        <w:rPr>
          <w:szCs w:val="24"/>
        </w:rPr>
        <w:t xml:space="preserve">Selon Frédéric Sudre « la faillite du recours étatique est manifeste </w:t>
      </w:r>
      <w:r w:rsidR="00EE564E" w:rsidRPr="00FE4453">
        <w:rPr>
          <w:szCs w:val="24"/>
        </w:rPr>
        <w:lastRenderedPageBreak/>
        <w:t>comme en témoignent l’absence de requête étatique contre la Russie à l’occasion des opérations militaires contre la Turquie ».</w:t>
      </w:r>
    </w:p>
    <w:p w14:paraId="768EA405" w14:textId="77777777" w:rsidR="00337AAC" w:rsidRPr="00FE4453" w:rsidRDefault="00337AAC" w:rsidP="000061B5">
      <w:pPr>
        <w:pStyle w:val="Retraitcorpsdetexte2"/>
        <w:jc w:val="both"/>
        <w:rPr>
          <w:szCs w:val="24"/>
        </w:rPr>
      </w:pPr>
      <w:r w:rsidRPr="00FE4453">
        <w:rPr>
          <w:szCs w:val="24"/>
        </w:rPr>
        <w:t>Elles</w:t>
      </w:r>
      <w:r w:rsidR="005F1D48" w:rsidRPr="00FE4453">
        <w:rPr>
          <w:szCs w:val="24"/>
        </w:rPr>
        <w:t xml:space="preserve"> </w:t>
      </w:r>
      <w:r w:rsidR="00436B73" w:rsidRPr="00FE4453">
        <w:rPr>
          <w:szCs w:val="24"/>
        </w:rPr>
        <w:t xml:space="preserve">s’inscrivent </w:t>
      </w:r>
      <w:r w:rsidR="005F1D48" w:rsidRPr="00FE4453">
        <w:rPr>
          <w:szCs w:val="24"/>
        </w:rPr>
        <w:t xml:space="preserve">surtout </w:t>
      </w:r>
      <w:r w:rsidR="00436B73" w:rsidRPr="00FE4453">
        <w:rPr>
          <w:szCs w:val="24"/>
        </w:rPr>
        <w:t xml:space="preserve">dans le cadre d’un </w:t>
      </w:r>
      <w:r w:rsidR="00952336" w:rsidRPr="00FE4453">
        <w:rPr>
          <w:szCs w:val="24"/>
        </w:rPr>
        <w:t>différend</w:t>
      </w:r>
      <w:r w:rsidR="00436B73" w:rsidRPr="00FE4453">
        <w:rPr>
          <w:szCs w:val="24"/>
        </w:rPr>
        <w:t xml:space="preserve"> politique entre deux Etats : par exemple chypre contre Turquie ou Géorgie</w:t>
      </w:r>
      <w:r w:rsidR="005F1D48" w:rsidRPr="00FE4453">
        <w:rPr>
          <w:szCs w:val="24"/>
        </w:rPr>
        <w:t>/ Ukraine</w:t>
      </w:r>
      <w:r w:rsidR="00436B73" w:rsidRPr="00FE4453">
        <w:rPr>
          <w:szCs w:val="24"/>
        </w:rPr>
        <w:t xml:space="preserve"> contre Russie…</w:t>
      </w:r>
    </w:p>
    <w:p w14:paraId="78F7C5A6" w14:textId="77777777" w:rsidR="004A740F" w:rsidRPr="00FE4453" w:rsidRDefault="005F1D48" w:rsidP="000061B5">
      <w:pPr>
        <w:pStyle w:val="Retraitcorpsdetexte2"/>
        <w:jc w:val="both"/>
        <w:rPr>
          <w:szCs w:val="24"/>
        </w:rPr>
      </w:pPr>
      <w:r w:rsidRPr="00FE4453">
        <w:rPr>
          <w:szCs w:val="24"/>
        </w:rPr>
        <w:t>Les quelques requêtes qui ne se situent pas dans le cadre d</w:t>
      </w:r>
      <w:r w:rsidR="005A0B1D" w:rsidRPr="00FE4453">
        <w:rPr>
          <w:szCs w:val="24"/>
        </w:rPr>
        <w:t>e conflits interétatiques sont dirigés contre un Etat par un gouvernement qui entend protéger ses ressortissants </w:t>
      </w:r>
    </w:p>
    <w:p w14:paraId="4F7AD3F3" w14:textId="77777777" w:rsidR="0075742E" w:rsidRDefault="0075742E" w:rsidP="000061B5">
      <w:pPr>
        <w:pStyle w:val="Retraitcorpsdetexte2"/>
        <w:jc w:val="both"/>
        <w:rPr>
          <w:szCs w:val="24"/>
        </w:rPr>
      </w:pPr>
    </w:p>
    <w:p w14:paraId="4C5565CD" w14:textId="191D611F" w:rsidR="0031577D" w:rsidRDefault="004A740F" w:rsidP="000061B5">
      <w:pPr>
        <w:pStyle w:val="Retraitcorpsdetexte2"/>
        <w:jc w:val="both"/>
        <w:rPr>
          <w:i/>
          <w:iCs/>
          <w:lang w:eastAsia="ja-JP"/>
        </w:rPr>
      </w:pPr>
      <w:r w:rsidRPr="00FE4453">
        <w:rPr>
          <w:szCs w:val="24"/>
        </w:rPr>
        <w:t xml:space="preserve">Exemple : </w:t>
      </w:r>
      <w:r w:rsidR="005A0B1D" w:rsidRPr="00FE4453">
        <w:rPr>
          <w:szCs w:val="24"/>
        </w:rPr>
        <w:t>Danemark c/ Turquie</w:t>
      </w:r>
      <w:r w:rsidR="002C1F58" w:rsidRPr="00FE4453">
        <w:rPr>
          <w:szCs w:val="24"/>
        </w:rPr>
        <w:t xml:space="preserve"> </w:t>
      </w:r>
      <w:r w:rsidR="0031577D" w:rsidRPr="0031577D">
        <w:rPr>
          <w:lang w:eastAsia="ja-JP"/>
        </w:rPr>
        <w:t>Requête n° 34382/97du 5 avril 2000</w:t>
      </w:r>
    </w:p>
    <w:p w14:paraId="4CF79216" w14:textId="3DB203A2" w:rsidR="004A740F" w:rsidRPr="00FE4453" w:rsidRDefault="004A740F" w:rsidP="000061B5">
      <w:pPr>
        <w:pStyle w:val="Retraitcorpsdetexte2"/>
        <w:ind w:firstLine="0"/>
        <w:jc w:val="both"/>
        <w:rPr>
          <w:szCs w:val="24"/>
        </w:rPr>
      </w:pPr>
      <w:r w:rsidRPr="0075742E">
        <w:rPr>
          <w:szCs w:val="24"/>
          <w:highlight w:val="yellow"/>
        </w:rPr>
        <w:t>Quel est l’objet de la requête du Danemark dans cet arrêt et quelle a été l’issue de la procédure ?</w:t>
      </w:r>
    </w:p>
    <w:p w14:paraId="39F00682" w14:textId="3BEB3B99" w:rsidR="00DF0CF4" w:rsidRPr="00FE4453" w:rsidRDefault="00286906" w:rsidP="0031577D">
      <w:pPr>
        <w:autoSpaceDE w:val="0"/>
        <w:autoSpaceDN w:val="0"/>
        <w:adjustRightInd w:val="0"/>
        <w:jc w:val="both"/>
        <w:rPr>
          <w:b/>
          <w:bCs/>
          <w:lang w:eastAsia="ja-JP"/>
        </w:rPr>
      </w:pPr>
      <w:r w:rsidRPr="00FE4453">
        <w:rPr>
          <w:b/>
          <w:bCs/>
          <w:lang w:eastAsia="ja-JP"/>
        </w:rPr>
        <w:t>Les faits</w:t>
      </w:r>
    </w:p>
    <w:p w14:paraId="4D11D742" w14:textId="77777777" w:rsidR="00286906" w:rsidRPr="00FE4453" w:rsidRDefault="00286906" w:rsidP="0031577D">
      <w:pPr>
        <w:autoSpaceDE w:val="0"/>
        <w:autoSpaceDN w:val="0"/>
        <w:adjustRightInd w:val="0"/>
        <w:jc w:val="both"/>
        <w:rPr>
          <w:lang w:eastAsia="ja-JP"/>
        </w:rPr>
      </w:pPr>
      <w:r w:rsidRPr="00FE4453">
        <w:rPr>
          <w:lang w:eastAsia="ja-JP"/>
        </w:rPr>
        <w:t>14. En ce qui concerne les faits relatifs au séjour en Turquie effectué par</w:t>
      </w:r>
    </w:p>
    <w:p w14:paraId="407BCD5A" w14:textId="77777777" w:rsidR="00286906" w:rsidRPr="00FE4453" w:rsidRDefault="00286906" w:rsidP="0031577D">
      <w:pPr>
        <w:autoSpaceDE w:val="0"/>
        <w:autoSpaceDN w:val="0"/>
        <w:adjustRightInd w:val="0"/>
        <w:jc w:val="both"/>
        <w:rPr>
          <w:lang w:eastAsia="ja-JP"/>
        </w:rPr>
      </w:pPr>
      <w:r w:rsidRPr="00FE4453">
        <w:rPr>
          <w:lang w:eastAsia="ja-JP"/>
        </w:rPr>
        <w:t xml:space="preserve">M. Kemal </w:t>
      </w:r>
      <w:proofErr w:type="spellStart"/>
      <w:r w:rsidRPr="00FE4453">
        <w:rPr>
          <w:lang w:eastAsia="ja-JP"/>
        </w:rPr>
        <w:t>Koç</w:t>
      </w:r>
      <w:proofErr w:type="spellEnd"/>
      <w:r w:rsidRPr="00FE4453">
        <w:rPr>
          <w:lang w:eastAsia="ja-JP"/>
        </w:rPr>
        <w:t xml:space="preserve"> en juillet et août 1996, la Cour rappelle que l'intéressé arriva</w:t>
      </w:r>
    </w:p>
    <w:p w14:paraId="6881CF62" w14:textId="77777777" w:rsidR="00286906" w:rsidRPr="00FE4453" w:rsidRDefault="00286906" w:rsidP="0031577D">
      <w:pPr>
        <w:autoSpaceDE w:val="0"/>
        <w:autoSpaceDN w:val="0"/>
        <w:adjustRightInd w:val="0"/>
        <w:jc w:val="both"/>
        <w:rPr>
          <w:lang w:eastAsia="ja-JP"/>
        </w:rPr>
      </w:pPr>
      <w:proofErr w:type="gramStart"/>
      <w:r w:rsidRPr="00FE4453">
        <w:rPr>
          <w:lang w:eastAsia="ja-JP"/>
        </w:rPr>
        <w:t>à</w:t>
      </w:r>
      <w:proofErr w:type="gramEnd"/>
      <w:r w:rsidRPr="00FE4453">
        <w:rPr>
          <w:lang w:eastAsia="ja-JP"/>
        </w:rPr>
        <w:t xml:space="preserve"> Ankara le vendredi 5 juillet 1996 afin d'assister aux obsèques de son frère.</w:t>
      </w:r>
    </w:p>
    <w:p w14:paraId="56FDCCB3" w14:textId="77777777" w:rsidR="00286906" w:rsidRPr="00FE4453" w:rsidRDefault="00286906" w:rsidP="0031577D">
      <w:pPr>
        <w:autoSpaceDE w:val="0"/>
        <w:autoSpaceDN w:val="0"/>
        <w:adjustRightInd w:val="0"/>
        <w:jc w:val="both"/>
        <w:rPr>
          <w:lang w:eastAsia="ja-JP"/>
        </w:rPr>
      </w:pPr>
      <w:r w:rsidRPr="00FE4453">
        <w:rPr>
          <w:lang w:eastAsia="ja-JP"/>
        </w:rPr>
        <w:t>A son arrivée à l'aéroport, il fut détenu pendant plusieurs heures au motif</w:t>
      </w:r>
    </w:p>
    <w:p w14:paraId="61A2D0A8" w14:textId="77777777" w:rsidR="00286906" w:rsidRPr="00FE4453" w:rsidRDefault="00286906" w:rsidP="0031577D">
      <w:pPr>
        <w:autoSpaceDE w:val="0"/>
        <w:autoSpaceDN w:val="0"/>
        <w:adjustRightInd w:val="0"/>
        <w:jc w:val="both"/>
        <w:rPr>
          <w:lang w:eastAsia="ja-JP"/>
        </w:rPr>
      </w:pPr>
      <w:proofErr w:type="gramStart"/>
      <w:r w:rsidRPr="00FE4453">
        <w:rPr>
          <w:lang w:eastAsia="ja-JP"/>
        </w:rPr>
        <w:t>qu'il</w:t>
      </w:r>
      <w:proofErr w:type="gramEnd"/>
      <w:r w:rsidRPr="00FE4453">
        <w:rPr>
          <w:lang w:eastAsia="ja-JP"/>
        </w:rPr>
        <w:t xml:space="preserve"> était recherché par les autorités turques. A la suite de certaines</w:t>
      </w:r>
    </w:p>
    <w:p w14:paraId="3E2BB0DF" w14:textId="77777777" w:rsidR="00286906" w:rsidRPr="00FE4453" w:rsidRDefault="00286906" w:rsidP="0031577D">
      <w:pPr>
        <w:autoSpaceDE w:val="0"/>
        <w:autoSpaceDN w:val="0"/>
        <w:adjustRightInd w:val="0"/>
        <w:jc w:val="both"/>
        <w:rPr>
          <w:lang w:eastAsia="ja-JP"/>
        </w:rPr>
      </w:pPr>
      <w:proofErr w:type="gramStart"/>
      <w:r w:rsidRPr="00FE4453">
        <w:rPr>
          <w:lang w:eastAsia="ja-JP"/>
        </w:rPr>
        <w:t>investigations</w:t>
      </w:r>
      <w:proofErr w:type="gramEnd"/>
      <w:r w:rsidRPr="00FE4453">
        <w:rPr>
          <w:lang w:eastAsia="ja-JP"/>
        </w:rPr>
        <w:t xml:space="preserve"> menées à l'aéroport et au poste de police de </w:t>
      </w:r>
      <w:proofErr w:type="spellStart"/>
      <w:r w:rsidRPr="00FE4453">
        <w:rPr>
          <w:lang w:eastAsia="ja-JP"/>
        </w:rPr>
        <w:t>Cubuk</w:t>
      </w:r>
      <w:proofErr w:type="spellEnd"/>
      <w:r w:rsidRPr="00FE4453">
        <w:rPr>
          <w:lang w:eastAsia="ja-JP"/>
        </w:rPr>
        <w:t>, il fut</w:t>
      </w:r>
    </w:p>
    <w:p w14:paraId="2D2D2DCF" w14:textId="77777777" w:rsidR="00286906" w:rsidRPr="00FE4453" w:rsidRDefault="00286906" w:rsidP="0031577D">
      <w:pPr>
        <w:autoSpaceDE w:val="0"/>
        <w:autoSpaceDN w:val="0"/>
        <w:adjustRightInd w:val="0"/>
        <w:jc w:val="both"/>
        <w:rPr>
          <w:lang w:eastAsia="ja-JP"/>
        </w:rPr>
      </w:pPr>
      <w:proofErr w:type="gramStart"/>
      <w:r w:rsidRPr="00FE4453">
        <w:rPr>
          <w:lang w:eastAsia="ja-JP"/>
        </w:rPr>
        <w:t>libéré</w:t>
      </w:r>
      <w:proofErr w:type="gramEnd"/>
      <w:r w:rsidRPr="00FE4453">
        <w:rPr>
          <w:lang w:eastAsia="ja-JP"/>
        </w:rPr>
        <w:t xml:space="preserve"> avec, entre autres conditions, l'obligation de se présenter à la police le</w:t>
      </w:r>
    </w:p>
    <w:p w14:paraId="39432D06" w14:textId="77777777" w:rsidR="00286906" w:rsidRPr="00FE4453" w:rsidRDefault="00286906" w:rsidP="0031577D">
      <w:pPr>
        <w:autoSpaceDE w:val="0"/>
        <w:autoSpaceDN w:val="0"/>
        <w:adjustRightInd w:val="0"/>
        <w:jc w:val="both"/>
        <w:rPr>
          <w:lang w:eastAsia="ja-JP"/>
        </w:rPr>
      </w:pPr>
      <w:proofErr w:type="gramStart"/>
      <w:r w:rsidRPr="00FE4453">
        <w:rPr>
          <w:lang w:eastAsia="ja-JP"/>
        </w:rPr>
        <w:t>lundi</w:t>
      </w:r>
      <w:proofErr w:type="gramEnd"/>
      <w:r w:rsidRPr="00FE4453">
        <w:rPr>
          <w:lang w:eastAsia="ja-JP"/>
        </w:rPr>
        <w:t xml:space="preserve"> suivant. Le lundi 8 juillet, il prit contact avec le poste de police de</w:t>
      </w:r>
    </w:p>
    <w:p w14:paraId="3BB115FD" w14:textId="77777777" w:rsidR="00286906" w:rsidRPr="00FE4453" w:rsidRDefault="00286906" w:rsidP="0031577D">
      <w:pPr>
        <w:autoSpaceDE w:val="0"/>
        <w:autoSpaceDN w:val="0"/>
        <w:adjustRightInd w:val="0"/>
        <w:jc w:val="both"/>
        <w:rPr>
          <w:lang w:eastAsia="ja-JP"/>
        </w:rPr>
      </w:pPr>
      <w:proofErr w:type="spellStart"/>
      <w:r w:rsidRPr="00FE4453">
        <w:rPr>
          <w:lang w:eastAsia="ja-JP"/>
        </w:rPr>
        <w:t>Cubuk</w:t>
      </w:r>
      <w:proofErr w:type="spellEnd"/>
      <w:r w:rsidRPr="00FE4453">
        <w:rPr>
          <w:lang w:eastAsia="ja-JP"/>
        </w:rPr>
        <w:t>, où des policiers vinrent le chercher pour l'emmener au quartier</w:t>
      </w:r>
    </w:p>
    <w:p w14:paraId="13A5699F" w14:textId="77777777" w:rsidR="00286906" w:rsidRPr="00FE4453" w:rsidRDefault="00286906" w:rsidP="0031577D">
      <w:pPr>
        <w:autoSpaceDE w:val="0"/>
        <w:autoSpaceDN w:val="0"/>
        <w:adjustRightInd w:val="0"/>
        <w:jc w:val="both"/>
        <w:rPr>
          <w:lang w:eastAsia="ja-JP"/>
        </w:rPr>
      </w:pPr>
      <w:proofErr w:type="gramStart"/>
      <w:r w:rsidRPr="00FE4453">
        <w:rPr>
          <w:lang w:eastAsia="ja-JP"/>
        </w:rPr>
        <w:t>général</w:t>
      </w:r>
      <w:proofErr w:type="gramEnd"/>
      <w:r w:rsidRPr="00FE4453">
        <w:rPr>
          <w:lang w:eastAsia="ja-JP"/>
        </w:rPr>
        <w:t xml:space="preserve"> de la police à Ankara. Le gouvernement requérant allègue que</w:t>
      </w:r>
    </w:p>
    <w:p w14:paraId="4BD1C304" w14:textId="77777777" w:rsidR="00286906" w:rsidRPr="00FE4453" w:rsidRDefault="00286906" w:rsidP="0031577D">
      <w:pPr>
        <w:autoSpaceDE w:val="0"/>
        <w:autoSpaceDN w:val="0"/>
        <w:adjustRightInd w:val="0"/>
        <w:jc w:val="both"/>
        <w:rPr>
          <w:lang w:eastAsia="ja-JP"/>
        </w:rPr>
      </w:pPr>
      <w:r w:rsidRPr="00FE4453">
        <w:rPr>
          <w:lang w:eastAsia="ja-JP"/>
        </w:rPr>
        <w:t xml:space="preserve">M. </w:t>
      </w:r>
      <w:proofErr w:type="spellStart"/>
      <w:r w:rsidRPr="00FE4453">
        <w:rPr>
          <w:lang w:eastAsia="ja-JP"/>
        </w:rPr>
        <w:t>Koç</w:t>
      </w:r>
      <w:proofErr w:type="spellEnd"/>
      <w:r w:rsidRPr="00FE4453">
        <w:rPr>
          <w:lang w:eastAsia="ja-JP"/>
        </w:rPr>
        <w:t xml:space="preserve"> fut alors soumis à des techniques d'interrogatoire comportant le</w:t>
      </w:r>
    </w:p>
    <w:p w14:paraId="49334A84" w14:textId="77777777" w:rsidR="00286906" w:rsidRPr="00FE4453" w:rsidRDefault="00286906" w:rsidP="0031577D">
      <w:pPr>
        <w:autoSpaceDE w:val="0"/>
        <w:autoSpaceDN w:val="0"/>
        <w:adjustRightInd w:val="0"/>
        <w:jc w:val="both"/>
        <w:rPr>
          <w:lang w:eastAsia="ja-JP"/>
        </w:rPr>
      </w:pPr>
      <w:proofErr w:type="gramStart"/>
      <w:r w:rsidRPr="00FE4453">
        <w:rPr>
          <w:lang w:eastAsia="ja-JP"/>
        </w:rPr>
        <w:t>recours</w:t>
      </w:r>
      <w:proofErr w:type="gramEnd"/>
      <w:r w:rsidRPr="00FE4453">
        <w:rPr>
          <w:lang w:eastAsia="ja-JP"/>
        </w:rPr>
        <w:t xml:space="preserve"> à la torture et à d'autres formes de sévices. Le gouvernement</w:t>
      </w:r>
    </w:p>
    <w:p w14:paraId="4FBE9088" w14:textId="77777777" w:rsidR="00286906" w:rsidRPr="00FE4453" w:rsidRDefault="00286906" w:rsidP="0031577D">
      <w:pPr>
        <w:autoSpaceDE w:val="0"/>
        <w:autoSpaceDN w:val="0"/>
        <w:adjustRightInd w:val="0"/>
        <w:jc w:val="both"/>
        <w:rPr>
          <w:lang w:eastAsia="ja-JP"/>
        </w:rPr>
      </w:pPr>
      <w:proofErr w:type="gramStart"/>
      <w:r w:rsidRPr="00FE4453">
        <w:rPr>
          <w:lang w:eastAsia="ja-JP"/>
        </w:rPr>
        <w:t>défendeur</w:t>
      </w:r>
      <w:proofErr w:type="gramEnd"/>
      <w:r w:rsidRPr="00FE4453">
        <w:rPr>
          <w:lang w:eastAsia="ja-JP"/>
        </w:rPr>
        <w:t xml:space="preserve"> conteste cette allégation.</w:t>
      </w:r>
    </w:p>
    <w:p w14:paraId="5CBB7E6E" w14:textId="77777777" w:rsidR="00286906" w:rsidRPr="00FE4453" w:rsidRDefault="00286906" w:rsidP="0031577D">
      <w:pPr>
        <w:autoSpaceDE w:val="0"/>
        <w:autoSpaceDN w:val="0"/>
        <w:adjustRightInd w:val="0"/>
        <w:jc w:val="both"/>
        <w:rPr>
          <w:lang w:eastAsia="ja-JP"/>
        </w:rPr>
      </w:pPr>
      <w:r w:rsidRPr="00FE4453">
        <w:rPr>
          <w:lang w:eastAsia="ja-JP"/>
        </w:rPr>
        <w:t>15. A la suite des interrogatoires subis au quartier général de la police,</w:t>
      </w:r>
    </w:p>
    <w:p w14:paraId="1FEE37AD" w14:textId="77777777" w:rsidR="00286906" w:rsidRPr="00FE4453" w:rsidRDefault="00286906" w:rsidP="0031577D">
      <w:pPr>
        <w:autoSpaceDE w:val="0"/>
        <w:autoSpaceDN w:val="0"/>
        <w:adjustRightInd w:val="0"/>
        <w:jc w:val="both"/>
        <w:rPr>
          <w:lang w:eastAsia="ja-JP"/>
        </w:rPr>
      </w:pPr>
      <w:r w:rsidRPr="00FE4453">
        <w:rPr>
          <w:lang w:eastAsia="ja-JP"/>
        </w:rPr>
        <w:t xml:space="preserve">M. </w:t>
      </w:r>
      <w:proofErr w:type="spellStart"/>
      <w:r w:rsidRPr="00FE4453">
        <w:rPr>
          <w:lang w:eastAsia="ja-JP"/>
        </w:rPr>
        <w:t>Koç</w:t>
      </w:r>
      <w:proofErr w:type="spellEnd"/>
      <w:r w:rsidRPr="00FE4453">
        <w:rPr>
          <w:lang w:eastAsia="ja-JP"/>
        </w:rPr>
        <w:t xml:space="preserve"> fut placé en garde à vue à compter du 9 juillet 1996. Sur le</w:t>
      </w:r>
    </w:p>
    <w:p w14:paraId="10DAA90A" w14:textId="77777777" w:rsidR="00286906" w:rsidRPr="00FE4453" w:rsidRDefault="00286906" w:rsidP="0031577D">
      <w:pPr>
        <w:autoSpaceDE w:val="0"/>
        <w:autoSpaceDN w:val="0"/>
        <w:adjustRightInd w:val="0"/>
        <w:jc w:val="both"/>
        <w:rPr>
          <w:lang w:eastAsia="ja-JP"/>
        </w:rPr>
      </w:pPr>
      <w:proofErr w:type="gramStart"/>
      <w:r w:rsidRPr="00FE4453">
        <w:rPr>
          <w:lang w:eastAsia="ja-JP"/>
        </w:rPr>
        <w:t>fondement</w:t>
      </w:r>
      <w:proofErr w:type="gramEnd"/>
      <w:r w:rsidRPr="00FE4453">
        <w:rPr>
          <w:lang w:eastAsia="ja-JP"/>
        </w:rPr>
        <w:t xml:space="preserve"> d'un acte d'accusation du 11 juillet 1996 lui reprochant de prêter</w:t>
      </w:r>
    </w:p>
    <w:p w14:paraId="2F939929" w14:textId="77777777" w:rsidR="00286906" w:rsidRPr="00FE4453" w:rsidRDefault="00286906" w:rsidP="0031577D">
      <w:pPr>
        <w:autoSpaceDE w:val="0"/>
        <w:autoSpaceDN w:val="0"/>
        <w:adjustRightInd w:val="0"/>
        <w:jc w:val="both"/>
        <w:rPr>
          <w:lang w:eastAsia="ja-JP"/>
        </w:rPr>
      </w:pPr>
      <w:proofErr w:type="gramStart"/>
      <w:r w:rsidRPr="00FE4453">
        <w:rPr>
          <w:lang w:eastAsia="ja-JP"/>
        </w:rPr>
        <w:t>assistance</w:t>
      </w:r>
      <w:proofErr w:type="gramEnd"/>
      <w:r w:rsidRPr="00FE4453">
        <w:rPr>
          <w:lang w:eastAsia="ja-JP"/>
        </w:rPr>
        <w:t xml:space="preserve"> à des membres du PKK (Parti des travailleurs du Kurdistan),</w:t>
      </w:r>
    </w:p>
    <w:p w14:paraId="4C677A08" w14:textId="77777777" w:rsidR="00286906" w:rsidRPr="00FE4453" w:rsidRDefault="00286906" w:rsidP="0031577D">
      <w:pPr>
        <w:autoSpaceDE w:val="0"/>
        <w:autoSpaceDN w:val="0"/>
        <w:adjustRightInd w:val="0"/>
        <w:jc w:val="both"/>
        <w:rPr>
          <w:lang w:eastAsia="ja-JP"/>
        </w:rPr>
      </w:pPr>
      <w:proofErr w:type="gramStart"/>
      <w:r w:rsidRPr="00FE4453">
        <w:rPr>
          <w:lang w:eastAsia="ja-JP"/>
        </w:rPr>
        <w:t>infraction</w:t>
      </w:r>
      <w:proofErr w:type="gramEnd"/>
      <w:r w:rsidRPr="00FE4453">
        <w:rPr>
          <w:lang w:eastAsia="ja-JP"/>
        </w:rPr>
        <w:t xml:space="preserve"> réprimée par l'article 169 du code pénal turc, il fut traduit devant</w:t>
      </w:r>
    </w:p>
    <w:p w14:paraId="38C17154" w14:textId="77777777" w:rsidR="00286906" w:rsidRPr="00FE4453" w:rsidRDefault="00286906" w:rsidP="0031577D">
      <w:pPr>
        <w:autoSpaceDE w:val="0"/>
        <w:autoSpaceDN w:val="0"/>
        <w:adjustRightInd w:val="0"/>
        <w:jc w:val="both"/>
        <w:rPr>
          <w:lang w:eastAsia="ja-JP"/>
        </w:rPr>
      </w:pPr>
      <w:proofErr w:type="gramStart"/>
      <w:r w:rsidRPr="00FE4453">
        <w:rPr>
          <w:lang w:eastAsia="ja-JP"/>
        </w:rPr>
        <w:t>la</w:t>
      </w:r>
      <w:proofErr w:type="gramEnd"/>
      <w:r w:rsidRPr="00FE4453">
        <w:rPr>
          <w:lang w:eastAsia="ja-JP"/>
        </w:rPr>
        <w:t xml:space="preserve"> cour de sûreté de l'Etat d'Ankara.</w:t>
      </w:r>
    </w:p>
    <w:p w14:paraId="702576FC" w14:textId="77777777" w:rsidR="00286906" w:rsidRPr="00FE4453" w:rsidRDefault="00286906" w:rsidP="0031577D">
      <w:pPr>
        <w:autoSpaceDE w:val="0"/>
        <w:autoSpaceDN w:val="0"/>
        <w:adjustRightInd w:val="0"/>
        <w:jc w:val="both"/>
        <w:rPr>
          <w:lang w:eastAsia="ja-JP"/>
        </w:rPr>
      </w:pPr>
      <w:r w:rsidRPr="00FE4453">
        <w:rPr>
          <w:lang w:eastAsia="ja-JP"/>
        </w:rPr>
        <w:t>16. Le 15 août 1996, celle-ci prononça la mise en liberté de l'intéressé,</w:t>
      </w:r>
    </w:p>
    <w:p w14:paraId="685288B9" w14:textId="77777777" w:rsidR="00286906" w:rsidRPr="00FE4453" w:rsidRDefault="00286906" w:rsidP="0031577D">
      <w:pPr>
        <w:autoSpaceDE w:val="0"/>
        <w:autoSpaceDN w:val="0"/>
        <w:adjustRightInd w:val="0"/>
        <w:jc w:val="both"/>
        <w:rPr>
          <w:lang w:eastAsia="ja-JP"/>
        </w:rPr>
      </w:pPr>
      <w:proofErr w:type="gramStart"/>
      <w:r w:rsidRPr="00FE4453">
        <w:rPr>
          <w:lang w:eastAsia="ja-JP"/>
        </w:rPr>
        <w:t>qui</w:t>
      </w:r>
      <w:proofErr w:type="gramEnd"/>
      <w:r w:rsidRPr="00FE4453">
        <w:rPr>
          <w:lang w:eastAsia="ja-JP"/>
        </w:rPr>
        <w:t xml:space="preserve"> regagna le Danemark le 16 août 1996.</w:t>
      </w:r>
    </w:p>
    <w:p w14:paraId="4153FFB1" w14:textId="77777777" w:rsidR="00286906" w:rsidRPr="00FE4453" w:rsidRDefault="00286906" w:rsidP="0031577D">
      <w:pPr>
        <w:autoSpaceDE w:val="0"/>
        <w:autoSpaceDN w:val="0"/>
        <w:adjustRightInd w:val="0"/>
        <w:jc w:val="both"/>
        <w:rPr>
          <w:lang w:eastAsia="ja-JP"/>
        </w:rPr>
      </w:pPr>
      <w:r w:rsidRPr="00FE4453">
        <w:rPr>
          <w:lang w:eastAsia="ja-JP"/>
        </w:rPr>
        <w:t xml:space="preserve">17. Le 12 juin 1997, la cour de sûreté de l'Etat d'Ankara jugea M. </w:t>
      </w:r>
      <w:proofErr w:type="spellStart"/>
      <w:r w:rsidRPr="00FE4453">
        <w:rPr>
          <w:lang w:eastAsia="ja-JP"/>
        </w:rPr>
        <w:t>Koç</w:t>
      </w:r>
      <w:proofErr w:type="spellEnd"/>
    </w:p>
    <w:p w14:paraId="4E850503" w14:textId="77777777" w:rsidR="00286906" w:rsidRPr="00FE4453" w:rsidRDefault="00286906" w:rsidP="0031577D">
      <w:pPr>
        <w:autoSpaceDE w:val="0"/>
        <w:autoSpaceDN w:val="0"/>
        <w:adjustRightInd w:val="0"/>
        <w:jc w:val="both"/>
        <w:rPr>
          <w:lang w:eastAsia="ja-JP"/>
        </w:rPr>
      </w:pPr>
      <w:proofErr w:type="gramStart"/>
      <w:r w:rsidRPr="00FE4453">
        <w:rPr>
          <w:lang w:eastAsia="ja-JP"/>
        </w:rPr>
        <w:t>coupable</w:t>
      </w:r>
      <w:proofErr w:type="gramEnd"/>
      <w:r w:rsidRPr="00FE4453">
        <w:rPr>
          <w:lang w:eastAsia="ja-JP"/>
        </w:rPr>
        <w:t xml:space="preserve"> et le condamna à quatre ans et demi d'emprisonnement. Le</w:t>
      </w:r>
    </w:p>
    <w:p w14:paraId="601E2A84" w14:textId="77777777" w:rsidR="00286906" w:rsidRPr="00FE4453" w:rsidRDefault="00286906" w:rsidP="0031577D">
      <w:pPr>
        <w:autoSpaceDE w:val="0"/>
        <w:autoSpaceDN w:val="0"/>
        <w:adjustRightInd w:val="0"/>
        <w:jc w:val="both"/>
        <w:rPr>
          <w:lang w:eastAsia="ja-JP"/>
        </w:rPr>
      </w:pPr>
      <w:r w:rsidRPr="00FE4453">
        <w:rPr>
          <w:lang w:eastAsia="ja-JP"/>
        </w:rPr>
        <w:t>25 mars 1998, sa décision fut confirmée par la Cour de cassation.</w:t>
      </w:r>
    </w:p>
    <w:p w14:paraId="0051EF69" w14:textId="77777777" w:rsidR="00286906" w:rsidRPr="00FE4453" w:rsidRDefault="00286906" w:rsidP="0031577D">
      <w:pPr>
        <w:autoSpaceDE w:val="0"/>
        <w:autoSpaceDN w:val="0"/>
        <w:adjustRightInd w:val="0"/>
        <w:jc w:val="both"/>
        <w:rPr>
          <w:lang w:eastAsia="ja-JP"/>
        </w:rPr>
      </w:pPr>
      <w:r w:rsidRPr="00FE4453">
        <w:rPr>
          <w:lang w:eastAsia="ja-JP"/>
        </w:rPr>
        <w:t>18. Le 23 décembre 1996, alors que la procédure pénale dirigée contre</w:t>
      </w:r>
    </w:p>
    <w:p w14:paraId="625A405F" w14:textId="77777777" w:rsidR="00286906" w:rsidRPr="00FE4453" w:rsidRDefault="00286906" w:rsidP="0031577D">
      <w:pPr>
        <w:autoSpaceDE w:val="0"/>
        <w:autoSpaceDN w:val="0"/>
        <w:adjustRightInd w:val="0"/>
        <w:jc w:val="both"/>
        <w:rPr>
          <w:lang w:eastAsia="ja-JP"/>
        </w:rPr>
      </w:pPr>
      <w:proofErr w:type="gramStart"/>
      <w:r w:rsidRPr="00FE4453">
        <w:rPr>
          <w:lang w:eastAsia="ja-JP"/>
        </w:rPr>
        <w:t>lui</w:t>
      </w:r>
      <w:proofErr w:type="gramEnd"/>
      <w:r w:rsidRPr="00FE4453">
        <w:rPr>
          <w:lang w:eastAsia="ja-JP"/>
        </w:rPr>
        <w:t xml:space="preserve"> était pendante, M. </w:t>
      </w:r>
      <w:proofErr w:type="spellStart"/>
      <w:r w:rsidRPr="00FE4453">
        <w:rPr>
          <w:lang w:eastAsia="ja-JP"/>
        </w:rPr>
        <w:t>Koç</w:t>
      </w:r>
      <w:proofErr w:type="spellEnd"/>
      <w:r w:rsidRPr="00FE4453">
        <w:rPr>
          <w:lang w:eastAsia="ja-JP"/>
        </w:rPr>
        <w:t xml:space="preserve"> déposa une plainte pour mauvais traitements</w:t>
      </w:r>
    </w:p>
    <w:p w14:paraId="3B646351" w14:textId="77777777" w:rsidR="00286906" w:rsidRPr="00FE4453" w:rsidRDefault="00286906" w:rsidP="0031577D">
      <w:pPr>
        <w:autoSpaceDE w:val="0"/>
        <w:autoSpaceDN w:val="0"/>
        <w:adjustRightInd w:val="0"/>
        <w:jc w:val="both"/>
        <w:rPr>
          <w:lang w:eastAsia="ja-JP"/>
        </w:rPr>
      </w:pPr>
      <w:proofErr w:type="gramStart"/>
      <w:r w:rsidRPr="00FE4453">
        <w:rPr>
          <w:lang w:eastAsia="ja-JP"/>
        </w:rPr>
        <w:t>subis</w:t>
      </w:r>
      <w:proofErr w:type="gramEnd"/>
      <w:r w:rsidRPr="00FE4453">
        <w:rPr>
          <w:lang w:eastAsia="ja-JP"/>
        </w:rPr>
        <w:t xml:space="preserve"> aux mains de la police pendant sa détention et au cours de ses</w:t>
      </w:r>
    </w:p>
    <w:p w14:paraId="1542E462" w14:textId="77777777" w:rsidR="00286906" w:rsidRPr="00FE4453" w:rsidRDefault="00286906" w:rsidP="0031577D">
      <w:pPr>
        <w:autoSpaceDE w:val="0"/>
        <w:autoSpaceDN w:val="0"/>
        <w:adjustRightInd w:val="0"/>
        <w:jc w:val="both"/>
        <w:rPr>
          <w:lang w:eastAsia="ja-JP"/>
        </w:rPr>
      </w:pPr>
      <w:proofErr w:type="gramStart"/>
      <w:r w:rsidRPr="00FE4453">
        <w:rPr>
          <w:lang w:eastAsia="ja-JP"/>
        </w:rPr>
        <w:t>interrogatoires</w:t>
      </w:r>
      <w:proofErr w:type="gramEnd"/>
      <w:r w:rsidRPr="00FE4453">
        <w:rPr>
          <w:lang w:eastAsia="ja-JP"/>
        </w:rPr>
        <w:t xml:space="preserve"> au quartier général de la police les 8 et 9 juillet 1996. Il</w:t>
      </w:r>
    </w:p>
    <w:p w14:paraId="424041CB" w14:textId="77777777" w:rsidR="00286906" w:rsidRPr="00FE4453" w:rsidRDefault="00286906" w:rsidP="0031577D">
      <w:pPr>
        <w:autoSpaceDE w:val="0"/>
        <w:autoSpaceDN w:val="0"/>
        <w:adjustRightInd w:val="0"/>
        <w:jc w:val="both"/>
        <w:rPr>
          <w:lang w:eastAsia="ja-JP"/>
        </w:rPr>
      </w:pPr>
      <w:proofErr w:type="gramStart"/>
      <w:r w:rsidRPr="00FE4453">
        <w:rPr>
          <w:lang w:eastAsia="ja-JP"/>
        </w:rPr>
        <w:t>invoquait</w:t>
      </w:r>
      <w:proofErr w:type="gramEnd"/>
      <w:r w:rsidRPr="00FE4453">
        <w:rPr>
          <w:lang w:eastAsia="ja-JP"/>
        </w:rPr>
        <w:t xml:space="preserve"> l'article 243 du code pénal. A la suite d'une enquête menée par le</w:t>
      </w:r>
    </w:p>
    <w:p w14:paraId="3628D972" w14:textId="77777777" w:rsidR="00286906" w:rsidRPr="00FE4453" w:rsidRDefault="00286906" w:rsidP="0031577D">
      <w:pPr>
        <w:autoSpaceDE w:val="0"/>
        <w:autoSpaceDN w:val="0"/>
        <w:adjustRightInd w:val="0"/>
        <w:jc w:val="both"/>
        <w:rPr>
          <w:lang w:eastAsia="ja-JP"/>
        </w:rPr>
      </w:pPr>
      <w:proofErr w:type="gramStart"/>
      <w:r w:rsidRPr="00FE4453">
        <w:rPr>
          <w:lang w:eastAsia="ja-JP"/>
        </w:rPr>
        <w:t>procureur</w:t>
      </w:r>
      <w:proofErr w:type="gramEnd"/>
      <w:r w:rsidRPr="00FE4453">
        <w:rPr>
          <w:lang w:eastAsia="ja-JP"/>
        </w:rPr>
        <w:t xml:space="preserve"> d'Ankara, deux policiers se virent notifier un acte d'accusation</w:t>
      </w:r>
    </w:p>
    <w:p w14:paraId="582AB5F1" w14:textId="77777777" w:rsidR="00286906" w:rsidRPr="00FE4453" w:rsidRDefault="00286906" w:rsidP="0031577D">
      <w:pPr>
        <w:autoSpaceDE w:val="0"/>
        <w:autoSpaceDN w:val="0"/>
        <w:adjustRightInd w:val="0"/>
        <w:jc w:val="both"/>
        <w:rPr>
          <w:lang w:eastAsia="ja-JP"/>
        </w:rPr>
      </w:pPr>
      <w:proofErr w:type="gramStart"/>
      <w:r w:rsidRPr="00FE4453">
        <w:rPr>
          <w:lang w:eastAsia="ja-JP"/>
        </w:rPr>
        <w:t>daté</w:t>
      </w:r>
      <w:proofErr w:type="gramEnd"/>
      <w:r w:rsidRPr="00FE4453">
        <w:rPr>
          <w:lang w:eastAsia="ja-JP"/>
        </w:rPr>
        <w:t xml:space="preserve"> du 19 mars 1997 et leur reprochant d'avoir enfreint l'article 245 du code</w:t>
      </w:r>
    </w:p>
    <w:p w14:paraId="7992BBFC" w14:textId="77777777" w:rsidR="00286906" w:rsidRPr="00FE4453" w:rsidRDefault="00286906" w:rsidP="0031577D">
      <w:pPr>
        <w:autoSpaceDE w:val="0"/>
        <w:autoSpaceDN w:val="0"/>
        <w:adjustRightInd w:val="0"/>
        <w:jc w:val="both"/>
        <w:rPr>
          <w:lang w:eastAsia="ja-JP"/>
        </w:rPr>
      </w:pPr>
      <w:proofErr w:type="gramStart"/>
      <w:r w:rsidRPr="00FE4453">
        <w:rPr>
          <w:lang w:eastAsia="ja-JP"/>
        </w:rPr>
        <w:t>pénal</w:t>
      </w:r>
      <w:proofErr w:type="gramEnd"/>
      <w:r w:rsidRPr="00FE4453">
        <w:rPr>
          <w:lang w:eastAsia="ja-JP"/>
        </w:rPr>
        <w:t>. Par un arrêt du 30 décembre 1998, la cour d'assises les acquitta.</w:t>
      </w:r>
    </w:p>
    <w:p w14:paraId="0D429FCC" w14:textId="77777777" w:rsidR="00286906" w:rsidRPr="00FE4453" w:rsidRDefault="00286906" w:rsidP="0031577D">
      <w:pPr>
        <w:autoSpaceDE w:val="0"/>
        <w:autoSpaceDN w:val="0"/>
        <w:adjustRightInd w:val="0"/>
        <w:jc w:val="both"/>
        <w:rPr>
          <w:lang w:eastAsia="ja-JP"/>
        </w:rPr>
      </w:pPr>
      <w:r w:rsidRPr="00FE4453">
        <w:rPr>
          <w:lang w:eastAsia="ja-JP"/>
        </w:rPr>
        <w:t xml:space="preserve">19. Le 4 janvier 1999, l'avocat de M. </w:t>
      </w:r>
      <w:proofErr w:type="spellStart"/>
      <w:r w:rsidRPr="00FE4453">
        <w:rPr>
          <w:lang w:eastAsia="ja-JP"/>
        </w:rPr>
        <w:t>Koç</w:t>
      </w:r>
      <w:proofErr w:type="spellEnd"/>
      <w:r w:rsidRPr="00FE4453">
        <w:rPr>
          <w:lang w:eastAsia="ja-JP"/>
        </w:rPr>
        <w:t xml:space="preserve"> saisit la Cour de cassation d'un</w:t>
      </w:r>
    </w:p>
    <w:p w14:paraId="4FF9024A" w14:textId="77777777" w:rsidR="00286906" w:rsidRPr="00FE4453" w:rsidRDefault="00286906" w:rsidP="0031577D">
      <w:pPr>
        <w:autoSpaceDE w:val="0"/>
        <w:autoSpaceDN w:val="0"/>
        <w:adjustRightInd w:val="0"/>
        <w:jc w:val="both"/>
        <w:rPr>
          <w:lang w:eastAsia="ja-JP"/>
        </w:rPr>
      </w:pPr>
      <w:proofErr w:type="gramStart"/>
      <w:r w:rsidRPr="00FE4453">
        <w:rPr>
          <w:lang w:eastAsia="ja-JP"/>
        </w:rPr>
        <w:t>recours</w:t>
      </w:r>
      <w:proofErr w:type="gramEnd"/>
      <w:r w:rsidRPr="00FE4453">
        <w:rPr>
          <w:lang w:eastAsia="ja-JP"/>
        </w:rPr>
        <w:t xml:space="preserve"> dirigé contre la décision précitée. Il apparaît que l'affaire est</w:t>
      </w:r>
    </w:p>
    <w:p w14:paraId="1ED9BF08" w14:textId="77777777" w:rsidR="00286906" w:rsidRPr="00FE4453" w:rsidRDefault="00286906" w:rsidP="0031577D">
      <w:pPr>
        <w:autoSpaceDE w:val="0"/>
        <w:autoSpaceDN w:val="0"/>
        <w:adjustRightInd w:val="0"/>
        <w:jc w:val="both"/>
        <w:rPr>
          <w:lang w:eastAsia="ja-JP"/>
        </w:rPr>
      </w:pPr>
      <w:proofErr w:type="gramStart"/>
      <w:r w:rsidRPr="00FE4453">
        <w:rPr>
          <w:lang w:eastAsia="ja-JP"/>
        </w:rPr>
        <w:t>toujours</w:t>
      </w:r>
      <w:proofErr w:type="gramEnd"/>
      <w:r w:rsidRPr="00FE4453">
        <w:rPr>
          <w:lang w:eastAsia="ja-JP"/>
        </w:rPr>
        <w:t xml:space="preserve"> pendante.</w:t>
      </w:r>
    </w:p>
    <w:p w14:paraId="228249D5" w14:textId="77777777" w:rsidR="00286906" w:rsidRPr="00FE4453" w:rsidRDefault="00286906" w:rsidP="0031577D">
      <w:pPr>
        <w:autoSpaceDE w:val="0"/>
        <w:autoSpaceDN w:val="0"/>
        <w:adjustRightInd w:val="0"/>
        <w:jc w:val="both"/>
        <w:rPr>
          <w:lang w:eastAsia="ja-JP"/>
        </w:rPr>
      </w:pPr>
      <w:r w:rsidRPr="00FE4453">
        <w:rPr>
          <w:lang w:eastAsia="ja-JP"/>
        </w:rPr>
        <w:t>20. En ce qui concerne la demande du gouvernement requérant tendant à</w:t>
      </w:r>
    </w:p>
    <w:p w14:paraId="7B57457F" w14:textId="77777777" w:rsidR="00286906" w:rsidRPr="00FE4453" w:rsidRDefault="00286906" w:rsidP="0031577D">
      <w:pPr>
        <w:autoSpaceDE w:val="0"/>
        <w:autoSpaceDN w:val="0"/>
        <w:adjustRightInd w:val="0"/>
        <w:jc w:val="both"/>
        <w:rPr>
          <w:lang w:eastAsia="ja-JP"/>
        </w:rPr>
      </w:pPr>
      <w:proofErr w:type="gramStart"/>
      <w:r w:rsidRPr="00FE4453">
        <w:rPr>
          <w:lang w:eastAsia="ja-JP"/>
        </w:rPr>
        <w:lastRenderedPageBreak/>
        <w:t>un</w:t>
      </w:r>
      <w:proofErr w:type="gramEnd"/>
      <w:r w:rsidRPr="00FE4453">
        <w:rPr>
          <w:lang w:eastAsia="ja-JP"/>
        </w:rPr>
        <w:t xml:space="preserve"> examen de la question de savoir si « les techniques d'interrogatoire</w:t>
      </w:r>
    </w:p>
    <w:p w14:paraId="5E120029" w14:textId="77777777" w:rsidR="00286906" w:rsidRPr="00FE4453" w:rsidRDefault="00286906" w:rsidP="0031577D">
      <w:pPr>
        <w:autoSpaceDE w:val="0"/>
        <w:autoSpaceDN w:val="0"/>
        <w:adjustRightInd w:val="0"/>
        <w:jc w:val="both"/>
        <w:rPr>
          <w:lang w:eastAsia="ja-JP"/>
        </w:rPr>
      </w:pPr>
      <w:proofErr w:type="gramStart"/>
      <w:r w:rsidRPr="00FE4453">
        <w:rPr>
          <w:lang w:eastAsia="ja-JP"/>
        </w:rPr>
        <w:t>appliquées</w:t>
      </w:r>
      <w:proofErr w:type="gramEnd"/>
      <w:r w:rsidRPr="00FE4453">
        <w:rPr>
          <w:lang w:eastAsia="ja-JP"/>
        </w:rPr>
        <w:t xml:space="preserve"> à M. Kemal </w:t>
      </w:r>
      <w:proofErr w:type="spellStart"/>
      <w:r w:rsidRPr="00FE4453">
        <w:rPr>
          <w:lang w:eastAsia="ja-JP"/>
        </w:rPr>
        <w:t>Koç</w:t>
      </w:r>
      <w:proofErr w:type="spellEnd"/>
      <w:r w:rsidRPr="00FE4453">
        <w:rPr>
          <w:lang w:eastAsia="ja-JP"/>
        </w:rPr>
        <w:t xml:space="preserve"> relèvent d'une pratique largement répandue en</w:t>
      </w:r>
    </w:p>
    <w:p w14:paraId="739D1BCE" w14:textId="77777777" w:rsidR="00286906" w:rsidRPr="00FE4453" w:rsidRDefault="00286906" w:rsidP="0031577D">
      <w:pPr>
        <w:autoSpaceDE w:val="0"/>
        <w:autoSpaceDN w:val="0"/>
        <w:adjustRightInd w:val="0"/>
        <w:jc w:val="both"/>
        <w:rPr>
          <w:lang w:eastAsia="ja-JP"/>
        </w:rPr>
      </w:pPr>
      <w:r w:rsidRPr="00FE4453">
        <w:rPr>
          <w:lang w:eastAsia="ja-JP"/>
        </w:rPr>
        <w:t>Turquie (...) », le gouvernement requérant se réfère à une série de rapports</w:t>
      </w:r>
    </w:p>
    <w:p w14:paraId="6D4091CA" w14:textId="77777777" w:rsidR="00286906" w:rsidRPr="00FE4453" w:rsidRDefault="00286906" w:rsidP="0031577D">
      <w:pPr>
        <w:autoSpaceDE w:val="0"/>
        <w:autoSpaceDN w:val="0"/>
        <w:adjustRightInd w:val="0"/>
        <w:jc w:val="both"/>
        <w:rPr>
          <w:lang w:eastAsia="ja-JP"/>
        </w:rPr>
      </w:pPr>
      <w:proofErr w:type="gramStart"/>
      <w:r w:rsidRPr="00FE4453">
        <w:rPr>
          <w:lang w:eastAsia="ja-JP"/>
        </w:rPr>
        <w:t>internationaux</w:t>
      </w:r>
      <w:proofErr w:type="gramEnd"/>
      <w:r w:rsidRPr="00FE4453">
        <w:rPr>
          <w:lang w:eastAsia="ja-JP"/>
        </w:rPr>
        <w:t xml:space="preserve"> produits par diverses institutions et en particulier par le</w:t>
      </w:r>
    </w:p>
    <w:p w14:paraId="6125D835" w14:textId="77777777" w:rsidR="00286906" w:rsidRPr="00FE4453" w:rsidRDefault="00286906" w:rsidP="0031577D">
      <w:pPr>
        <w:autoSpaceDE w:val="0"/>
        <w:autoSpaceDN w:val="0"/>
        <w:adjustRightInd w:val="0"/>
        <w:jc w:val="both"/>
        <w:rPr>
          <w:lang w:eastAsia="ja-JP"/>
        </w:rPr>
      </w:pPr>
      <w:r w:rsidRPr="00FE4453">
        <w:rPr>
          <w:lang w:eastAsia="ja-JP"/>
        </w:rPr>
        <w:t>Comité européen pour la prévention de la torture et des peines et traitements</w:t>
      </w:r>
    </w:p>
    <w:p w14:paraId="03E463C4" w14:textId="77777777" w:rsidR="00286906" w:rsidRPr="00FE4453" w:rsidRDefault="00286906" w:rsidP="0031577D">
      <w:pPr>
        <w:autoSpaceDE w:val="0"/>
        <w:autoSpaceDN w:val="0"/>
        <w:adjustRightInd w:val="0"/>
        <w:jc w:val="both"/>
        <w:rPr>
          <w:lang w:eastAsia="ja-JP"/>
        </w:rPr>
      </w:pPr>
      <w:proofErr w:type="gramStart"/>
      <w:r w:rsidRPr="00FE4453">
        <w:rPr>
          <w:lang w:eastAsia="ja-JP"/>
        </w:rPr>
        <w:t>inhumains</w:t>
      </w:r>
      <w:proofErr w:type="gramEnd"/>
      <w:r w:rsidRPr="00FE4453">
        <w:rPr>
          <w:lang w:eastAsia="ja-JP"/>
        </w:rPr>
        <w:t xml:space="preserve"> ou dégradants, le Comité des Nations unies contre la torture, le</w:t>
      </w:r>
    </w:p>
    <w:p w14:paraId="6BD40901" w14:textId="77777777" w:rsidR="00286906" w:rsidRPr="00FE4453" w:rsidRDefault="00286906" w:rsidP="0031577D">
      <w:pPr>
        <w:autoSpaceDE w:val="0"/>
        <w:autoSpaceDN w:val="0"/>
        <w:adjustRightInd w:val="0"/>
        <w:jc w:val="both"/>
        <w:rPr>
          <w:lang w:eastAsia="ja-JP"/>
        </w:rPr>
      </w:pPr>
      <w:r w:rsidRPr="00FE4453">
        <w:rPr>
          <w:lang w:eastAsia="ja-JP"/>
        </w:rPr>
        <w:t>Comité des droits de l'homme des Nations unies, Amnesty International et</w:t>
      </w:r>
    </w:p>
    <w:p w14:paraId="7EDBB056" w14:textId="406A4B0C" w:rsidR="00286906" w:rsidRPr="00FE4453" w:rsidRDefault="00286906" w:rsidP="0031577D">
      <w:pPr>
        <w:autoSpaceDE w:val="0"/>
        <w:autoSpaceDN w:val="0"/>
        <w:adjustRightInd w:val="0"/>
        <w:jc w:val="both"/>
        <w:rPr>
          <w:lang w:eastAsia="ja-JP"/>
        </w:rPr>
      </w:pPr>
      <w:r w:rsidRPr="00FE4453">
        <w:rPr>
          <w:lang w:eastAsia="ja-JP"/>
        </w:rPr>
        <w:t xml:space="preserve">Human </w:t>
      </w:r>
      <w:proofErr w:type="spellStart"/>
      <w:r w:rsidRPr="00FE4453">
        <w:rPr>
          <w:lang w:eastAsia="ja-JP"/>
        </w:rPr>
        <w:t>Rights</w:t>
      </w:r>
      <w:proofErr w:type="spellEnd"/>
      <w:r w:rsidRPr="00FE4453">
        <w:rPr>
          <w:lang w:eastAsia="ja-JP"/>
        </w:rPr>
        <w:t xml:space="preserve"> Watch.</w:t>
      </w:r>
    </w:p>
    <w:p w14:paraId="5AADDF29" w14:textId="473E6185" w:rsidR="006A19FC" w:rsidRPr="00FE4453" w:rsidRDefault="006A19FC" w:rsidP="0031577D">
      <w:pPr>
        <w:autoSpaceDE w:val="0"/>
        <w:autoSpaceDN w:val="0"/>
        <w:adjustRightInd w:val="0"/>
        <w:jc w:val="both"/>
        <w:rPr>
          <w:b/>
          <w:bCs/>
          <w:lang w:eastAsia="ja-JP"/>
        </w:rPr>
      </w:pPr>
      <w:r w:rsidRPr="00FE4453">
        <w:rPr>
          <w:b/>
          <w:bCs/>
          <w:lang w:eastAsia="ja-JP"/>
        </w:rPr>
        <w:t>En droit</w:t>
      </w:r>
    </w:p>
    <w:p w14:paraId="02577116" w14:textId="77777777" w:rsidR="001E6DF6" w:rsidRPr="00FE4453" w:rsidRDefault="001E6DF6" w:rsidP="0031577D">
      <w:pPr>
        <w:autoSpaceDE w:val="0"/>
        <w:autoSpaceDN w:val="0"/>
        <w:adjustRightInd w:val="0"/>
        <w:jc w:val="both"/>
        <w:rPr>
          <w:lang w:eastAsia="ja-JP"/>
        </w:rPr>
      </w:pPr>
      <w:r w:rsidRPr="00FE4453">
        <w:rPr>
          <w:lang w:eastAsia="ja-JP"/>
        </w:rPr>
        <w:t>23. La Cour prend note du règlement amiable intervenu entre les parties.</w:t>
      </w:r>
    </w:p>
    <w:p w14:paraId="6F9A062C" w14:textId="77777777" w:rsidR="001E6DF6" w:rsidRPr="00FE4453" w:rsidRDefault="001E6DF6" w:rsidP="0031577D">
      <w:pPr>
        <w:autoSpaceDE w:val="0"/>
        <w:autoSpaceDN w:val="0"/>
        <w:adjustRightInd w:val="0"/>
        <w:jc w:val="both"/>
        <w:rPr>
          <w:lang w:eastAsia="ja-JP"/>
        </w:rPr>
      </w:pPr>
      <w:r w:rsidRPr="00FE4453">
        <w:rPr>
          <w:lang w:eastAsia="ja-JP"/>
        </w:rPr>
        <w:t>Elle observe qu'il prévoit notamment le versement d'une somme d'argent au</w:t>
      </w:r>
    </w:p>
    <w:p w14:paraId="02EBB423" w14:textId="77777777" w:rsidR="001E6DF6" w:rsidRPr="00FE4453" w:rsidRDefault="001E6DF6" w:rsidP="0031577D">
      <w:pPr>
        <w:autoSpaceDE w:val="0"/>
        <w:autoSpaceDN w:val="0"/>
        <w:adjustRightInd w:val="0"/>
        <w:jc w:val="both"/>
        <w:rPr>
          <w:lang w:eastAsia="ja-JP"/>
        </w:rPr>
      </w:pPr>
      <w:proofErr w:type="gramStart"/>
      <w:r w:rsidRPr="00FE4453">
        <w:rPr>
          <w:lang w:eastAsia="ja-JP"/>
        </w:rPr>
        <w:t>gouvernement</w:t>
      </w:r>
      <w:proofErr w:type="gramEnd"/>
      <w:r w:rsidRPr="00FE4453">
        <w:rPr>
          <w:lang w:eastAsia="ja-JP"/>
        </w:rPr>
        <w:t xml:space="preserve"> requérant, comporte une déclaration de regret du</w:t>
      </w:r>
    </w:p>
    <w:p w14:paraId="276A475B" w14:textId="77777777" w:rsidR="001E6DF6" w:rsidRPr="00FE4453" w:rsidRDefault="001E6DF6" w:rsidP="0031577D">
      <w:pPr>
        <w:autoSpaceDE w:val="0"/>
        <w:autoSpaceDN w:val="0"/>
        <w:adjustRightInd w:val="0"/>
        <w:jc w:val="both"/>
        <w:rPr>
          <w:lang w:eastAsia="ja-JP"/>
        </w:rPr>
      </w:pPr>
      <w:proofErr w:type="gramStart"/>
      <w:r w:rsidRPr="00FE4453">
        <w:rPr>
          <w:lang w:eastAsia="ja-JP"/>
        </w:rPr>
        <w:t>gouvernement</w:t>
      </w:r>
      <w:proofErr w:type="gramEnd"/>
      <w:r w:rsidRPr="00FE4453">
        <w:rPr>
          <w:lang w:eastAsia="ja-JP"/>
        </w:rPr>
        <w:t xml:space="preserve"> défendeur concernant la survenance de cas occasionnels et</w:t>
      </w:r>
    </w:p>
    <w:p w14:paraId="33404115" w14:textId="77777777" w:rsidR="001E6DF6" w:rsidRPr="00FE4453" w:rsidRDefault="001E6DF6" w:rsidP="0031577D">
      <w:pPr>
        <w:autoSpaceDE w:val="0"/>
        <w:autoSpaceDN w:val="0"/>
        <w:adjustRightInd w:val="0"/>
        <w:jc w:val="both"/>
        <w:rPr>
          <w:lang w:eastAsia="ja-JP"/>
        </w:rPr>
      </w:pPr>
      <w:proofErr w:type="gramStart"/>
      <w:r w:rsidRPr="00FE4453">
        <w:rPr>
          <w:lang w:eastAsia="ja-JP"/>
        </w:rPr>
        <w:t>individuels</w:t>
      </w:r>
      <w:proofErr w:type="gramEnd"/>
      <w:r w:rsidRPr="00FE4453">
        <w:rPr>
          <w:lang w:eastAsia="ja-JP"/>
        </w:rPr>
        <w:t xml:space="preserve"> de torture et de mauvais traitements en Turquie, souligne – en</w:t>
      </w:r>
    </w:p>
    <w:p w14:paraId="430D9700" w14:textId="77777777" w:rsidR="001E6DF6" w:rsidRPr="00FE4453" w:rsidRDefault="001E6DF6" w:rsidP="0031577D">
      <w:pPr>
        <w:autoSpaceDE w:val="0"/>
        <w:autoSpaceDN w:val="0"/>
        <w:adjustRightInd w:val="0"/>
        <w:jc w:val="both"/>
        <w:rPr>
          <w:lang w:eastAsia="ja-JP"/>
        </w:rPr>
      </w:pPr>
      <w:proofErr w:type="gramStart"/>
      <w:r w:rsidRPr="00FE4453">
        <w:rPr>
          <w:lang w:eastAsia="ja-JP"/>
        </w:rPr>
        <w:t>précisant</w:t>
      </w:r>
      <w:proofErr w:type="gramEnd"/>
      <w:r w:rsidRPr="00FE4453">
        <w:rPr>
          <w:lang w:eastAsia="ja-JP"/>
        </w:rPr>
        <w:t xml:space="preserve"> que la Turquie continue à participer au projet du Conseil de</w:t>
      </w:r>
    </w:p>
    <w:p w14:paraId="7B66A2B4" w14:textId="77777777" w:rsidR="001E6DF6" w:rsidRPr="00FE4453" w:rsidRDefault="001E6DF6" w:rsidP="0031577D">
      <w:pPr>
        <w:autoSpaceDE w:val="0"/>
        <w:autoSpaceDN w:val="0"/>
        <w:adjustRightInd w:val="0"/>
        <w:jc w:val="both"/>
        <w:rPr>
          <w:lang w:eastAsia="ja-JP"/>
        </w:rPr>
      </w:pPr>
      <w:proofErr w:type="gramStart"/>
      <w:r w:rsidRPr="00FE4453">
        <w:rPr>
          <w:lang w:eastAsia="ja-JP"/>
        </w:rPr>
        <w:t>l'Europe</w:t>
      </w:r>
      <w:proofErr w:type="gramEnd"/>
      <w:r w:rsidRPr="00FE4453">
        <w:rPr>
          <w:lang w:eastAsia="ja-JP"/>
        </w:rPr>
        <w:t xml:space="preserve"> sur la formation des policiers – l'importance de la formation des</w:t>
      </w:r>
    </w:p>
    <w:p w14:paraId="2B7CCD13" w14:textId="77777777" w:rsidR="001E6DF6" w:rsidRPr="00FE4453" w:rsidRDefault="001E6DF6" w:rsidP="0031577D">
      <w:pPr>
        <w:autoSpaceDE w:val="0"/>
        <w:autoSpaceDN w:val="0"/>
        <w:adjustRightInd w:val="0"/>
        <w:jc w:val="both"/>
        <w:rPr>
          <w:lang w:eastAsia="ja-JP"/>
        </w:rPr>
      </w:pPr>
      <w:proofErr w:type="gramStart"/>
      <w:r w:rsidRPr="00FE4453">
        <w:rPr>
          <w:lang w:eastAsia="ja-JP"/>
        </w:rPr>
        <w:t>policiers</w:t>
      </w:r>
      <w:proofErr w:type="gramEnd"/>
      <w:r w:rsidRPr="00FE4453">
        <w:rPr>
          <w:lang w:eastAsia="ja-JP"/>
        </w:rPr>
        <w:t xml:space="preserve"> turcs, et prévoit la mise en place d'un nouveau projet bilatéral dans</w:t>
      </w:r>
    </w:p>
    <w:p w14:paraId="6DD42B24" w14:textId="77777777" w:rsidR="001E6DF6" w:rsidRPr="00FE4453" w:rsidRDefault="001E6DF6" w:rsidP="0031577D">
      <w:pPr>
        <w:autoSpaceDE w:val="0"/>
        <w:autoSpaceDN w:val="0"/>
        <w:adjustRightInd w:val="0"/>
        <w:jc w:val="both"/>
        <w:rPr>
          <w:lang w:eastAsia="ja-JP"/>
        </w:rPr>
      </w:pPr>
      <w:proofErr w:type="gramStart"/>
      <w:r w:rsidRPr="00FE4453">
        <w:rPr>
          <w:lang w:eastAsia="ja-JP"/>
        </w:rPr>
        <w:t>ce</w:t>
      </w:r>
      <w:proofErr w:type="gramEnd"/>
      <w:r w:rsidRPr="00FE4453">
        <w:rPr>
          <w:lang w:eastAsia="ja-JP"/>
        </w:rPr>
        <w:t xml:space="preserve"> domaine. L'accord annonce de surcroît l'établissement, entre le Danemark</w:t>
      </w:r>
    </w:p>
    <w:p w14:paraId="7F87EABA" w14:textId="77777777" w:rsidR="001E6DF6" w:rsidRPr="00FE4453" w:rsidRDefault="001E6DF6" w:rsidP="0031577D">
      <w:pPr>
        <w:autoSpaceDE w:val="0"/>
        <w:autoSpaceDN w:val="0"/>
        <w:adjustRightInd w:val="0"/>
        <w:jc w:val="both"/>
        <w:rPr>
          <w:lang w:eastAsia="ja-JP"/>
        </w:rPr>
      </w:pPr>
      <w:proofErr w:type="gramStart"/>
      <w:r w:rsidRPr="00FE4453">
        <w:rPr>
          <w:lang w:eastAsia="ja-JP"/>
        </w:rPr>
        <w:t>et</w:t>
      </w:r>
      <w:proofErr w:type="gramEnd"/>
      <w:r w:rsidRPr="00FE4453">
        <w:rPr>
          <w:lang w:eastAsia="ja-JP"/>
        </w:rPr>
        <w:t xml:space="preserve"> la Turquie, d'un dialogue politique permanent qui sera également axé sur</w:t>
      </w:r>
    </w:p>
    <w:p w14:paraId="1C44DC15" w14:textId="77777777" w:rsidR="001E6DF6" w:rsidRPr="00FE4453" w:rsidRDefault="001E6DF6" w:rsidP="0031577D">
      <w:pPr>
        <w:autoSpaceDE w:val="0"/>
        <w:autoSpaceDN w:val="0"/>
        <w:adjustRightInd w:val="0"/>
        <w:jc w:val="both"/>
        <w:rPr>
          <w:lang w:eastAsia="ja-JP"/>
        </w:rPr>
      </w:pPr>
      <w:proofErr w:type="gramStart"/>
      <w:r w:rsidRPr="00FE4453">
        <w:rPr>
          <w:lang w:eastAsia="ja-JP"/>
        </w:rPr>
        <w:t>les</w:t>
      </w:r>
      <w:proofErr w:type="gramEnd"/>
      <w:r w:rsidRPr="00FE4453">
        <w:rPr>
          <w:lang w:eastAsia="ja-JP"/>
        </w:rPr>
        <w:t xml:space="preserve"> questions intéressant les droits de l'homme et dans le cadre duquel les</w:t>
      </w:r>
    </w:p>
    <w:p w14:paraId="18BBC482" w14:textId="77777777" w:rsidR="001E6DF6" w:rsidRPr="00FE4453" w:rsidRDefault="001E6DF6" w:rsidP="0031577D">
      <w:pPr>
        <w:autoSpaceDE w:val="0"/>
        <w:autoSpaceDN w:val="0"/>
        <w:adjustRightInd w:val="0"/>
        <w:jc w:val="both"/>
        <w:rPr>
          <w:lang w:eastAsia="ja-JP"/>
        </w:rPr>
      </w:pPr>
      <w:proofErr w:type="gramStart"/>
      <w:r w:rsidRPr="00FE4453">
        <w:rPr>
          <w:lang w:eastAsia="ja-JP"/>
        </w:rPr>
        <w:t>cas</w:t>
      </w:r>
      <w:proofErr w:type="gramEnd"/>
      <w:r w:rsidRPr="00FE4453">
        <w:rPr>
          <w:lang w:eastAsia="ja-JP"/>
        </w:rPr>
        <w:t xml:space="preserve"> individuels pourront être évoqués.</w:t>
      </w:r>
    </w:p>
    <w:p w14:paraId="766E6F83" w14:textId="77777777" w:rsidR="001E6DF6" w:rsidRPr="00FE4453" w:rsidRDefault="001E6DF6" w:rsidP="0031577D">
      <w:pPr>
        <w:autoSpaceDE w:val="0"/>
        <w:autoSpaceDN w:val="0"/>
        <w:adjustRightInd w:val="0"/>
        <w:jc w:val="both"/>
        <w:rPr>
          <w:lang w:eastAsia="ja-JP"/>
        </w:rPr>
      </w:pPr>
      <w:r w:rsidRPr="00FE4453">
        <w:rPr>
          <w:lang w:eastAsia="ja-JP"/>
        </w:rPr>
        <w:t>24. La Cour note également les modifications du cadre législatif et</w:t>
      </w:r>
    </w:p>
    <w:p w14:paraId="05B8EEF4" w14:textId="77777777" w:rsidR="001E6DF6" w:rsidRPr="00FE4453" w:rsidRDefault="001E6DF6" w:rsidP="0031577D">
      <w:pPr>
        <w:autoSpaceDE w:val="0"/>
        <w:autoSpaceDN w:val="0"/>
        <w:adjustRightInd w:val="0"/>
        <w:jc w:val="both"/>
        <w:rPr>
          <w:lang w:eastAsia="ja-JP"/>
        </w:rPr>
      </w:pPr>
      <w:proofErr w:type="gramStart"/>
      <w:r w:rsidRPr="00FE4453">
        <w:rPr>
          <w:lang w:eastAsia="ja-JP"/>
        </w:rPr>
        <w:t>administratif</w:t>
      </w:r>
      <w:proofErr w:type="gramEnd"/>
      <w:r w:rsidRPr="00FE4453">
        <w:rPr>
          <w:lang w:eastAsia="ja-JP"/>
        </w:rPr>
        <w:t xml:space="preserve"> qui ont été opérées en Turquie en réaction aux cas de torture et</w:t>
      </w:r>
    </w:p>
    <w:p w14:paraId="22B3AB95" w14:textId="77777777" w:rsidR="001E6DF6" w:rsidRPr="00FE4453" w:rsidRDefault="001E6DF6" w:rsidP="0031577D">
      <w:pPr>
        <w:autoSpaceDE w:val="0"/>
        <w:autoSpaceDN w:val="0"/>
        <w:adjustRightInd w:val="0"/>
        <w:jc w:val="both"/>
        <w:rPr>
          <w:lang w:eastAsia="ja-JP"/>
        </w:rPr>
      </w:pPr>
      <w:proofErr w:type="gramStart"/>
      <w:r w:rsidRPr="00FE4453">
        <w:rPr>
          <w:lang w:eastAsia="ja-JP"/>
        </w:rPr>
        <w:t>de</w:t>
      </w:r>
      <w:proofErr w:type="gramEnd"/>
      <w:r w:rsidRPr="00FE4453">
        <w:rPr>
          <w:lang w:eastAsia="ja-JP"/>
        </w:rPr>
        <w:t xml:space="preserve"> mauvais traitements, ainsi que l'engagement pris par le gouvernement</w:t>
      </w:r>
    </w:p>
    <w:p w14:paraId="61CA3BA8" w14:textId="77777777" w:rsidR="001E6DF6" w:rsidRPr="00FE4453" w:rsidRDefault="001E6DF6" w:rsidP="0031577D">
      <w:pPr>
        <w:autoSpaceDE w:val="0"/>
        <w:autoSpaceDN w:val="0"/>
        <w:adjustRightInd w:val="0"/>
        <w:jc w:val="both"/>
        <w:rPr>
          <w:lang w:eastAsia="ja-JP"/>
        </w:rPr>
      </w:pPr>
      <w:proofErr w:type="gramStart"/>
      <w:r w:rsidRPr="00FE4453">
        <w:rPr>
          <w:lang w:eastAsia="ja-JP"/>
        </w:rPr>
        <w:t>défendeur</w:t>
      </w:r>
      <w:proofErr w:type="gramEnd"/>
      <w:r w:rsidRPr="00FE4453">
        <w:rPr>
          <w:lang w:eastAsia="ja-JP"/>
        </w:rPr>
        <w:t xml:space="preserve"> d'apporter de nouvelles améliorations dans le domaine des droits</w:t>
      </w:r>
    </w:p>
    <w:p w14:paraId="265F95A4" w14:textId="77777777" w:rsidR="001E6DF6" w:rsidRPr="00FE4453" w:rsidRDefault="001E6DF6" w:rsidP="0031577D">
      <w:pPr>
        <w:autoSpaceDE w:val="0"/>
        <w:autoSpaceDN w:val="0"/>
        <w:adjustRightInd w:val="0"/>
        <w:jc w:val="both"/>
        <w:rPr>
          <w:lang w:eastAsia="ja-JP"/>
        </w:rPr>
      </w:pPr>
      <w:proofErr w:type="gramStart"/>
      <w:r w:rsidRPr="00FE4453">
        <w:rPr>
          <w:lang w:eastAsia="ja-JP"/>
        </w:rPr>
        <w:t>de</w:t>
      </w:r>
      <w:proofErr w:type="gramEnd"/>
      <w:r w:rsidRPr="00FE4453">
        <w:rPr>
          <w:lang w:eastAsia="ja-JP"/>
        </w:rPr>
        <w:t xml:space="preserve"> l'homme – spécialement en ce qui concerne la survenance de cas de</w:t>
      </w:r>
    </w:p>
    <w:p w14:paraId="3BFC86DA" w14:textId="77777777" w:rsidR="001E6DF6" w:rsidRPr="00FE4453" w:rsidRDefault="001E6DF6" w:rsidP="0031577D">
      <w:pPr>
        <w:autoSpaceDE w:val="0"/>
        <w:autoSpaceDN w:val="0"/>
        <w:adjustRightInd w:val="0"/>
        <w:jc w:val="both"/>
        <w:rPr>
          <w:lang w:eastAsia="ja-JP"/>
        </w:rPr>
      </w:pPr>
      <w:proofErr w:type="gramStart"/>
      <w:r w:rsidRPr="00FE4453">
        <w:rPr>
          <w:lang w:eastAsia="ja-JP"/>
        </w:rPr>
        <w:t>torture</w:t>
      </w:r>
      <w:proofErr w:type="gramEnd"/>
      <w:r w:rsidRPr="00FE4453">
        <w:rPr>
          <w:lang w:eastAsia="ja-JP"/>
        </w:rPr>
        <w:t xml:space="preserve"> et de mauvais traitements – et de continuer à coopérer avec les</w:t>
      </w:r>
    </w:p>
    <w:p w14:paraId="61CE1D9A" w14:textId="77777777" w:rsidR="001E6DF6" w:rsidRPr="00FE4453" w:rsidRDefault="001E6DF6" w:rsidP="0031577D">
      <w:pPr>
        <w:autoSpaceDE w:val="0"/>
        <w:autoSpaceDN w:val="0"/>
        <w:adjustRightInd w:val="0"/>
        <w:jc w:val="both"/>
        <w:rPr>
          <w:lang w:eastAsia="ja-JP"/>
        </w:rPr>
      </w:pPr>
      <w:proofErr w:type="gramStart"/>
      <w:r w:rsidRPr="00FE4453">
        <w:rPr>
          <w:lang w:eastAsia="ja-JP"/>
        </w:rPr>
        <w:t>organes</w:t>
      </w:r>
      <w:proofErr w:type="gramEnd"/>
      <w:r w:rsidRPr="00FE4453">
        <w:rPr>
          <w:lang w:eastAsia="ja-JP"/>
        </w:rPr>
        <w:t xml:space="preserve"> internationaux </w:t>
      </w:r>
      <w:proofErr w:type="spellStart"/>
      <w:r w:rsidRPr="00FE4453">
        <w:rPr>
          <w:lang w:eastAsia="ja-JP"/>
        </w:rPr>
        <w:t>oeuvrant</w:t>
      </w:r>
      <w:proofErr w:type="spellEnd"/>
      <w:r w:rsidRPr="00FE4453">
        <w:rPr>
          <w:lang w:eastAsia="ja-JP"/>
        </w:rPr>
        <w:t xml:space="preserve"> dans le domaine des droits de l'homme, en</w:t>
      </w:r>
    </w:p>
    <w:p w14:paraId="3B5296EE" w14:textId="77777777" w:rsidR="001E6DF6" w:rsidRPr="00FE4453" w:rsidRDefault="001E6DF6" w:rsidP="0031577D">
      <w:pPr>
        <w:autoSpaceDE w:val="0"/>
        <w:autoSpaceDN w:val="0"/>
        <w:adjustRightInd w:val="0"/>
        <w:jc w:val="both"/>
        <w:rPr>
          <w:lang w:eastAsia="ja-JP"/>
        </w:rPr>
      </w:pPr>
      <w:proofErr w:type="gramStart"/>
      <w:r w:rsidRPr="00FE4453">
        <w:rPr>
          <w:lang w:eastAsia="ja-JP"/>
        </w:rPr>
        <w:t>particulier</w:t>
      </w:r>
      <w:proofErr w:type="gramEnd"/>
      <w:r w:rsidRPr="00FE4453">
        <w:rPr>
          <w:lang w:eastAsia="ja-JP"/>
        </w:rPr>
        <w:t xml:space="preserve"> avec le Comité pour la prévention de la torture.</w:t>
      </w:r>
    </w:p>
    <w:p w14:paraId="6A74F735" w14:textId="77777777" w:rsidR="001E6DF6" w:rsidRPr="00FE4453" w:rsidRDefault="001E6DF6" w:rsidP="0031577D">
      <w:pPr>
        <w:autoSpaceDE w:val="0"/>
        <w:autoSpaceDN w:val="0"/>
        <w:adjustRightInd w:val="0"/>
        <w:jc w:val="both"/>
        <w:rPr>
          <w:lang w:eastAsia="ja-JP"/>
        </w:rPr>
      </w:pPr>
      <w:r w:rsidRPr="00FE4453">
        <w:rPr>
          <w:lang w:eastAsia="ja-JP"/>
        </w:rPr>
        <w:t>25. Eu égard à ce qui précède, la Cour considère que le règlement</w:t>
      </w:r>
    </w:p>
    <w:p w14:paraId="243CA8C9" w14:textId="77777777" w:rsidR="001E6DF6" w:rsidRPr="00FE4453" w:rsidRDefault="001E6DF6" w:rsidP="0031577D">
      <w:pPr>
        <w:autoSpaceDE w:val="0"/>
        <w:autoSpaceDN w:val="0"/>
        <w:adjustRightInd w:val="0"/>
        <w:jc w:val="both"/>
        <w:rPr>
          <w:lang w:eastAsia="ja-JP"/>
        </w:rPr>
      </w:pPr>
      <w:proofErr w:type="gramStart"/>
      <w:r w:rsidRPr="00FE4453">
        <w:rPr>
          <w:lang w:eastAsia="ja-JP"/>
        </w:rPr>
        <w:t>amiable</w:t>
      </w:r>
      <w:proofErr w:type="gramEnd"/>
      <w:r w:rsidRPr="00FE4453">
        <w:rPr>
          <w:lang w:eastAsia="ja-JP"/>
        </w:rPr>
        <w:t xml:space="preserve"> intervenu (article 39 de la Convention) s'inspire du respect des</w:t>
      </w:r>
    </w:p>
    <w:p w14:paraId="4623FC83" w14:textId="77777777" w:rsidR="001E6DF6" w:rsidRPr="00FE4453" w:rsidRDefault="001E6DF6" w:rsidP="0031577D">
      <w:pPr>
        <w:autoSpaceDE w:val="0"/>
        <w:autoSpaceDN w:val="0"/>
        <w:adjustRightInd w:val="0"/>
        <w:jc w:val="both"/>
        <w:rPr>
          <w:lang w:eastAsia="ja-JP"/>
        </w:rPr>
      </w:pPr>
      <w:proofErr w:type="gramStart"/>
      <w:r w:rsidRPr="00FE4453">
        <w:rPr>
          <w:lang w:eastAsia="ja-JP"/>
        </w:rPr>
        <w:t>droits</w:t>
      </w:r>
      <w:proofErr w:type="gramEnd"/>
      <w:r w:rsidRPr="00FE4453">
        <w:rPr>
          <w:lang w:eastAsia="ja-JP"/>
        </w:rPr>
        <w:t xml:space="preserve"> de l'homme tels que les reconnaissent la Convention ou ses Protocoles</w:t>
      </w:r>
    </w:p>
    <w:p w14:paraId="6D9B1118" w14:textId="77777777" w:rsidR="001E6DF6" w:rsidRPr="00FE4453" w:rsidRDefault="001E6DF6" w:rsidP="0031577D">
      <w:pPr>
        <w:autoSpaceDE w:val="0"/>
        <w:autoSpaceDN w:val="0"/>
        <w:adjustRightInd w:val="0"/>
        <w:jc w:val="both"/>
        <w:rPr>
          <w:lang w:eastAsia="ja-JP"/>
        </w:rPr>
      </w:pPr>
      <w:r w:rsidRPr="00FE4453">
        <w:rPr>
          <w:lang w:eastAsia="ja-JP"/>
        </w:rPr>
        <w:t>(</w:t>
      </w:r>
      <w:proofErr w:type="gramStart"/>
      <w:r w:rsidRPr="00FE4453">
        <w:rPr>
          <w:lang w:eastAsia="ja-JP"/>
        </w:rPr>
        <w:t>articles</w:t>
      </w:r>
      <w:proofErr w:type="gramEnd"/>
      <w:r w:rsidRPr="00FE4453">
        <w:rPr>
          <w:lang w:eastAsia="ja-JP"/>
        </w:rPr>
        <w:t xml:space="preserve"> 37 § 1 </w:t>
      </w:r>
      <w:r w:rsidRPr="00FE4453">
        <w:rPr>
          <w:i/>
          <w:iCs/>
          <w:lang w:eastAsia="ja-JP"/>
        </w:rPr>
        <w:t xml:space="preserve">in fine </w:t>
      </w:r>
      <w:r w:rsidRPr="00FE4453">
        <w:rPr>
          <w:lang w:eastAsia="ja-JP"/>
        </w:rPr>
        <w:t>de la Convention et 62 § 3 du règlement).</w:t>
      </w:r>
    </w:p>
    <w:p w14:paraId="70EBA7F2" w14:textId="77777777" w:rsidR="001E6DF6" w:rsidRPr="00FE4453" w:rsidRDefault="001E6DF6" w:rsidP="0031577D">
      <w:pPr>
        <w:autoSpaceDE w:val="0"/>
        <w:autoSpaceDN w:val="0"/>
        <w:adjustRightInd w:val="0"/>
        <w:jc w:val="both"/>
        <w:rPr>
          <w:lang w:eastAsia="ja-JP"/>
        </w:rPr>
      </w:pPr>
      <w:r w:rsidRPr="00FE4453">
        <w:rPr>
          <w:lang w:eastAsia="ja-JP"/>
        </w:rPr>
        <w:t>26. Partant, il convient de rayer l'affaire du rôle.</w:t>
      </w:r>
    </w:p>
    <w:p w14:paraId="1B96F437" w14:textId="77777777" w:rsidR="001E6DF6" w:rsidRPr="00FE4453" w:rsidRDefault="001E6DF6" w:rsidP="0031577D">
      <w:pPr>
        <w:autoSpaceDE w:val="0"/>
        <w:autoSpaceDN w:val="0"/>
        <w:adjustRightInd w:val="0"/>
        <w:jc w:val="both"/>
        <w:rPr>
          <w:lang w:eastAsia="ja-JP"/>
        </w:rPr>
      </w:pPr>
      <w:r w:rsidRPr="00FE4453">
        <w:rPr>
          <w:lang w:eastAsia="ja-JP"/>
        </w:rPr>
        <w:t>PAR CES MOTIFS, LA COUR, À L'UNANIMITÉ,</w:t>
      </w:r>
    </w:p>
    <w:p w14:paraId="09239ADB" w14:textId="77777777" w:rsidR="001E6DF6" w:rsidRPr="00FE4453" w:rsidRDefault="001E6DF6" w:rsidP="0031577D">
      <w:pPr>
        <w:autoSpaceDE w:val="0"/>
        <w:autoSpaceDN w:val="0"/>
        <w:adjustRightInd w:val="0"/>
        <w:jc w:val="both"/>
        <w:rPr>
          <w:lang w:eastAsia="ja-JP"/>
        </w:rPr>
      </w:pPr>
      <w:r w:rsidRPr="00FE4453">
        <w:rPr>
          <w:lang w:eastAsia="ja-JP"/>
        </w:rPr>
        <w:t xml:space="preserve">1. </w:t>
      </w:r>
      <w:r w:rsidRPr="00FE4453">
        <w:rPr>
          <w:i/>
          <w:iCs/>
          <w:lang w:eastAsia="ja-JP"/>
        </w:rPr>
        <w:t xml:space="preserve">Décide </w:t>
      </w:r>
      <w:r w:rsidRPr="00FE4453">
        <w:rPr>
          <w:lang w:eastAsia="ja-JP"/>
        </w:rPr>
        <w:t>de rayer l'affaire du rôle ;</w:t>
      </w:r>
    </w:p>
    <w:p w14:paraId="35F871DD" w14:textId="77777777" w:rsidR="001E6DF6" w:rsidRPr="00FE4453" w:rsidRDefault="001E6DF6" w:rsidP="0031577D">
      <w:pPr>
        <w:autoSpaceDE w:val="0"/>
        <w:autoSpaceDN w:val="0"/>
        <w:adjustRightInd w:val="0"/>
        <w:jc w:val="both"/>
        <w:rPr>
          <w:lang w:eastAsia="ja-JP"/>
        </w:rPr>
      </w:pPr>
      <w:r w:rsidRPr="00FE4453">
        <w:rPr>
          <w:lang w:eastAsia="ja-JP"/>
        </w:rPr>
        <w:t xml:space="preserve">2. </w:t>
      </w:r>
      <w:r w:rsidRPr="00FE4453">
        <w:rPr>
          <w:i/>
          <w:iCs/>
          <w:lang w:eastAsia="ja-JP"/>
        </w:rPr>
        <w:t xml:space="preserve">Prend note </w:t>
      </w:r>
      <w:r w:rsidRPr="00FE4453">
        <w:rPr>
          <w:lang w:eastAsia="ja-JP"/>
        </w:rPr>
        <w:t>de l'engagement des parties de ne pas demander le renvoi de</w:t>
      </w:r>
    </w:p>
    <w:p w14:paraId="17350EDE" w14:textId="77777777" w:rsidR="001E6DF6" w:rsidRPr="00FE4453" w:rsidRDefault="001E6DF6" w:rsidP="0031577D">
      <w:pPr>
        <w:autoSpaceDE w:val="0"/>
        <w:autoSpaceDN w:val="0"/>
        <w:adjustRightInd w:val="0"/>
        <w:jc w:val="both"/>
        <w:rPr>
          <w:lang w:eastAsia="ja-JP"/>
        </w:rPr>
      </w:pPr>
      <w:proofErr w:type="gramStart"/>
      <w:r w:rsidRPr="00FE4453">
        <w:rPr>
          <w:lang w:eastAsia="ja-JP"/>
        </w:rPr>
        <w:t>l'affaire</w:t>
      </w:r>
      <w:proofErr w:type="gramEnd"/>
      <w:r w:rsidRPr="00FE4453">
        <w:rPr>
          <w:lang w:eastAsia="ja-JP"/>
        </w:rPr>
        <w:t xml:space="preserve"> devant la Grande Chambre.</w:t>
      </w:r>
    </w:p>
    <w:p w14:paraId="40AC7AA2" w14:textId="1CBF3F1B" w:rsidR="0031577D" w:rsidRDefault="0031577D">
      <w:r>
        <w:br w:type="page"/>
      </w:r>
    </w:p>
    <w:p w14:paraId="6FE4B1B8" w14:textId="77777777" w:rsidR="006A19FC" w:rsidRPr="00FE4453" w:rsidRDefault="006A19FC" w:rsidP="000061B5">
      <w:pPr>
        <w:pStyle w:val="Retraitcorpsdetexte2"/>
        <w:jc w:val="both"/>
        <w:rPr>
          <w:szCs w:val="24"/>
        </w:rPr>
      </w:pPr>
    </w:p>
    <w:p w14:paraId="724B62C7" w14:textId="77777777" w:rsidR="00082498" w:rsidRPr="00FE4453" w:rsidRDefault="0066709E" w:rsidP="000061B5">
      <w:pPr>
        <w:pStyle w:val="Retraitcorpsdetexte2"/>
        <w:jc w:val="both"/>
        <w:rPr>
          <w:b/>
          <w:bCs/>
          <w:szCs w:val="24"/>
        </w:rPr>
      </w:pPr>
      <w:bookmarkStart w:id="6" w:name="_Hlk50365586"/>
      <w:r w:rsidRPr="00FE4453">
        <w:rPr>
          <w:b/>
          <w:bCs/>
          <w:szCs w:val="24"/>
        </w:rPr>
        <w:t>2° La notion de victime</w:t>
      </w:r>
    </w:p>
    <w:bookmarkEnd w:id="6"/>
    <w:p w14:paraId="3DBD0632" w14:textId="3382C18D" w:rsidR="0041417D" w:rsidRDefault="004A740F" w:rsidP="000061B5">
      <w:pPr>
        <w:pStyle w:val="Retraitcorpsdetexte2"/>
        <w:jc w:val="both"/>
        <w:rPr>
          <w:szCs w:val="24"/>
        </w:rPr>
      </w:pPr>
      <w:r w:rsidRPr="00FE4453">
        <w:rPr>
          <w:szCs w:val="24"/>
        </w:rPr>
        <w:t>Pour pouvoir saisir la Cour européenne des droits de l’homme,</w:t>
      </w:r>
      <w:r w:rsidR="00CD4D91" w:rsidRPr="00FE4453">
        <w:rPr>
          <w:szCs w:val="24"/>
        </w:rPr>
        <w:t xml:space="preserve"> le requérant doit avoir été victime d'une violation des droits garantis par la convention. Il doit avoir un intérêt personnel à agir et ne peut demander à la cour d'examiner </w:t>
      </w:r>
      <w:r w:rsidR="00CD4D91" w:rsidRPr="00FE4453">
        <w:rPr>
          <w:i/>
          <w:iCs/>
          <w:szCs w:val="24"/>
        </w:rPr>
        <w:t>in abstracto</w:t>
      </w:r>
      <w:r w:rsidR="00CD4D91" w:rsidRPr="00FE4453">
        <w:rPr>
          <w:szCs w:val="24"/>
        </w:rPr>
        <w:t xml:space="preserve"> si une loi est ou non conforme à la convention ; les droits du requérant doivent avoir été lésé d'une manière concrète par une décision ou une mesure interne. </w:t>
      </w:r>
      <w:r w:rsidR="008D51C1" w:rsidRPr="00FE4453">
        <w:rPr>
          <w:szCs w:val="24"/>
        </w:rPr>
        <w:t>La</w:t>
      </w:r>
      <w:r w:rsidR="00CD4D91" w:rsidRPr="00FE4453">
        <w:rPr>
          <w:szCs w:val="24"/>
        </w:rPr>
        <w:t xml:space="preserve"> victime désigne la personne directement concernée par l’acte ou l’omission litigieux</w:t>
      </w:r>
      <w:r w:rsidR="008D51C1" w:rsidRPr="00FE4453">
        <w:rPr>
          <w:szCs w:val="24"/>
        </w:rPr>
        <w:t xml:space="preserve">. </w:t>
      </w:r>
    </w:p>
    <w:p w14:paraId="3A4812AB" w14:textId="77777777" w:rsidR="0031577D" w:rsidRDefault="0031577D" w:rsidP="000061B5">
      <w:pPr>
        <w:pStyle w:val="Retraitcorpsdetexte2"/>
        <w:jc w:val="both"/>
        <w:rPr>
          <w:szCs w:val="24"/>
        </w:rPr>
      </w:pPr>
    </w:p>
    <w:p w14:paraId="7E6DD5D5" w14:textId="122050AF" w:rsidR="00FE4453" w:rsidRPr="00BF6D66" w:rsidRDefault="00BF6D66" w:rsidP="000061B5">
      <w:pPr>
        <w:pStyle w:val="Retraitcorpsdetexte2"/>
        <w:numPr>
          <w:ilvl w:val="0"/>
          <w:numId w:val="1"/>
        </w:numPr>
        <w:jc w:val="both"/>
        <w:rPr>
          <w:b/>
          <w:bCs/>
          <w:szCs w:val="24"/>
        </w:rPr>
      </w:pPr>
      <w:r w:rsidRPr="00BF6D66">
        <w:rPr>
          <w:b/>
          <w:bCs/>
          <w:szCs w:val="24"/>
        </w:rPr>
        <w:t>Intérêt direct</w:t>
      </w:r>
    </w:p>
    <w:p w14:paraId="77950351" w14:textId="2F89CFBA" w:rsidR="0041417D" w:rsidRPr="00FE4453" w:rsidRDefault="00CD1335" w:rsidP="000061B5">
      <w:pPr>
        <w:pStyle w:val="Retraitcorpsdetexte2"/>
        <w:jc w:val="both"/>
        <w:rPr>
          <w:szCs w:val="24"/>
        </w:rPr>
      </w:pPr>
      <w:r w:rsidRPr="00DE592D">
        <w:rPr>
          <w:szCs w:val="24"/>
          <w:highlight w:val="yellow"/>
        </w:rPr>
        <w:t xml:space="preserve">Exemple : </w:t>
      </w:r>
      <w:r w:rsidR="00DF777A" w:rsidRPr="00DE592D">
        <w:rPr>
          <w:szCs w:val="24"/>
          <w:highlight w:val="yellow"/>
        </w:rPr>
        <w:t xml:space="preserve">Le Mailloux c/ France déc. 3 </w:t>
      </w:r>
      <w:r w:rsidR="00D97DAE" w:rsidRPr="00DE592D">
        <w:rPr>
          <w:szCs w:val="24"/>
          <w:highlight w:val="yellow"/>
        </w:rPr>
        <w:t xml:space="preserve">novembre 2020 ; </w:t>
      </w:r>
      <w:proofErr w:type="spellStart"/>
      <w:r w:rsidR="00D97DAE" w:rsidRPr="00DE592D">
        <w:rPr>
          <w:szCs w:val="24"/>
          <w:highlight w:val="yellow"/>
        </w:rPr>
        <w:t>req</w:t>
      </w:r>
      <w:proofErr w:type="spellEnd"/>
      <w:r w:rsidR="00D97DAE" w:rsidRPr="00DE592D">
        <w:rPr>
          <w:szCs w:val="24"/>
          <w:highlight w:val="yellow"/>
        </w:rPr>
        <w:t xml:space="preserve">. </w:t>
      </w:r>
      <w:proofErr w:type="gramStart"/>
      <w:r w:rsidR="00D97DAE" w:rsidRPr="00DE592D">
        <w:rPr>
          <w:szCs w:val="24"/>
          <w:highlight w:val="yellow"/>
        </w:rPr>
        <w:t>n</w:t>
      </w:r>
      <w:proofErr w:type="gramEnd"/>
      <w:r w:rsidR="00D97DAE" w:rsidRPr="00DE592D">
        <w:rPr>
          <w:szCs w:val="24"/>
          <w:highlight w:val="yellow"/>
        </w:rPr>
        <w:t>°18108/20</w:t>
      </w:r>
    </w:p>
    <w:p w14:paraId="5A1E1908" w14:textId="77777777" w:rsidR="00515BEB" w:rsidRPr="00515BEB" w:rsidRDefault="00515BEB" w:rsidP="000061B5">
      <w:pPr>
        <w:pStyle w:val="Retraitcorpsdetexte2"/>
        <w:spacing w:line="240" w:lineRule="auto"/>
        <w:jc w:val="both"/>
        <w:rPr>
          <w:szCs w:val="24"/>
        </w:rPr>
      </w:pPr>
      <w:r w:rsidRPr="00515BEB">
        <w:rPr>
          <w:szCs w:val="24"/>
        </w:rPr>
        <w:t>EN DROIT</w:t>
      </w:r>
    </w:p>
    <w:p w14:paraId="4FB32857" w14:textId="77777777" w:rsidR="00515BEB" w:rsidRPr="00515BEB" w:rsidRDefault="00515BEB" w:rsidP="000061B5">
      <w:pPr>
        <w:pStyle w:val="Retraitcorpsdetexte2"/>
        <w:spacing w:line="240" w:lineRule="auto"/>
        <w:jc w:val="both"/>
        <w:rPr>
          <w:szCs w:val="24"/>
        </w:rPr>
      </w:pPr>
      <w:r w:rsidRPr="00515BEB">
        <w:rPr>
          <w:szCs w:val="24"/>
        </w:rPr>
        <w:t>8.  Le requérant invoque les articles 2, 3, 8 et 10 de la Convention aux termes desquels :</w:t>
      </w:r>
    </w:p>
    <w:p w14:paraId="2235E7AA" w14:textId="0E3A5DFB" w:rsidR="00515BEB" w:rsidRPr="00515BEB" w:rsidRDefault="00515BEB" w:rsidP="000061B5">
      <w:pPr>
        <w:pStyle w:val="Retraitcorpsdetexte2"/>
        <w:spacing w:line="240" w:lineRule="auto"/>
        <w:jc w:val="both"/>
        <w:rPr>
          <w:szCs w:val="24"/>
        </w:rPr>
      </w:pPr>
      <w:r w:rsidRPr="00515BEB">
        <w:rPr>
          <w:szCs w:val="24"/>
        </w:rPr>
        <w:t xml:space="preserv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w:t>
      </w:r>
    </w:p>
    <w:p w14:paraId="09052EA4" w14:textId="77777777" w:rsidR="00515BEB" w:rsidRPr="00515BEB" w:rsidRDefault="00515BEB" w:rsidP="000061B5">
      <w:pPr>
        <w:pStyle w:val="Retraitcorpsdetexte2"/>
        <w:spacing w:line="240" w:lineRule="auto"/>
        <w:jc w:val="both"/>
        <w:rPr>
          <w:szCs w:val="24"/>
        </w:rPr>
      </w:pPr>
      <w:r w:rsidRPr="00515BEB">
        <w:rPr>
          <w:szCs w:val="24"/>
        </w:rPr>
        <w:t>9.  La Cour rappelle que si le droit à la santé ne fait pas partie en tant que tel des droits garantis par la Convention, les États ont l’obligation positive de prendre les mesures nécessaires à la protection de la vie des personnes relevant de leur juridiction et de protéger leur intégrité physique, y compris dans le domaine de la santé publique (</w:t>
      </w:r>
      <w:r w:rsidRPr="00515BEB">
        <w:rPr>
          <w:i/>
          <w:iCs/>
          <w:szCs w:val="24"/>
        </w:rPr>
        <w:t>Lopes de Sousa Fernandes c. Portugal</w:t>
      </w:r>
      <w:r w:rsidRPr="00515BEB">
        <w:rPr>
          <w:szCs w:val="24"/>
        </w:rPr>
        <w:t> [GC], no </w:t>
      </w:r>
      <w:hyperlink r:id="rId18" w:anchor="{%22appno%22:[%2256080/13%22]}" w:tgtFrame="_blank" w:history="1">
        <w:r w:rsidRPr="00515BEB">
          <w:rPr>
            <w:rStyle w:val="Lienhypertexte"/>
            <w:szCs w:val="24"/>
          </w:rPr>
          <w:t>56080/13</w:t>
        </w:r>
      </w:hyperlink>
      <w:r w:rsidRPr="00515BEB">
        <w:rPr>
          <w:szCs w:val="24"/>
        </w:rPr>
        <w:t>, § 165, 19 décembre 2017, </w:t>
      </w:r>
      <w:proofErr w:type="spellStart"/>
      <w:r w:rsidRPr="00515BEB">
        <w:rPr>
          <w:i/>
          <w:iCs/>
          <w:szCs w:val="24"/>
        </w:rPr>
        <w:t>Vasileva</w:t>
      </w:r>
      <w:proofErr w:type="spellEnd"/>
      <w:r w:rsidRPr="00515BEB">
        <w:rPr>
          <w:i/>
          <w:iCs/>
          <w:szCs w:val="24"/>
        </w:rPr>
        <w:t xml:space="preserve"> c. Bulgarie</w:t>
      </w:r>
      <w:r w:rsidRPr="00515BEB">
        <w:rPr>
          <w:szCs w:val="24"/>
        </w:rPr>
        <w:t>, no </w:t>
      </w:r>
      <w:hyperlink r:id="rId19" w:anchor="{%22appno%22:[%2223796/10%22]}" w:tgtFrame="_blank" w:history="1">
        <w:r w:rsidRPr="00515BEB">
          <w:rPr>
            <w:rStyle w:val="Lienhypertexte"/>
            <w:szCs w:val="24"/>
          </w:rPr>
          <w:t>23796/10</w:t>
        </w:r>
      </w:hyperlink>
      <w:r w:rsidRPr="00515BEB">
        <w:rPr>
          <w:szCs w:val="24"/>
        </w:rPr>
        <w:t>, §§ 63-69, 17 mars 2016). Cela étant, la Cour n’a pas à trancher la question de savoir si l’État a manqué à ces obligations positives dans la mesure où la requête est irrecevable pour les raisons suivantes.</w:t>
      </w:r>
    </w:p>
    <w:p w14:paraId="26DB00CD" w14:textId="77777777" w:rsidR="00515BEB" w:rsidRPr="00515BEB" w:rsidRDefault="00515BEB" w:rsidP="000061B5">
      <w:pPr>
        <w:pStyle w:val="Retraitcorpsdetexte2"/>
        <w:spacing w:line="240" w:lineRule="auto"/>
        <w:jc w:val="both"/>
        <w:rPr>
          <w:szCs w:val="24"/>
        </w:rPr>
      </w:pPr>
      <w:r w:rsidRPr="00515BEB">
        <w:rPr>
          <w:szCs w:val="24"/>
        </w:rPr>
        <w:t>10.  La Cour rappelle que pour se prévaloir de l’article 34 de la Convention, un requérant doit pouvoir se prétendre victime d’une violation de la Convention ; la notion de « victime », selon la jurisprudence constante de la Cour, doit être interprétée de façon autonome et indépendante des notions internes telles que celles concernant l’intérêt ou la qualité pour agir. L’intéressé doit pouvoir démontrer qu’il a « subi directement les effets » de la mesure litigieuse (</w:t>
      </w:r>
      <w:r w:rsidRPr="00515BEB">
        <w:rPr>
          <w:i/>
          <w:iCs/>
          <w:szCs w:val="24"/>
        </w:rPr>
        <w:t>Lambert et autres c. France</w:t>
      </w:r>
      <w:r w:rsidRPr="00515BEB">
        <w:rPr>
          <w:szCs w:val="24"/>
        </w:rPr>
        <w:t> [GC], no </w:t>
      </w:r>
      <w:hyperlink r:id="rId20" w:anchor="{%22appno%22:[%2246043/14%22]}" w:tgtFrame="_blank" w:history="1">
        <w:r w:rsidRPr="00515BEB">
          <w:rPr>
            <w:rStyle w:val="Lienhypertexte"/>
            <w:szCs w:val="24"/>
          </w:rPr>
          <w:t>46043/14</w:t>
        </w:r>
      </w:hyperlink>
      <w:r w:rsidRPr="00515BEB">
        <w:rPr>
          <w:szCs w:val="24"/>
        </w:rPr>
        <w:t>, § 89, CEDH 2015 (extraits)).</w:t>
      </w:r>
    </w:p>
    <w:p w14:paraId="3ABA8D4B" w14:textId="77777777" w:rsidR="00515BEB" w:rsidRPr="00515BEB" w:rsidRDefault="00515BEB" w:rsidP="000061B5">
      <w:pPr>
        <w:pStyle w:val="Retraitcorpsdetexte2"/>
        <w:spacing w:line="240" w:lineRule="auto"/>
        <w:jc w:val="both"/>
        <w:rPr>
          <w:szCs w:val="24"/>
        </w:rPr>
      </w:pPr>
      <w:r w:rsidRPr="00515BEB">
        <w:rPr>
          <w:szCs w:val="24"/>
        </w:rPr>
        <w:t>11.  Par ailleurs, l’article 34 de la Convention n’autorise pas à se plaindre </w:t>
      </w:r>
      <w:r w:rsidRPr="00515BEB">
        <w:rPr>
          <w:i/>
          <w:iCs/>
          <w:szCs w:val="24"/>
        </w:rPr>
        <w:t>in abstracto</w:t>
      </w:r>
      <w:r w:rsidRPr="00515BEB">
        <w:rPr>
          <w:szCs w:val="24"/>
        </w:rPr>
        <w:t> de violations de la Convention. Celle-ci ne reconnaît pas l’</w:t>
      </w:r>
      <w:r w:rsidRPr="00515BEB">
        <w:rPr>
          <w:i/>
          <w:iCs/>
          <w:szCs w:val="24"/>
        </w:rPr>
        <w:t xml:space="preserve">actio </w:t>
      </w:r>
      <w:proofErr w:type="spellStart"/>
      <w:r w:rsidRPr="00515BEB">
        <w:rPr>
          <w:i/>
          <w:iCs/>
          <w:szCs w:val="24"/>
        </w:rPr>
        <w:t>popularis</w:t>
      </w:r>
      <w:proofErr w:type="spellEnd"/>
      <w:r w:rsidRPr="00515BEB">
        <w:rPr>
          <w:szCs w:val="24"/>
        </w:rPr>
        <w:t>, ce qui signifie qu’un requérant ne peut se plaindre d’une disposition de droit interne, d’une pratique nationale ou d’un acte public simplement parce qu’ils lui paraissent enfreindre la Convention.</w:t>
      </w:r>
    </w:p>
    <w:p w14:paraId="21CB4167" w14:textId="77777777" w:rsidR="00515BEB" w:rsidRPr="00515BEB" w:rsidRDefault="00515BEB" w:rsidP="000061B5">
      <w:pPr>
        <w:pStyle w:val="Retraitcorpsdetexte2"/>
        <w:spacing w:line="240" w:lineRule="auto"/>
        <w:jc w:val="both"/>
        <w:rPr>
          <w:szCs w:val="24"/>
        </w:rPr>
      </w:pPr>
      <w:r w:rsidRPr="00515BEB">
        <w:rPr>
          <w:szCs w:val="24"/>
        </w:rPr>
        <w:t>Pour qu’un requérant puisse se prétendre victime, il faut qu’il produise des indices raisonnables et convaincants de la probabilité de réalisation d’une violation en ce qui le concerne personnellement ; de simples suspicions ou conjectures sont insuffisantes à cet égard (</w:t>
      </w:r>
      <w:r w:rsidRPr="00515BEB">
        <w:rPr>
          <w:i/>
          <w:iCs/>
          <w:szCs w:val="24"/>
        </w:rPr>
        <w:t xml:space="preserve">Centre de ressources juridiques au nom de Valentin </w:t>
      </w:r>
      <w:proofErr w:type="spellStart"/>
      <w:r w:rsidRPr="00515BEB">
        <w:rPr>
          <w:i/>
          <w:iCs/>
          <w:szCs w:val="24"/>
        </w:rPr>
        <w:t>Câmpeanu</w:t>
      </w:r>
      <w:proofErr w:type="spellEnd"/>
      <w:r w:rsidRPr="00515BEB">
        <w:rPr>
          <w:i/>
          <w:iCs/>
          <w:szCs w:val="24"/>
        </w:rPr>
        <w:t xml:space="preserve"> c. Roumanie</w:t>
      </w:r>
      <w:r w:rsidRPr="00515BEB">
        <w:rPr>
          <w:szCs w:val="24"/>
        </w:rPr>
        <w:t> [GC], no </w:t>
      </w:r>
      <w:hyperlink r:id="rId21" w:anchor="{%22appno%22:[%2247848/08%22]}" w:tgtFrame="_blank" w:history="1">
        <w:r w:rsidRPr="00515BEB">
          <w:rPr>
            <w:rStyle w:val="Lienhypertexte"/>
            <w:szCs w:val="24"/>
          </w:rPr>
          <w:t>47848/08</w:t>
        </w:r>
      </w:hyperlink>
      <w:r w:rsidRPr="00515BEB">
        <w:rPr>
          <w:szCs w:val="24"/>
        </w:rPr>
        <w:t>, § 101, CEDH 2014 et les références citées).</w:t>
      </w:r>
    </w:p>
    <w:p w14:paraId="0D98C704" w14:textId="77777777" w:rsidR="00515BEB" w:rsidRPr="00515BEB" w:rsidRDefault="00515BEB" w:rsidP="000061B5">
      <w:pPr>
        <w:pStyle w:val="Retraitcorpsdetexte2"/>
        <w:spacing w:line="240" w:lineRule="auto"/>
        <w:jc w:val="both"/>
        <w:rPr>
          <w:szCs w:val="24"/>
        </w:rPr>
      </w:pPr>
      <w:r w:rsidRPr="00515BEB">
        <w:rPr>
          <w:szCs w:val="24"/>
        </w:rPr>
        <w:t>12.  La Cour constate que le requérant se plaint </w:t>
      </w:r>
      <w:r w:rsidRPr="00515BEB">
        <w:rPr>
          <w:i/>
          <w:iCs/>
          <w:szCs w:val="24"/>
        </w:rPr>
        <w:t>in abstracto</w:t>
      </w:r>
      <w:r w:rsidRPr="00515BEB">
        <w:rPr>
          <w:szCs w:val="24"/>
        </w:rPr>
        <w:t xml:space="preserve"> de l’insuffisance et de l’inadéquation des mesures prises par l’État français pour lutter contre la propagation du virus </w:t>
      </w:r>
      <w:r w:rsidRPr="00515BEB">
        <w:rPr>
          <w:szCs w:val="24"/>
        </w:rPr>
        <w:lastRenderedPageBreak/>
        <w:t>covid</w:t>
      </w:r>
      <w:r w:rsidRPr="00515BEB">
        <w:rPr>
          <w:szCs w:val="24"/>
        </w:rPr>
        <w:noBreakHyphen/>
        <w:t>19. En premier lieu, la Cour relève que le requérant n’a soulevé ces griefs lors de la procédure de référé introduite devant le Conseil d’Etat qu’en qualité de tiers intervenant. Or, cette qualité ne suffit pas pour lui attribuer le statut de « victime » directe au sens de l’article 34 de la Convention (</w:t>
      </w:r>
      <w:r w:rsidRPr="00515BEB">
        <w:rPr>
          <w:i/>
          <w:iCs/>
          <w:szCs w:val="24"/>
        </w:rPr>
        <w:t>mutatis mutandis</w:t>
      </w:r>
      <w:r w:rsidRPr="00515BEB">
        <w:rPr>
          <w:szCs w:val="24"/>
        </w:rPr>
        <w:t>, </w:t>
      </w:r>
      <w:proofErr w:type="spellStart"/>
      <w:r w:rsidRPr="00515BEB">
        <w:rPr>
          <w:i/>
          <w:iCs/>
          <w:szCs w:val="24"/>
        </w:rPr>
        <w:t>Tourkiki</w:t>
      </w:r>
      <w:proofErr w:type="spellEnd"/>
      <w:r w:rsidRPr="00515BEB">
        <w:rPr>
          <w:szCs w:val="24"/>
        </w:rPr>
        <w:t> </w:t>
      </w:r>
      <w:proofErr w:type="spellStart"/>
      <w:r w:rsidRPr="00515BEB">
        <w:rPr>
          <w:i/>
          <w:iCs/>
          <w:szCs w:val="24"/>
        </w:rPr>
        <w:t>Enosi</w:t>
      </w:r>
      <w:proofErr w:type="spellEnd"/>
      <w:r w:rsidRPr="00515BEB">
        <w:rPr>
          <w:i/>
          <w:iCs/>
          <w:szCs w:val="24"/>
        </w:rPr>
        <w:t xml:space="preserve"> </w:t>
      </w:r>
      <w:proofErr w:type="spellStart"/>
      <w:r w:rsidRPr="00515BEB">
        <w:rPr>
          <w:i/>
          <w:iCs/>
          <w:szCs w:val="24"/>
        </w:rPr>
        <w:t>Xanthis</w:t>
      </w:r>
      <w:proofErr w:type="spellEnd"/>
      <w:r w:rsidRPr="00515BEB">
        <w:rPr>
          <w:i/>
          <w:iCs/>
          <w:szCs w:val="24"/>
        </w:rPr>
        <w:t xml:space="preserve"> et autres c. Grèce</w:t>
      </w:r>
      <w:r w:rsidRPr="00515BEB">
        <w:rPr>
          <w:szCs w:val="24"/>
        </w:rPr>
        <w:t>, no </w:t>
      </w:r>
      <w:hyperlink r:id="rId22" w:anchor="{%22appno%22:[%2226698/05%22]}" w:tgtFrame="_blank" w:history="1">
        <w:r w:rsidRPr="00515BEB">
          <w:rPr>
            <w:rStyle w:val="Lienhypertexte"/>
            <w:szCs w:val="24"/>
          </w:rPr>
          <w:t>26698/05</w:t>
        </w:r>
      </w:hyperlink>
      <w:r w:rsidRPr="00515BEB">
        <w:rPr>
          <w:szCs w:val="24"/>
        </w:rPr>
        <w:t>, § 39, 27 mars 2008, </w:t>
      </w:r>
      <w:proofErr w:type="spellStart"/>
      <w:r w:rsidRPr="00515BEB">
        <w:rPr>
          <w:i/>
          <w:iCs/>
          <w:szCs w:val="24"/>
        </w:rPr>
        <w:t>Winterstein</w:t>
      </w:r>
      <w:proofErr w:type="spellEnd"/>
      <w:r w:rsidRPr="00515BEB">
        <w:rPr>
          <w:i/>
          <w:iCs/>
          <w:szCs w:val="24"/>
        </w:rPr>
        <w:t xml:space="preserve"> et autres c. France</w:t>
      </w:r>
      <w:r w:rsidRPr="00515BEB">
        <w:rPr>
          <w:szCs w:val="24"/>
        </w:rPr>
        <w:t>, no </w:t>
      </w:r>
      <w:hyperlink r:id="rId23" w:anchor="{%22appno%22:[%2227013/07%22]}" w:tgtFrame="_blank" w:history="1">
        <w:r w:rsidRPr="00515BEB">
          <w:rPr>
            <w:rStyle w:val="Lienhypertexte"/>
            <w:szCs w:val="24"/>
          </w:rPr>
          <w:t>27013/07</w:t>
        </w:r>
      </w:hyperlink>
      <w:r w:rsidRPr="00515BEB">
        <w:rPr>
          <w:szCs w:val="24"/>
        </w:rPr>
        <w:t>, §§ 107-108, 17 octobre 2013).</w:t>
      </w:r>
    </w:p>
    <w:p w14:paraId="39179994" w14:textId="77777777" w:rsidR="00515BEB" w:rsidRPr="00515BEB" w:rsidRDefault="00515BEB" w:rsidP="000061B5">
      <w:pPr>
        <w:pStyle w:val="Retraitcorpsdetexte2"/>
        <w:spacing w:line="240" w:lineRule="auto"/>
        <w:jc w:val="both"/>
        <w:rPr>
          <w:szCs w:val="24"/>
        </w:rPr>
      </w:pPr>
      <w:r w:rsidRPr="00515BEB">
        <w:rPr>
          <w:szCs w:val="24"/>
        </w:rPr>
        <w:t>13.  En second lieu, la Cour note que le requérant ne fournit aucune information sur sa pathologie et s’abstient d’expliquer en quoi les manquements allégués des autorités nationales seraient susceptibles d’affecter sa santé et sa vie privée. Il ne produit aucun indice raisonnable et convaincant rendant vraisemblable que l’application des mesures prises par le législateur et le gouvernement caractériserait, à son égard, une carence susceptible de conduire aux manquements qu’il dénonce. Dans ces conditions, la Cour considère que M. Le Mailloux dont la requête doit être regardée comme ayant pour seul but de contester de manière générale les textes et les mesures prises en France pour lutter contre la pandémie, ne fait valoir aucune circonstance de nature à lui conférer la qualité de victime potentielle.</w:t>
      </w:r>
    </w:p>
    <w:p w14:paraId="596B9449" w14:textId="77777777" w:rsidR="00515BEB" w:rsidRPr="00515BEB" w:rsidRDefault="00515BEB" w:rsidP="000061B5">
      <w:pPr>
        <w:pStyle w:val="Retraitcorpsdetexte2"/>
        <w:spacing w:line="240" w:lineRule="auto"/>
        <w:jc w:val="both"/>
        <w:rPr>
          <w:szCs w:val="24"/>
        </w:rPr>
      </w:pPr>
      <w:r w:rsidRPr="00515BEB">
        <w:rPr>
          <w:szCs w:val="24"/>
        </w:rPr>
        <w:t>14.  La Cour considère de surcroît que si le requérant devait se voir opposer un refus d’assistance ou de soin qui découlerait des mesures sanitaires générales dont il dénonce l’insuffisance, il pourrait en contester la compatibilité avec la Convention devant les juridictions internes.</w:t>
      </w:r>
    </w:p>
    <w:p w14:paraId="0F24A657" w14:textId="77777777" w:rsidR="00515BEB" w:rsidRPr="00515BEB" w:rsidRDefault="00515BEB" w:rsidP="000061B5">
      <w:pPr>
        <w:pStyle w:val="Retraitcorpsdetexte2"/>
        <w:spacing w:line="240" w:lineRule="auto"/>
        <w:jc w:val="both"/>
        <w:rPr>
          <w:szCs w:val="24"/>
        </w:rPr>
      </w:pPr>
      <w:r w:rsidRPr="00515BEB">
        <w:rPr>
          <w:szCs w:val="24"/>
        </w:rPr>
        <w:t>15.  Dans ces circonstances, la Cour estime que la requête relève de l’</w:t>
      </w:r>
      <w:r w:rsidRPr="00515BEB">
        <w:rPr>
          <w:i/>
          <w:iCs/>
          <w:szCs w:val="24"/>
        </w:rPr>
        <w:t>actio </w:t>
      </w:r>
      <w:proofErr w:type="spellStart"/>
      <w:r w:rsidRPr="00515BEB">
        <w:rPr>
          <w:i/>
          <w:iCs/>
          <w:szCs w:val="24"/>
        </w:rPr>
        <w:t>popularis</w:t>
      </w:r>
      <w:proofErr w:type="spellEnd"/>
      <w:r w:rsidRPr="00515BEB">
        <w:rPr>
          <w:szCs w:val="24"/>
        </w:rPr>
        <w:t> et que le requérant ne saurait être considéré comme une victime, au sens de l’article 34 de la Convention, des violations alléguées. Partant, la requête est incompatible </w:t>
      </w:r>
      <w:proofErr w:type="spellStart"/>
      <w:r w:rsidRPr="00515BEB">
        <w:rPr>
          <w:i/>
          <w:iCs/>
          <w:szCs w:val="24"/>
        </w:rPr>
        <w:t>ratione</w:t>
      </w:r>
      <w:proofErr w:type="spellEnd"/>
      <w:r w:rsidRPr="00515BEB">
        <w:rPr>
          <w:i/>
          <w:iCs/>
          <w:szCs w:val="24"/>
        </w:rPr>
        <w:t xml:space="preserve"> personae</w:t>
      </w:r>
      <w:r w:rsidRPr="00515BEB">
        <w:rPr>
          <w:szCs w:val="24"/>
        </w:rPr>
        <w:t> avec les dispositions de la Convention.</w:t>
      </w:r>
    </w:p>
    <w:p w14:paraId="114A9C20" w14:textId="31487A6D" w:rsidR="00515BEB" w:rsidRDefault="00515BEB" w:rsidP="000061B5">
      <w:pPr>
        <w:pStyle w:val="Retraitcorpsdetexte2"/>
        <w:spacing w:line="240" w:lineRule="auto"/>
        <w:jc w:val="both"/>
        <w:rPr>
          <w:szCs w:val="24"/>
        </w:rPr>
      </w:pPr>
      <w:r w:rsidRPr="00515BEB">
        <w:rPr>
          <w:szCs w:val="24"/>
        </w:rPr>
        <w:t>Par ces motifs, la Cour, à l’unanimité,</w:t>
      </w:r>
      <w:r w:rsidR="00CF5331" w:rsidRPr="00FE4453">
        <w:rPr>
          <w:szCs w:val="24"/>
        </w:rPr>
        <w:t xml:space="preserve"> </w:t>
      </w:r>
      <w:r w:rsidRPr="00515BEB">
        <w:rPr>
          <w:i/>
          <w:iCs/>
          <w:szCs w:val="24"/>
        </w:rPr>
        <w:t>Déclare</w:t>
      </w:r>
      <w:r w:rsidRPr="00515BEB">
        <w:rPr>
          <w:szCs w:val="24"/>
        </w:rPr>
        <w:t> la requête irrecevable.</w:t>
      </w:r>
    </w:p>
    <w:p w14:paraId="6CCAD91A" w14:textId="77777777" w:rsidR="00FE4453" w:rsidRDefault="00FE4453" w:rsidP="000061B5">
      <w:pPr>
        <w:pStyle w:val="Retraitcorpsdetexte2"/>
        <w:spacing w:line="240" w:lineRule="auto"/>
        <w:jc w:val="both"/>
        <w:rPr>
          <w:szCs w:val="24"/>
        </w:rPr>
      </w:pPr>
    </w:p>
    <w:p w14:paraId="069AE5D0" w14:textId="19AB6C14" w:rsidR="00FE4453" w:rsidRPr="0031577D" w:rsidRDefault="00FE4453" w:rsidP="000061B5">
      <w:pPr>
        <w:pStyle w:val="Retraitcorpsdetexte2"/>
        <w:numPr>
          <w:ilvl w:val="0"/>
          <w:numId w:val="1"/>
        </w:numPr>
        <w:spacing w:line="240" w:lineRule="auto"/>
        <w:jc w:val="both"/>
        <w:rPr>
          <w:szCs w:val="24"/>
          <w:highlight w:val="yellow"/>
        </w:rPr>
      </w:pPr>
      <w:r w:rsidRPr="0031577D">
        <w:rPr>
          <w:szCs w:val="24"/>
          <w:highlight w:val="yellow"/>
        </w:rPr>
        <w:t>Quels sont les droits que l’auteur de la requête estime avoir été violés ?</w:t>
      </w:r>
    </w:p>
    <w:p w14:paraId="0FB0B449" w14:textId="182547F3" w:rsidR="00FE4453" w:rsidRPr="0031577D" w:rsidRDefault="00EE4216" w:rsidP="000061B5">
      <w:pPr>
        <w:pStyle w:val="Retraitcorpsdetexte2"/>
        <w:numPr>
          <w:ilvl w:val="0"/>
          <w:numId w:val="1"/>
        </w:numPr>
        <w:spacing w:line="240" w:lineRule="auto"/>
        <w:jc w:val="both"/>
        <w:rPr>
          <w:szCs w:val="24"/>
          <w:highlight w:val="yellow"/>
        </w:rPr>
      </w:pPr>
      <w:r w:rsidRPr="0031577D">
        <w:rPr>
          <w:szCs w:val="24"/>
          <w:highlight w:val="yellow"/>
        </w:rPr>
        <w:t>Quel est l’objet de la requête ?</w:t>
      </w:r>
    </w:p>
    <w:p w14:paraId="3B101980" w14:textId="1462E54A" w:rsidR="00EE4216" w:rsidRPr="0031577D" w:rsidRDefault="00EE4216" w:rsidP="000061B5">
      <w:pPr>
        <w:pStyle w:val="Retraitcorpsdetexte2"/>
        <w:numPr>
          <w:ilvl w:val="0"/>
          <w:numId w:val="1"/>
        </w:numPr>
        <w:spacing w:line="240" w:lineRule="auto"/>
        <w:jc w:val="both"/>
        <w:rPr>
          <w:szCs w:val="24"/>
          <w:highlight w:val="yellow"/>
        </w:rPr>
      </w:pPr>
      <w:r w:rsidRPr="0031577D">
        <w:rPr>
          <w:szCs w:val="24"/>
          <w:highlight w:val="yellow"/>
        </w:rPr>
        <w:t>Quelle est la conclusion de la Cour EDH</w:t>
      </w:r>
    </w:p>
    <w:p w14:paraId="5932B873" w14:textId="53412CEE" w:rsidR="00EE4216" w:rsidRPr="0031577D" w:rsidRDefault="00EE4216" w:rsidP="000061B5">
      <w:pPr>
        <w:pStyle w:val="Retraitcorpsdetexte2"/>
        <w:numPr>
          <w:ilvl w:val="0"/>
          <w:numId w:val="1"/>
        </w:numPr>
        <w:spacing w:line="240" w:lineRule="auto"/>
        <w:jc w:val="both"/>
        <w:rPr>
          <w:szCs w:val="24"/>
          <w:highlight w:val="yellow"/>
        </w:rPr>
      </w:pPr>
      <w:r w:rsidRPr="0031577D">
        <w:rPr>
          <w:szCs w:val="24"/>
          <w:highlight w:val="yellow"/>
        </w:rPr>
        <w:t>Quels sont les motifs de cette conclusion ?</w:t>
      </w:r>
    </w:p>
    <w:p w14:paraId="06FF82D6" w14:textId="77777777" w:rsidR="00D97DAE" w:rsidRDefault="00D97DAE" w:rsidP="000061B5">
      <w:pPr>
        <w:pStyle w:val="Retraitcorpsdetexte2"/>
        <w:jc w:val="both"/>
        <w:rPr>
          <w:szCs w:val="24"/>
        </w:rPr>
      </w:pPr>
    </w:p>
    <w:p w14:paraId="1EE7CF6E" w14:textId="00F67DC3" w:rsidR="00791441" w:rsidRDefault="00522CC3" w:rsidP="000061B5">
      <w:pPr>
        <w:pStyle w:val="Retraitcorpsdetexte2"/>
        <w:jc w:val="both"/>
        <w:rPr>
          <w:szCs w:val="24"/>
        </w:rPr>
      </w:pPr>
      <w:r>
        <w:rPr>
          <w:szCs w:val="24"/>
        </w:rPr>
        <w:t xml:space="preserve">Le statut de victime ne peut être accordé à une organisation non gouvernementale </w:t>
      </w:r>
      <w:r w:rsidR="007A0110">
        <w:rPr>
          <w:szCs w:val="24"/>
        </w:rPr>
        <w:t>que si elle est directement touchée par la mesure litigieuse.</w:t>
      </w:r>
      <w:r w:rsidR="00A50525">
        <w:rPr>
          <w:szCs w:val="24"/>
        </w:rPr>
        <w:t xml:space="preserve"> Un tel lien fait défaut pour ATD </w:t>
      </w:r>
      <w:r w:rsidR="00664AA7">
        <w:rPr>
          <w:szCs w:val="24"/>
        </w:rPr>
        <w:t xml:space="preserve">quart monde dans une affaire concernant l’expulsion d’une famille rom. </w:t>
      </w:r>
    </w:p>
    <w:p w14:paraId="731F1590" w14:textId="0A04A42E" w:rsidR="000824A9" w:rsidRDefault="000824A9" w:rsidP="000061B5">
      <w:pPr>
        <w:pStyle w:val="Retraitcorpsdetexte2"/>
        <w:ind w:firstLine="0"/>
        <w:jc w:val="both"/>
        <w:rPr>
          <w:szCs w:val="24"/>
        </w:rPr>
      </w:pPr>
      <w:r>
        <w:rPr>
          <w:szCs w:val="24"/>
        </w:rPr>
        <w:t>En revanche est recevable l’action d’un syndicat de fonctionnaires dont les membres se sont vus inflig</w:t>
      </w:r>
      <w:r w:rsidR="004D3661">
        <w:rPr>
          <w:szCs w:val="24"/>
        </w:rPr>
        <w:t xml:space="preserve">er des sanctions disciplinaires pour avoir participé à une journée nationale de grève </w:t>
      </w:r>
      <w:r w:rsidR="00167D7F">
        <w:rPr>
          <w:szCs w:val="24"/>
        </w:rPr>
        <w:t>qu’une circulaire</w:t>
      </w:r>
      <w:r w:rsidR="0082584C">
        <w:rPr>
          <w:szCs w:val="24"/>
        </w:rPr>
        <w:t xml:space="preserve"> avait interdite</w:t>
      </w:r>
      <w:r w:rsidR="00167D7F">
        <w:rPr>
          <w:szCs w:val="24"/>
        </w:rPr>
        <w:t>.</w:t>
      </w:r>
    </w:p>
    <w:p w14:paraId="3B5BCC12" w14:textId="78ECE7B8" w:rsidR="00E6056E" w:rsidRDefault="00E6056E" w:rsidP="000061B5">
      <w:pPr>
        <w:pStyle w:val="Retraitcorpsdetexte2"/>
        <w:ind w:firstLine="0"/>
        <w:jc w:val="both"/>
        <w:rPr>
          <w:szCs w:val="24"/>
        </w:rPr>
      </w:pPr>
      <w:r>
        <w:rPr>
          <w:szCs w:val="24"/>
        </w:rPr>
        <w:t xml:space="preserve">La Cour admet </w:t>
      </w:r>
      <w:r w:rsidR="009F46BD">
        <w:rPr>
          <w:szCs w:val="24"/>
        </w:rPr>
        <w:t xml:space="preserve">la recevabilité de la requête présentée par une association </w:t>
      </w:r>
      <w:r w:rsidR="00A27646">
        <w:rPr>
          <w:szCs w:val="24"/>
        </w:rPr>
        <w:t>lorsqu’une atteinte est portée à l’intérêt général qu’elle défend.</w:t>
      </w:r>
    </w:p>
    <w:p w14:paraId="7740CB5C" w14:textId="77777777" w:rsidR="0011644A" w:rsidRPr="00FE4453" w:rsidRDefault="0011644A" w:rsidP="000061B5">
      <w:pPr>
        <w:pStyle w:val="Retraitcorpsdetexte2"/>
        <w:ind w:firstLine="0"/>
        <w:jc w:val="both"/>
        <w:rPr>
          <w:szCs w:val="24"/>
        </w:rPr>
      </w:pPr>
    </w:p>
    <w:p w14:paraId="2092B426" w14:textId="00C7CC5C" w:rsidR="00BF6D66" w:rsidRPr="00FE5601" w:rsidRDefault="00BF6D66" w:rsidP="000061B5">
      <w:pPr>
        <w:pStyle w:val="Retraitcorpsdetexte2"/>
        <w:numPr>
          <w:ilvl w:val="0"/>
          <w:numId w:val="1"/>
        </w:numPr>
        <w:jc w:val="both"/>
        <w:rPr>
          <w:b/>
          <w:bCs/>
          <w:szCs w:val="24"/>
        </w:rPr>
      </w:pPr>
      <w:r w:rsidRPr="00FE5601">
        <w:rPr>
          <w:b/>
          <w:bCs/>
          <w:szCs w:val="24"/>
        </w:rPr>
        <w:t>Préjudice</w:t>
      </w:r>
    </w:p>
    <w:p w14:paraId="724B62C8" w14:textId="624BE53F" w:rsidR="00C64597" w:rsidRDefault="008D51C1" w:rsidP="000061B5">
      <w:pPr>
        <w:pStyle w:val="Retraitcorpsdetexte2"/>
        <w:ind w:firstLine="0"/>
        <w:jc w:val="both"/>
        <w:rPr>
          <w:szCs w:val="24"/>
        </w:rPr>
      </w:pPr>
      <w:r w:rsidRPr="00FE4453">
        <w:rPr>
          <w:szCs w:val="24"/>
        </w:rPr>
        <w:t>L</w:t>
      </w:r>
      <w:r w:rsidR="00CD4D91" w:rsidRPr="00FE4453">
        <w:rPr>
          <w:szCs w:val="24"/>
        </w:rPr>
        <w:t>a qualité de victime peut exister même en l’absence de préjudice cette question ne jouant un rôle que sur le terrain de la réparation.</w:t>
      </w:r>
      <w:r w:rsidR="000E09B2" w:rsidRPr="00FE4453">
        <w:rPr>
          <w:szCs w:val="24"/>
        </w:rPr>
        <w:t xml:space="preserve"> L’adoption d’une décision ou d’une mesure favorable au requérant ne prive donc pas ce dernier de la qualité de victime si les autorités nationales n’ont </w:t>
      </w:r>
      <w:r w:rsidR="000E09B2" w:rsidRPr="00FE4453">
        <w:rPr>
          <w:szCs w:val="24"/>
        </w:rPr>
        <w:lastRenderedPageBreak/>
        <w:t>pas reconnu explicitement e</w:t>
      </w:r>
      <w:r w:rsidR="00ED1F1D" w:rsidRPr="00FE4453">
        <w:rPr>
          <w:szCs w:val="24"/>
        </w:rPr>
        <w:t>t en substance puis réparé effe</w:t>
      </w:r>
      <w:r w:rsidR="000E09B2" w:rsidRPr="00FE4453">
        <w:rPr>
          <w:szCs w:val="24"/>
        </w:rPr>
        <w:t>c</w:t>
      </w:r>
      <w:r w:rsidR="00ED1F1D" w:rsidRPr="00FE4453">
        <w:rPr>
          <w:szCs w:val="24"/>
        </w:rPr>
        <w:t>t</w:t>
      </w:r>
      <w:r w:rsidR="000E09B2" w:rsidRPr="00FE4453">
        <w:rPr>
          <w:szCs w:val="24"/>
        </w:rPr>
        <w:t>ivement la violation de la convention qu’il a subie.</w:t>
      </w:r>
      <w:r w:rsidR="00CB6F1A" w:rsidRPr="00FE4453">
        <w:rPr>
          <w:szCs w:val="24"/>
        </w:rPr>
        <w:t xml:space="preserve"> </w:t>
      </w:r>
      <w:r w:rsidR="00707FEC">
        <w:rPr>
          <w:szCs w:val="24"/>
        </w:rPr>
        <w:t>Toutefois l</w:t>
      </w:r>
      <w:r w:rsidR="00660B84">
        <w:rPr>
          <w:szCs w:val="24"/>
        </w:rPr>
        <w:t>a</w:t>
      </w:r>
      <w:r w:rsidR="00707FEC">
        <w:rPr>
          <w:szCs w:val="24"/>
        </w:rPr>
        <w:t xml:space="preserve"> condition</w:t>
      </w:r>
      <w:r w:rsidR="00660B84">
        <w:rPr>
          <w:szCs w:val="24"/>
        </w:rPr>
        <w:t xml:space="preserve"> de recevabilité de la requête </w:t>
      </w:r>
      <w:r w:rsidR="001E2F66">
        <w:rPr>
          <w:szCs w:val="24"/>
        </w:rPr>
        <w:t xml:space="preserve">concernant l’existence d’un préjudice important </w:t>
      </w:r>
      <w:r w:rsidR="0031577D">
        <w:rPr>
          <w:szCs w:val="24"/>
        </w:rPr>
        <w:t>tend</w:t>
      </w:r>
      <w:r w:rsidR="001E2F66">
        <w:rPr>
          <w:szCs w:val="24"/>
        </w:rPr>
        <w:t xml:space="preserve"> à remettre en cause cette affirmation (</w:t>
      </w:r>
      <w:proofErr w:type="spellStart"/>
      <w:r w:rsidR="001E2F66">
        <w:rPr>
          <w:szCs w:val="24"/>
        </w:rPr>
        <w:t>cf</w:t>
      </w:r>
      <w:proofErr w:type="spellEnd"/>
      <w:r w:rsidR="001E2F66">
        <w:rPr>
          <w:szCs w:val="24"/>
        </w:rPr>
        <w:t xml:space="preserve"> infra).</w:t>
      </w:r>
    </w:p>
    <w:p w14:paraId="445BD086" w14:textId="77777777" w:rsidR="001E2F66" w:rsidRPr="00FE4453" w:rsidRDefault="001E2F66" w:rsidP="000061B5">
      <w:pPr>
        <w:pStyle w:val="Retraitcorpsdetexte2"/>
        <w:ind w:firstLine="0"/>
        <w:jc w:val="both"/>
        <w:rPr>
          <w:szCs w:val="24"/>
        </w:rPr>
      </w:pPr>
    </w:p>
    <w:p w14:paraId="3518F769" w14:textId="3F32F5E2" w:rsidR="00635A7E" w:rsidRDefault="00FE5601" w:rsidP="000061B5">
      <w:pPr>
        <w:pStyle w:val="Retraitcorpsdetexte2"/>
        <w:numPr>
          <w:ilvl w:val="0"/>
          <w:numId w:val="1"/>
        </w:numPr>
        <w:jc w:val="both"/>
        <w:rPr>
          <w:b/>
          <w:bCs/>
          <w:szCs w:val="24"/>
        </w:rPr>
      </w:pPr>
      <w:r w:rsidRPr="00635A7E">
        <w:rPr>
          <w:b/>
          <w:bCs/>
          <w:szCs w:val="24"/>
        </w:rPr>
        <w:t>L’extension de la notion de victime par la CourEDH</w:t>
      </w:r>
      <w:r w:rsidR="00167D7F">
        <w:rPr>
          <w:b/>
          <w:bCs/>
          <w:szCs w:val="24"/>
        </w:rPr>
        <w:t xml:space="preserve"> (développé en cours)</w:t>
      </w:r>
    </w:p>
    <w:p w14:paraId="264211E3" w14:textId="7330E047" w:rsidR="008D51C1" w:rsidRPr="00635A7E" w:rsidRDefault="00635A7E" w:rsidP="000061B5">
      <w:pPr>
        <w:pStyle w:val="Retraitcorpsdetexte2"/>
        <w:jc w:val="both"/>
        <w:rPr>
          <w:b/>
          <w:bCs/>
          <w:szCs w:val="24"/>
        </w:rPr>
      </w:pPr>
      <w:r w:rsidRPr="00635A7E">
        <w:rPr>
          <w:szCs w:val="24"/>
        </w:rPr>
        <w:t xml:space="preserve">La cour a adopté une vision large de la notion de victime pour permettre une protection accrue. </w:t>
      </w:r>
      <w:r w:rsidR="008D51C1" w:rsidRPr="00635A7E">
        <w:rPr>
          <w:szCs w:val="24"/>
        </w:rPr>
        <w:t>Le droit de recours individuel a été très largement ouvert du fait de l’interprétation autonome et très extensive que la commission et la cour ont donné à la notion de victime.</w:t>
      </w:r>
    </w:p>
    <w:p w14:paraId="724B62D4" w14:textId="664D9106" w:rsidR="00570968" w:rsidRDefault="00C14C9D" w:rsidP="000061B5">
      <w:pPr>
        <w:pStyle w:val="Retraitcorpsdetexte2"/>
        <w:numPr>
          <w:ilvl w:val="0"/>
          <w:numId w:val="1"/>
        </w:numPr>
        <w:jc w:val="both"/>
        <w:rPr>
          <w:szCs w:val="24"/>
        </w:rPr>
      </w:pPr>
      <w:r>
        <w:rPr>
          <w:szCs w:val="24"/>
        </w:rPr>
        <w:t xml:space="preserve">Victime </w:t>
      </w:r>
      <w:r w:rsidR="00581225">
        <w:rPr>
          <w:szCs w:val="24"/>
        </w:rPr>
        <w:t>potentielle</w:t>
      </w:r>
    </w:p>
    <w:p w14:paraId="137057FF" w14:textId="3800A170" w:rsidR="00D9122A" w:rsidRPr="00DE592D" w:rsidRDefault="002F5862" w:rsidP="00DE592D">
      <w:pPr>
        <w:pStyle w:val="Retraitcorpsdetexte2"/>
        <w:numPr>
          <w:ilvl w:val="0"/>
          <w:numId w:val="1"/>
        </w:numPr>
        <w:jc w:val="both"/>
        <w:rPr>
          <w:szCs w:val="24"/>
        </w:rPr>
      </w:pPr>
      <w:r>
        <w:rPr>
          <w:szCs w:val="24"/>
        </w:rPr>
        <w:t>Victime indirecte</w:t>
      </w:r>
    </w:p>
    <w:p w14:paraId="4948FCD8" w14:textId="77777777" w:rsidR="00E034DB" w:rsidRPr="00E034DB" w:rsidRDefault="00E034DB" w:rsidP="000061B5">
      <w:pPr>
        <w:pStyle w:val="Retraitcorpsdetexte2"/>
        <w:pBdr>
          <w:top w:val="single" w:sz="4" w:space="1" w:color="auto"/>
          <w:left w:val="single" w:sz="4" w:space="1" w:color="auto"/>
          <w:bottom w:val="single" w:sz="4" w:space="1" w:color="auto"/>
          <w:right w:val="single" w:sz="4" w:space="1" w:color="auto"/>
        </w:pBdr>
        <w:spacing w:line="240" w:lineRule="auto"/>
        <w:jc w:val="both"/>
        <w:rPr>
          <w:b/>
          <w:bCs/>
          <w:szCs w:val="24"/>
        </w:rPr>
      </w:pPr>
      <w:proofErr w:type="spellStart"/>
      <w:r w:rsidRPr="00E034DB">
        <w:rPr>
          <w:b/>
          <w:bCs/>
          <w:i/>
          <w:iCs/>
          <w:szCs w:val="24"/>
        </w:rPr>
        <w:t>Burden</w:t>
      </w:r>
      <w:proofErr w:type="spellEnd"/>
      <w:r w:rsidRPr="00E034DB">
        <w:rPr>
          <w:b/>
          <w:bCs/>
          <w:i/>
          <w:iCs/>
          <w:szCs w:val="24"/>
        </w:rPr>
        <w:t xml:space="preserve"> c. Royaume-Uni [GC] </w:t>
      </w:r>
      <w:r w:rsidRPr="00E034DB">
        <w:rPr>
          <w:b/>
          <w:bCs/>
          <w:szCs w:val="24"/>
        </w:rPr>
        <w:t>- 13378/05</w:t>
      </w:r>
    </w:p>
    <w:p w14:paraId="1018B660" w14:textId="77777777" w:rsidR="00E034DB" w:rsidRPr="00E034DB" w:rsidRDefault="00E034DB" w:rsidP="000061B5">
      <w:pPr>
        <w:pStyle w:val="Retraitcorpsdetexte2"/>
        <w:pBdr>
          <w:top w:val="single" w:sz="4" w:space="1" w:color="auto"/>
          <w:left w:val="single" w:sz="4" w:space="1" w:color="auto"/>
          <w:bottom w:val="single" w:sz="4" w:space="1" w:color="auto"/>
          <w:right w:val="single" w:sz="4" w:space="1" w:color="auto"/>
        </w:pBdr>
        <w:spacing w:line="240" w:lineRule="auto"/>
        <w:jc w:val="both"/>
        <w:rPr>
          <w:szCs w:val="24"/>
        </w:rPr>
      </w:pPr>
      <w:r w:rsidRPr="00E034DB">
        <w:rPr>
          <w:szCs w:val="24"/>
        </w:rPr>
        <w:t>Arrêt 29.4.2008 [GC]</w:t>
      </w:r>
    </w:p>
    <w:p w14:paraId="1F19346E" w14:textId="77777777" w:rsidR="00E034DB" w:rsidRPr="00E034DB" w:rsidRDefault="00E034DB" w:rsidP="000061B5">
      <w:pPr>
        <w:pStyle w:val="Retraitcorpsdetexte2"/>
        <w:pBdr>
          <w:top w:val="single" w:sz="4" w:space="1" w:color="auto"/>
          <w:left w:val="single" w:sz="4" w:space="1" w:color="auto"/>
          <w:bottom w:val="single" w:sz="4" w:space="1" w:color="auto"/>
          <w:right w:val="single" w:sz="4" w:space="1" w:color="auto"/>
        </w:pBdr>
        <w:spacing w:line="240" w:lineRule="auto"/>
        <w:jc w:val="both"/>
        <w:rPr>
          <w:b/>
          <w:bCs/>
          <w:szCs w:val="24"/>
        </w:rPr>
      </w:pPr>
      <w:r w:rsidRPr="00E034DB">
        <w:rPr>
          <w:b/>
          <w:bCs/>
          <w:szCs w:val="24"/>
        </w:rPr>
        <w:t>Article 14</w:t>
      </w:r>
    </w:p>
    <w:p w14:paraId="24FD123D" w14:textId="77777777" w:rsidR="00E034DB" w:rsidRPr="00E034DB" w:rsidRDefault="00E034DB" w:rsidP="000061B5">
      <w:pPr>
        <w:pStyle w:val="Retraitcorpsdetexte2"/>
        <w:pBdr>
          <w:top w:val="single" w:sz="4" w:space="1" w:color="auto"/>
          <w:left w:val="single" w:sz="4" w:space="1" w:color="auto"/>
          <w:bottom w:val="single" w:sz="4" w:space="1" w:color="auto"/>
          <w:right w:val="single" w:sz="4" w:space="1" w:color="auto"/>
        </w:pBdr>
        <w:spacing w:line="240" w:lineRule="auto"/>
        <w:jc w:val="both"/>
        <w:rPr>
          <w:b/>
          <w:bCs/>
          <w:szCs w:val="24"/>
        </w:rPr>
      </w:pPr>
      <w:r w:rsidRPr="00E034DB">
        <w:rPr>
          <w:b/>
          <w:bCs/>
          <w:szCs w:val="24"/>
        </w:rPr>
        <w:t>Discrimination</w:t>
      </w:r>
    </w:p>
    <w:p w14:paraId="1BB1836E" w14:textId="77777777" w:rsidR="00E034DB" w:rsidRPr="00E034DB" w:rsidRDefault="00E034DB" w:rsidP="000061B5">
      <w:pPr>
        <w:pStyle w:val="Retraitcorpsdetexte2"/>
        <w:pBdr>
          <w:top w:val="single" w:sz="4" w:space="1" w:color="auto"/>
          <w:left w:val="single" w:sz="4" w:space="1" w:color="auto"/>
          <w:bottom w:val="single" w:sz="4" w:space="1" w:color="auto"/>
          <w:right w:val="single" w:sz="4" w:space="1" w:color="auto"/>
        </w:pBdr>
        <w:spacing w:line="240" w:lineRule="auto"/>
        <w:jc w:val="both"/>
        <w:rPr>
          <w:szCs w:val="24"/>
        </w:rPr>
      </w:pPr>
      <w:r w:rsidRPr="00E034DB">
        <w:rPr>
          <w:szCs w:val="24"/>
        </w:rPr>
        <w:t xml:space="preserve">Impossibilité pour deux </w:t>
      </w:r>
      <w:proofErr w:type="spellStart"/>
      <w:r w:rsidRPr="00E034DB">
        <w:rPr>
          <w:szCs w:val="24"/>
        </w:rPr>
        <w:t>soeurs</w:t>
      </w:r>
      <w:proofErr w:type="spellEnd"/>
      <w:r w:rsidRPr="00E034DB">
        <w:rPr>
          <w:szCs w:val="24"/>
        </w:rPr>
        <w:t xml:space="preserve"> vivant ensemble de bénéficier d’une exonération de</w:t>
      </w:r>
    </w:p>
    <w:p w14:paraId="040BE191" w14:textId="77777777" w:rsidR="00E034DB" w:rsidRPr="00E034DB" w:rsidRDefault="00E034DB" w:rsidP="000061B5">
      <w:pPr>
        <w:pStyle w:val="Retraitcorpsdetexte2"/>
        <w:pBdr>
          <w:top w:val="single" w:sz="4" w:space="1" w:color="auto"/>
          <w:left w:val="single" w:sz="4" w:space="1" w:color="auto"/>
          <w:bottom w:val="single" w:sz="4" w:space="1" w:color="auto"/>
          <w:right w:val="single" w:sz="4" w:space="1" w:color="auto"/>
        </w:pBdr>
        <w:spacing w:line="240" w:lineRule="auto"/>
        <w:jc w:val="both"/>
        <w:rPr>
          <w:szCs w:val="24"/>
        </w:rPr>
      </w:pPr>
      <w:proofErr w:type="gramStart"/>
      <w:r w:rsidRPr="00E034DB">
        <w:rPr>
          <w:szCs w:val="24"/>
        </w:rPr>
        <w:t>l’impôt</w:t>
      </w:r>
      <w:proofErr w:type="gramEnd"/>
      <w:r w:rsidRPr="00E034DB">
        <w:rPr>
          <w:szCs w:val="24"/>
        </w:rPr>
        <w:t xml:space="preserve"> sur les successions au même titre que le membre survivant d’un couple marié ou</w:t>
      </w:r>
    </w:p>
    <w:p w14:paraId="56D9198B" w14:textId="3754F9B7" w:rsidR="00E034DB" w:rsidRPr="00E034DB" w:rsidRDefault="00E034DB" w:rsidP="000061B5">
      <w:pPr>
        <w:pStyle w:val="Retraitcorpsdetexte2"/>
        <w:pBdr>
          <w:top w:val="single" w:sz="4" w:space="1" w:color="auto"/>
          <w:left w:val="single" w:sz="4" w:space="1" w:color="auto"/>
          <w:bottom w:val="single" w:sz="4" w:space="1" w:color="auto"/>
          <w:right w:val="single" w:sz="4" w:space="1" w:color="auto"/>
        </w:pBdr>
        <w:spacing w:line="240" w:lineRule="auto"/>
        <w:jc w:val="both"/>
        <w:rPr>
          <w:i/>
          <w:iCs/>
          <w:szCs w:val="24"/>
        </w:rPr>
      </w:pPr>
      <w:proofErr w:type="gramStart"/>
      <w:r w:rsidRPr="00E034DB">
        <w:rPr>
          <w:szCs w:val="24"/>
        </w:rPr>
        <w:t>d’un</w:t>
      </w:r>
      <w:proofErr w:type="gramEnd"/>
      <w:r w:rsidRPr="00E034DB">
        <w:rPr>
          <w:szCs w:val="24"/>
        </w:rPr>
        <w:t xml:space="preserve"> partenariat civil</w:t>
      </w:r>
    </w:p>
    <w:p w14:paraId="13FCBF7A" w14:textId="2449E845" w:rsidR="00E034DB" w:rsidRPr="00E034DB" w:rsidRDefault="00E034DB" w:rsidP="000061B5">
      <w:pPr>
        <w:pStyle w:val="Retraitcorpsdetexte2"/>
        <w:pBdr>
          <w:top w:val="single" w:sz="4" w:space="1" w:color="auto"/>
          <w:left w:val="single" w:sz="4" w:space="1" w:color="auto"/>
          <w:bottom w:val="single" w:sz="4" w:space="1" w:color="auto"/>
          <w:right w:val="single" w:sz="4" w:space="1" w:color="auto"/>
        </w:pBdr>
        <w:spacing w:line="240" w:lineRule="auto"/>
        <w:jc w:val="both"/>
        <w:rPr>
          <w:szCs w:val="24"/>
        </w:rPr>
      </w:pPr>
      <w:r w:rsidRPr="00E034DB">
        <w:rPr>
          <w:i/>
          <w:iCs/>
          <w:szCs w:val="24"/>
        </w:rPr>
        <w:t xml:space="preserve">Statut de </w:t>
      </w:r>
      <w:proofErr w:type="gramStart"/>
      <w:r w:rsidRPr="00E034DB">
        <w:rPr>
          <w:i/>
          <w:iCs/>
          <w:szCs w:val="24"/>
        </w:rPr>
        <w:t>victime</w:t>
      </w:r>
      <w:r w:rsidRPr="00E034DB">
        <w:rPr>
          <w:szCs w:val="24"/>
        </w:rPr>
        <w:t>:</w:t>
      </w:r>
      <w:proofErr w:type="gramEnd"/>
      <w:r w:rsidRPr="00E034DB">
        <w:rPr>
          <w:szCs w:val="24"/>
        </w:rPr>
        <w:t xml:space="preserve"> La Grande Chambre rappelle qu’il est loisible à un particulier de</w:t>
      </w:r>
    </w:p>
    <w:p w14:paraId="624A56DA" w14:textId="77777777" w:rsidR="00E034DB" w:rsidRPr="00E034DB" w:rsidRDefault="00E034DB" w:rsidP="000061B5">
      <w:pPr>
        <w:pStyle w:val="Retraitcorpsdetexte2"/>
        <w:pBdr>
          <w:top w:val="single" w:sz="4" w:space="1" w:color="auto"/>
          <w:left w:val="single" w:sz="4" w:space="1" w:color="auto"/>
          <w:bottom w:val="single" w:sz="4" w:space="1" w:color="auto"/>
          <w:right w:val="single" w:sz="4" w:space="1" w:color="auto"/>
        </w:pBdr>
        <w:spacing w:line="240" w:lineRule="auto"/>
        <w:jc w:val="both"/>
        <w:rPr>
          <w:szCs w:val="24"/>
        </w:rPr>
      </w:pPr>
      <w:proofErr w:type="gramStart"/>
      <w:r w:rsidRPr="00E034DB">
        <w:rPr>
          <w:szCs w:val="24"/>
        </w:rPr>
        <w:t>soutenir</w:t>
      </w:r>
      <w:proofErr w:type="gramEnd"/>
      <w:r w:rsidRPr="00E034DB">
        <w:rPr>
          <w:szCs w:val="24"/>
        </w:rPr>
        <w:t xml:space="preserve"> qu’une loi viole ses droits s’il fait partie d’une catégorie de personnes risquant</w:t>
      </w:r>
    </w:p>
    <w:p w14:paraId="58F2D77D" w14:textId="77777777" w:rsidR="00E034DB" w:rsidRPr="00E034DB" w:rsidRDefault="00E034DB" w:rsidP="000061B5">
      <w:pPr>
        <w:pStyle w:val="Retraitcorpsdetexte2"/>
        <w:pBdr>
          <w:top w:val="single" w:sz="4" w:space="1" w:color="auto"/>
          <w:left w:val="single" w:sz="4" w:space="1" w:color="auto"/>
          <w:bottom w:val="single" w:sz="4" w:space="1" w:color="auto"/>
          <w:right w:val="single" w:sz="4" w:space="1" w:color="auto"/>
        </w:pBdr>
        <w:spacing w:line="240" w:lineRule="auto"/>
        <w:jc w:val="both"/>
        <w:rPr>
          <w:szCs w:val="24"/>
        </w:rPr>
      </w:pPr>
      <w:proofErr w:type="gramStart"/>
      <w:r w:rsidRPr="00E034DB">
        <w:rPr>
          <w:szCs w:val="24"/>
        </w:rPr>
        <w:t>de</w:t>
      </w:r>
      <w:proofErr w:type="gramEnd"/>
      <w:r w:rsidRPr="00E034DB">
        <w:rPr>
          <w:szCs w:val="24"/>
        </w:rPr>
        <w:t xml:space="preserve"> subir directement les effets de la législation. Compte tenu de leur âge, des</w:t>
      </w:r>
    </w:p>
    <w:p w14:paraId="7741BEA2" w14:textId="77777777" w:rsidR="00E034DB" w:rsidRPr="00E034DB" w:rsidRDefault="00E034DB" w:rsidP="000061B5">
      <w:pPr>
        <w:pStyle w:val="Retraitcorpsdetexte2"/>
        <w:pBdr>
          <w:top w:val="single" w:sz="4" w:space="1" w:color="auto"/>
          <w:left w:val="single" w:sz="4" w:space="1" w:color="auto"/>
          <w:bottom w:val="single" w:sz="4" w:space="1" w:color="auto"/>
          <w:right w:val="single" w:sz="4" w:space="1" w:color="auto"/>
        </w:pBdr>
        <w:spacing w:line="240" w:lineRule="auto"/>
        <w:jc w:val="both"/>
        <w:rPr>
          <w:szCs w:val="24"/>
        </w:rPr>
      </w:pPr>
      <w:proofErr w:type="gramStart"/>
      <w:r w:rsidRPr="00E034DB">
        <w:rPr>
          <w:szCs w:val="24"/>
        </w:rPr>
        <w:t>testaments</w:t>
      </w:r>
      <w:proofErr w:type="gramEnd"/>
      <w:r w:rsidRPr="00E034DB">
        <w:rPr>
          <w:szCs w:val="24"/>
        </w:rPr>
        <w:t xml:space="preserve"> rédigés par elles et de la valeur des biens possédés par chacune, les</w:t>
      </w:r>
    </w:p>
    <w:p w14:paraId="303B4018" w14:textId="77777777" w:rsidR="00E034DB" w:rsidRPr="00E034DB" w:rsidRDefault="00E034DB" w:rsidP="000061B5">
      <w:pPr>
        <w:pStyle w:val="Retraitcorpsdetexte2"/>
        <w:pBdr>
          <w:top w:val="single" w:sz="4" w:space="1" w:color="auto"/>
          <w:left w:val="single" w:sz="4" w:space="1" w:color="auto"/>
          <w:bottom w:val="single" w:sz="4" w:space="1" w:color="auto"/>
          <w:right w:val="single" w:sz="4" w:space="1" w:color="auto"/>
        </w:pBdr>
        <w:spacing w:line="240" w:lineRule="auto"/>
        <w:jc w:val="both"/>
        <w:rPr>
          <w:szCs w:val="24"/>
        </w:rPr>
      </w:pPr>
      <w:proofErr w:type="gramStart"/>
      <w:r w:rsidRPr="00E034DB">
        <w:rPr>
          <w:szCs w:val="24"/>
        </w:rPr>
        <w:t>requérantes</w:t>
      </w:r>
      <w:proofErr w:type="gramEnd"/>
      <w:r w:rsidRPr="00E034DB">
        <w:rPr>
          <w:szCs w:val="24"/>
        </w:rPr>
        <w:t xml:space="preserve"> ont établi l’existence d’un risque réel de voir, dans un futur qui n’est guère</w:t>
      </w:r>
    </w:p>
    <w:p w14:paraId="6C169A47" w14:textId="77777777" w:rsidR="00E034DB" w:rsidRPr="00E034DB" w:rsidRDefault="00E034DB" w:rsidP="000061B5">
      <w:pPr>
        <w:pStyle w:val="Retraitcorpsdetexte2"/>
        <w:pBdr>
          <w:top w:val="single" w:sz="4" w:space="1" w:color="auto"/>
          <w:left w:val="single" w:sz="4" w:space="1" w:color="auto"/>
          <w:bottom w:val="single" w:sz="4" w:space="1" w:color="auto"/>
          <w:right w:val="single" w:sz="4" w:space="1" w:color="auto"/>
        </w:pBdr>
        <w:spacing w:line="240" w:lineRule="auto"/>
        <w:jc w:val="both"/>
        <w:rPr>
          <w:szCs w:val="24"/>
        </w:rPr>
      </w:pPr>
      <w:proofErr w:type="gramStart"/>
      <w:r w:rsidRPr="00E034DB">
        <w:rPr>
          <w:szCs w:val="24"/>
        </w:rPr>
        <w:t>lointain</w:t>
      </w:r>
      <w:proofErr w:type="gramEnd"/>
      <w:r w:rsidRPr="00E034DB">
        <w:rPr>
          <w:szCs w:val="24"/>
        </w:rPr>
        <w:t>, l’une d’elles obligée d’acquitter d’importants droits de succession sur les biens</w:t>
      </w:r>
    </w:p>
    <w:p w14:paraId="3A299386" w14:textId="77777777" w:rsidR="00E034DB" w:rsidRPr="00E034DB" w:rsidRDefault="00E034DB" w:rsidP="000061B5">
      <w:pPr>
        <w:pStyle w:val="Retraitcorpsdetexte2"/>
        <w:pBdr>
          <w:top w:val="single" w:sz="4" w:space="1" w:color="auto"/>
          <w:left w:val="single" w:sz="4" w:space="1" w:color="auto"/>
          <w:bottom w:val="single" w:sz="4" w:space="1" w:color="auto"/>
          <w:right w:val="single" w:sz="4" w:space="1" w:color="auto"/>
        </w:pBdr>
        <w:spacing w:line="240" w:lineRule="auto"/>
        <w:jc w:val="both"/>
        <w:rPr>
          <w:szCs w:val="24"/>
        </w:rPr>
      </w:pPr>
      <w:proofErr w:type="gramStart"/>
      <w:r w:rsidRPr="00E034DB">
        <w:rPr>
          <w:szCs w:val="24"/>
        </w:rPr>
        <w:t>hérités</w:t>
      </w:r>
      <w:proofErr w:type="gramEnd"/>
      <w:r w:rsidRPr="00E034DB">
        <w:rPr>
          <w:szCs w:val="24"/>
        </w:rPr>
        <w:t xml:space="preserve"> de sa </w:t>
      </w:r>
      <w:proofErr w:type="spellStart"/>
      <w:r w:rsidRPr="00E034DB">
        <w:rPr>
          <w:szCs w:val="24"/>
        </w:rPr>
        <w:t>soeur</w:t>
      </w:r>
      <w:proofErr w:type="spellEnd"/>
      <w:r w:rsidRPr="00E034DB">
        <w:rPr>
          <w:szCs w:val="24"/>
        </w:rPr>
        <w:t>. Dans ces conditions, les intéressées peuvent se prétendre victimes</w:t>
      </w:r>
    </w:p>
    <w:p w14:paraId="680D4DB9" w14:textId="77777777" w:rsidR="00E034DB" w:rsidRPr="00E034DB" w:rsidRDefault="00E034DB" w:rsidP="000061B5">
      <w:pPr>
        <w:pStyle w:val="Retraitcorpsdetexte2"/>
        <w:pBdr>
          <w:top w:val="single" w:sz="4" w:space="1" w:color="auto"/>
          <w:left w:val="single" w:sz="4" w:space="1" w:color="auto"/>
          <w:bottom w:val="single" w:sz="4" w:space="1" w:color="auto"/>
          <w:right w:val="single" w:sz="4" w:space="1" w:color="auto"/>
        </w:pBdr>
        <w:spacing w:line="240" w:lineRule="auto"/>
        <w:jc w:val="both"/>
        <w:rPr>
          <w:szCs w:val="24"/>
        </w:rPr>
      </w:pPr>
      <w:proofErr w:type="gramStart"/>
      <w:r w:rsidRPr="00E034DB">
        <w:rPr>
          <w:szCs w:val="24"/>
        </w:rPr>
        <w:t>du</w:t>
      </w:r>
      <w:proofErr w:type="gramEnd"/>
      <w:r w:rsidRPr="00E034DB">
        <w:rPr>
          <w:szCs w:val="24"/>
        </w:rPr>
        <w:t xml:space="preserve"> traitement discriminatoire allégué.</w:t>
      </w:r>
    </w:p>
    <w:p w14:paraId="7F140FD0" w14:textId="77777777" w:rsidR="00E034DB" w:rsidRDefault="00E034DB" w:rsidP="000061B5">
      <w:pPr>
        <w:pStyle w:val="Retraitcorpsdetexte2"/>
        <w:pBdr>
          <w:top w:val="single" w:sz="4" w:space="1" w:color="auto"/>
          <w:left w:val="single" w:sz="4" w:space="1" w:color="auto"/>
          <w:bottom w:val="single" w:sz="4" w:space="1" w:color="auto"/>
          <w:right w:val="single" w:sz="4" w:space="1" w:color="auto"/>
        </w:pBdr>
        <w:jc w:val="both"/>
        <w:rPr>
          <w:szCs w:val="24"/>
        </w:rPr>
      </w:pPr>
    </w:p>
    <w:p w14:paraId="50EBC59F" w14:textId="77777777" w:rsidR="00E034DB" w:rsidRDefault="00E034DB" w:rsidP="000061B5">
      <w:pPr>
        <w:pStyle w:val="Retraitcorpsdetexte2"/>
        <w:jc w:val="both"/>
        <w:rPr>
          <w:szCs w:val="24"/>
        </w:rPr>
      </w:pPr>
    </w:p>
    <w:p w14:paraId="6B7FAF4A" w14:textId="77777777" w:rsidR="00185E42" w:rsidRDefault="00185E42"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BoldMT" w:hAnsi="TimesNewRomanPS-BoldMT" w:cs="TimesNewRomanPS-BoldMT"/>
          <w:b/>
          <w:bCs/>
          <w:lang w:eastAsia="ja-JP"/>
        </w:rPr>
      </w:pPr>
    </w:p>
    <w:p w14:paraId="1C3D4495" w14:textId="44AA01E5" w:rsidR="00185E42" w:rsidRDefault="00185E42"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BoldMT" w:hAnsi="TimesNewRomanPS-BoldMT" w:cs="TimesNewRomanPS-BoldMT"/>
          <w:b/>
          <w:bCs/>
          <w:lang w:eastAsia="ja-JP"/>
        </w:rPr>
      </w:pPr>
      <w:r w:rsidRPr="00185E42">
        <w:rPr>
          <w:rFonts w:ascii="TimesNewRomanPS-BoldMT" w:hAnsi="TimesNewRomanPS-BoldMT" w:cs="TimesNewRomanPS-BoldMT"/>
          <w:b/>
          <w:bCs/>
          <w:lang w:eastAsia="ja-JP"/>
        </w:rPr>
        <w:t xml:space="preserve">En l’affaire </w:t>
      </w:r>
      <w:proofErr w:type="spellStart"/>
      <w:r w:rsidRPr="00185E42">
        <w:rPr>
          <w:rFonts w:ascii="TimesNewRomanPS-BoldMT" w:hAnsi="TimesNewRomanPS-BoldMT" w:cs="TimesNewRomanPS-BoldMT"/>
          <w:b/>
          <w:bCs/>
          <w:lang w:eastAsia="ja-JP"/>
        </w:rPr>
        <w:t>Burghartz</w:t>
      </w:r>
      <w:proofErr w:type="spellEnd"/>
      <w:r w:rsidRPr="00185E42">
        <w:rPr>
          <w:rFonts w:ascii="TimesNewRomanPS-BoldMT" w:hAnsi="TimesNewRomanPS-BoldMT" w:cs="TimesNewRomanPS-BoldMT"/>
          <w:b/>
          <w:bCs/>
          <w:lang w:eastAsia="ja-JP"/>
        </w:rPr>
        <w:t xml:space="preserve"> c. Suisse</w:t>
      </w:r>
      <w:r>
        <w:rPr>
          <w:rFonts w:ascii="TimesNewRomanPS-BoldMT" w:hAnsi="TimesNewRomanPS-BoldMT" w:cs="TimesNewRomanPS-BoldMT"/>
          <w:b/>
          <w:bCs/>
          <w:lang w:eastAsia="ja-JP"/>
        </w:rPr>
        <w:t xml:space="preserve"> (</w:t>
      </w:r>
      <w:r w:rsidR="00D36F7B">
        <w:rPr>
          <w:rFonts w:ascii="TimesNewRomanPS-BoldMT" w:hAnsi="TimesNewRomanPS-BoldMT" w:cs="TimesNewRomanPS-BoldMT"/>
          <w:b/>
          <w:bCs/>
          <w:lang w:eastAsia="ja-JP"/>
        </w:rPr>
        <w:t>22 février 1994)</w:t>
      </w:r>
    </w:p>
    <w:p w14:paraId="4C477DCE" w14:textId="77777777" w:rsidR="0023438E" w:rsidRDefault="0023438E"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MT" w:hAnsi="TimesNewRomanPSMT" w:cs="TimesNewRomanPSMT"/>
          <w:lang w:eastAsia="ja-JP"/>
        </w:rPr>
      </w:pPr>
      <w:r>
        <w:rPr>
          <w:rFonts w:ascii="TimesNewRomanPSMT" w:hAnsi="TimesNewRomanPSMT" w:cs="TimesNewRomanPSMT"/>
          <w:lang w:eastAsia="ja-JP"/>
        </w:rPr>
        <w:t>6. De nationalité suisse, les requérants résident tous deux à Bâle depuis</w:t>
      </w:r>
    </w:p>
    <w:p w14:paraId="6DB224E5" w14:textId="77777777" w:rsidR="0023438E" w:rsidRDefault="0023438E"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MT" w:hAnsi="TimesNewRomanPSMT" w:cs="TimesNewRomanPSMT"/>
          <w:lang w:eastAsia="ja-JP"/>
        </w:rPr>
      </w:pPr>
      <w:r>
        <w:rPr>
          <w:rFonts w:ascii="TimesNewRomanPSMT" w:hAnsi="TimesNewRomanPSMT" w:cs="TimesNewRomanPSMT"/>
          <w:lang w:eastAsia="ja-JP"/>
        </w:rPr>
        <w:t xml:space="preserve">1975. Ils se marièrent en 1984 en Allemagne, Etat dont Mme </w:t>
      </w:r>
      <w:proofErr w:type="spellStart"/>
      <w:r>
        <w:rPr>
          <w:rFonts w:ascii="TimesNewRomanPSMT" w:hAnsi="TimesNewRomanPSMT" w:cs="TimesNewRomanPSMT"/>
          <w:lang w:eastAsia="ja-JP"/>
        </w:rPr>
        <w:t>Burghartz</w:t>
      </w:r>
      <w:proofErr w:type="spellEnd"/>
    </w:p>
    <w:p w14:paraId="663E55F5" w14:textId="77777777" w:rsidR="0023438E" w:rsidRDefault="0023438E"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MT" w:hAnsi="TimesNewRomanPSMT" w:cs="TimesNewRomanPSMT"/>
          <w:lang w:eastAsia="ja-JP"/>
        </w:rPr>
      </w:pPr>
      <w:proofErr w:type="gramStart"/>
      <w:r>
        <w:rPr>
          <w:rFonts w:ascii="TimesNewRomanPSMT" w:hAnsi="TimesNewRomanPSMT" w:cs="TimesNewRomanPSMT"/>
          <w:lang w:eastAsia="ja-JP"/>
        </w:rPr>
        <w:t>possède</w:t>
      </w:r>
      <w:proofErr w:type="gramEnd"/>
      <w:r>
        <w:rPr>
          <w:rFonts w:ascii="TimesNewRomanPSMT" w:hAnsi="TimesNewRomanPSMT" w:cs="TimesNewRomanPSMT"/>
          <w:lang w:eastAsia="ja-JP"/>
        </w:rPr>
        <w:t xml:space="preserve"> aussi la citoyenneté. En vertu du droit de ce pays (article 1355 du</w:t>
      </w:r>
    </w:p>
    <w:p w14:paraId="00748015" w14:textId="77777777" w:rsidR="0023438E" w:rsidRDefault="0023438E"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MT" w:hAnsi="TimesNewRomanPSMT" w:cs="TimesNewRomanPSMT"/>
          <w:lang w:eastAsia="ja-JP"/>
        </w:rPr>
      </w:pPr>
      <w:proofErr w:type="gramStart"/>
      <w:r>
        <w:rPr>
          <w:rFonts w:ascii="TimesNewRomanPSMT" w:hAnsi="TimesNewRomanPSMT" w:cs="TimesNewRomanPSMT"/>
          <w:lang w:eastAsia="ja-JP"/>
        </w:rPr>
        <w:t>code</w:t>
      </w:r>
      <w:proofErr w:type="gramEnd"/>
      <w:r>
        <w:rPr>
          <w:rFonts w:ascii="TimesNewRomanPSMT" w:hAnsi="TimesNewRomanPSMT" w:cs="TimesNewRomanPSMT"/>
          <w:lang w:eastAsia="ja-JP"/>
        </w:rPr>
        <w:t xml:space="preserve"> civil), ils choisirent pour nom de famille celui de l’épouse, </w:t>
      </w:r>
      <w:proofErr w:type="spellStart"/>
      <w:r>
        <w:rPr>
          <w:rFonts w:ascii="TimesNewRomanPSMT" w:hAnsi="TimesNewRomanPSMT" w:cs="TimesNewRomanPSMT"/>
          <w:lang w:eastAsia="ja-JP"/>
        </w:rPr>
        <w:t>Burghartz</w:t>
      </w:r>
      <w:proofErr w:type="spellEnd"/>
      <w:r>
        <w:rPr>
          <w:rFonts w:ascii="TimesNewRomanPSMT" w:hAnsi="TimesNewRomanPSMT" w:cs="TimesNewRomanPSMT"/>
          <w:lang w:eastAsia="ja-JP"/>
        </w:rPr>
        <w:t>;</w:t>
      </w:r>
    </w:p>
    <w:p w14:paraId="10626492" w14:textId="77777777" w:rsidR="0023438E" w:rsidRDefault="0023438E"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MT" w:hAnsi="TimesNewRomanPSMT" w:cs="TimesNewRomanPSMT"/>
          <w:lang w:eastAsia="ja-JP"/>
        </w:rPr>
      </w:pPr>
      <w:proofErr w:type="gramStart"/>
      <w:r>
        <w:rPr>
          <w:rFonts w:ascii="TimesNewRomanPSMT" w:hAnsi="TimesNewRomanPSMT" w:cs="TimesNewRomanPSMT"/>
          <w:lang w:eastAsia="ja-JP"/>
        </w:rPr>
        <w:t>le</w:t>
      </w:r>
      <w:proofErr w:type="gramEnd"/>
      <w:r>
        <w:rPr>
          <w:rFonts w:ascii="TimesNewRomanPSMT" w:hAnsi="TimesNewRomanPSMT" w:cs="TimesNewRomanPSMT"/>
          <w:lang w:eastAsia="ja-JP"/>
        </w:rPr>
        <w:t xml:space="preserve"> mari usa du droit de le faire précéder du sien propre pour s’appeler</w:t>
      </w:r>
    </w:p>
    <w:p w14:paraId="29B8FEB2" w14:textId="77777777" w:rsidR="0023438E" w:rsidRDefault="0023438E"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MT" w:hAnsi="TimesNewRomanPSMT" w:cs="TimesNewRomanPSMT"/>
          <w:lang w:eastAsia="ja-JP"/>
        </w:rPr>
      </w:pPr>
      <w:r>
        <w:rPr>
          <w:rFonts w:ascii="TimesNewRomanPSMT" w:hAnsi="TimesNewRomanPSMT" w:cs="TimesNewRomanPSMT"/>
          <w:lang w:eastAsia="ja-JP"/>
        </w:rPr>
        <w:t xml:space="preserve">"Schnyder </w:t>
      </w:r>
      <w:proofErr w:type="spellStart"/>
      <w:r>
        <w:rPr>
          <w:rFonts w:ascii="TimesNewRomanPSMT" w:hAnsi="TimesNewRomanPSMT" w:cs="TimesNewRomanPSMT"/>
          <w:lang w:eastAsia="ja-JP"/>
        </w:rPr>
        <w:t>Burghartz</w:t>
      </w:r>
      <w:proofErr w:type="spellEnd"/>
      <w:r>
        <w:rPr>
          <w:rFonts w:ascii="TimesNewRomanPSMT" w:hAnsi="TimesNewRomanPSMT" w:cs="TimesNewRomanPSMT"/>
          <w:lang w:eastAsia="ja-JP"/>
        </w:rPr>
        <w:t>".</w:t>
      </w:r>
    </w:p>
    <w:p w14:paraId="390FC6D9" w14:textId="77777777" w:rsidR="0023438E" w:rsidRDefault="0023438E"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MT" w:hAnsi="TimesNewRomanPSMT" w:cs="TimesNewRomanPSMT"/>
          <w:lang w:eastAsia="ja-JP"/>
        </w:rPr>
      </w:pPr>
      <w:r>
        <w:rPr>
          <w:rFonts w:ascii="TimesNewRomanPSMT" w:hAnsi="TimesNewRomanPSMT" w:cs="TimesNewRomanPSMT"/>
          <w:lang w:eastAsia="ja-JP"/>
        </w:rPr>
        <w:t>7. L’état civil suisse (</w:t>
      </w:r>
      <w:proofErr w:type="spellStart"/>
      <w:r>
        <w:rPr>
          <w:rFonts w:ascii="TimesNewRomanPSMT" w:hAnsi="TimesNewRomanPSMT" w:cs="TimesNewRomanPSMT"/>
          <w:lang w:eastAsia="ja-JP"/>
        </w:rPr>
        <w:t>Zivilstandsamt</w:t>
      </w:r>
      <w:proofErr w:type="spellEnd"/>
      <w:r>
        <w:rPr>
          <w:rFonts w:ascii="TimesNewRomanPSMT" w:hAnsi="TimesNewRomanPSMT" w:cs="TimesNewRomanPSMT"/>
          <w:lang w:eastAsia="ja-JP"/>
        </w:rPr>
        <w:t>) ayant enregistré "Schnyder"</w:t>
      </w:r>
    </w:p>
    <w:p w14:paraId="2D4C3C4D" w14:textId="77777777" w:rsidR="0023438E" w:rsidRDefault="0023438E"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MT" w:hAnsi="TimesNewRomanPSMT" w:cs="TimesNewRomanPSMT"/>
          <w:lang w:eastAsia="ja-JP"/>
        </w:rPr>
      </w:pPr>
      <w:proofErr w:type="gramStart"/>
      <w:r>
        <w:rPr>
          <w:rFonts w:ascii="TimesNewRomanPSMT" w:hAnsi="TimesNewRomanPSMT" w:cs="TimesNewRomanPSMT"/>
          <w:lang w:eastAsia="ja-JP"/>
        </w:rPr>
        <w:t>comme</w:t>
      </w:r>
      <w:proofErr w:type="gramEnd"/>
      <w:r>
        <w:rPr>
          <w:rFonts w:ascii="TimesNewRomanPSMT" w:hAnsi="TimesNewRomanPSMT" w:cs="TimesNewRomanPSMT"/>
          <w:lang w:eastAsia="ja-JP"/>
        </w:rPr>
        <w:t xml:space="preserve"> patronyme commun aux époux, ils sollicitèrent l’autorisation d’y</w:t>
      </w:r>
    </w:p>
    <w:p w14:paraId="60B22073" w14:textId="77777777" w:rsidR="0023438E" w:rsidRDefault="0023438E"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MT" w:hAnsi="TimesNewRomanPSMT" w:cs="TimesNewRomanPSMT"/>
          <w:lang w:eastAsia="ja-JP"/>
        </w:rPr>
      </w:pPr>
      <w:proofErr w:type="gramStart"/>
      <w:r>
        <w:rPr>
          <w:rFonts w:ascii="TimesNewRomanPSMT" w:hAnsi="TimesNewRomanPSMT" w:cs="TimesNewRomanPSMT"/>
          <w:lang w:eastAsia="ja-JP"/>
        </w:rPr>
        <w:t>substituer</w:t>
      </w:r>
      <w:proofErr w:type="gramEnd"/>
      <w:r>
        <w:rPr>
          <w:rFonts w:ascii="TimesNewRomanPSMT" w:hAnsi="TimesNewRomanPSMT" w:cs="TimesNewRomanPSMT"/>
          <w:lang w:eastAsia="ja-JP"/>
        </w:rPr>
        <w:t xml:space="preserve"> les noms de "</w:t>
      </w:r>
      <w:proofErr w:type="spellStart"/>
      <w:r>
        <w:rPr>
          <w:rFonts w:ascii="TimesNewRomanPSMT" w:hAnsi="TimesNewRomanPSMT" w:cs="TimesNewRomanPSMT"/>
          <w:lang w:eastAsia="ja-JP"/>
        </w:rPr>
        <w:t>Burghartz</w:t>
      </w:r>
      <w:proofErr w:type="spellEnd"/>
      <w:r>
        <w:rPr>
          <w:rFonts w:ascii="TimesNewRomanPSMT" w:hAnsi="TimesNewRomanPSMT" w:cs="TimesNewRomanPSMT"/>
          <w:lang w:eastAsia="ja-JP"/>
        </w:rPr>
        <w:t>" pour la famille et de "Schnyder</w:t>
      </w:r>
    </w:p>
    <w:p w14:paraId="2C93CABF" w14:textId="77777777" w:rsidR="0023438E" w:rsidRDefault="0023438E"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MT" w:hAnsi="TimesNewRomanPSMT" w:cs="TimesNewRomanPSMT"/>
          <w:lang w:eastAsia="ja-JP"/>
        </w:rPr>
      </w:pPr>
      <w:proofErr w:type="spellStart"/>
      <w:r>
        <w:rPr>
          <w:rFonts w:ascii="TimesNewRomanPSMT" w:hAnsi="TimesNewRomanPSMT" w:cs="TimesNewRomanPSMT"/>
          <w:lang w:eastAsia="ja-JP"/>
        </w:rPr>
        <w:t>Burghartz</w:t>
      </w:r>
      <w:proofErr w:type="spellEnd"/>
      <w:r>
        <w:rPr>
          <w:rFonts w:ascii="TimesNewRomanPSMT" w:hAnsi="TimesNewRomanPSMT" w:cs="TimesNewRomanPSMT"/>
          <w:lang w:eastAsia="ja-JP"/>
        </w:rPr>
        <w:t>" pour le second requérant. Le 6 novembre 1984, le gouvernement</w:t>
      </w:r>
    </w:p>
    <w:p w14:paraId="3CD5DB9A" w14:textId="77777777" w:rsidR="0023438E" w:rsidRDefault="0023438E"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MT" w:hAnsi="TimesNewRomanPSMT" w:cs="TimesNewRomanPSMT"/>
          <w:lang w:eastAsia="ja-JP"/>
        </w:rPr>
      </w:pPr>
      <w:r>
        <w:rPr>
          <w:rFonts w:ascii="TimesNewRomanPSMT" w:hAnsi="TimesNewRomanPSMT" w:cs="TimesNewRomanPSMT"/>
          <w:lang w:eastAsia="ja-JP"/>
        </w:rPr>
        <w:t>(</w:t>
      </w:r>
      <w:proofErr w:type="spellStart"/>
      <w:r>
        <w:rPr>
          <w:rFonts w:ascii="TimesNewRomanPSMT" w:hAnsi="TimesNewRomanPSMT" w:cs="TimesNewRomanPSMT"/>
          <w:lang w:eastAsia="ja-JP"/>
        </w:rPr>
        <w:t>Regierungsrat</w:t>
      </w:r>
      <w:proofErr w:type="spellEnd"/>
      <w:r>
        <w:rPr>
          <w:rFonts w:ascii="TimesNewRomanPSMT" w:hAnsi="TimesNewRomanPSMT" w:cs="TimesNewRomanPSMT"/>
          <w:lang w:eastAsia="ja-JP"/>
        </w:rPr>
        <w:t>) du canton de Bâle-Campagne la leur refusa.</w:t>
      </w:r>
    </w:p>
    <w:p w14:paraId="0E85A321" w14:textId="77777777" w:rsidR="0023438E" w:rsidRDefault="0023438E"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MT" w:hAnsi="TimesNewRomanPSMT" w:cs="TimesNewRomanPSMT"/>
          <w:lang w:eastAsia="ja-JP"/>
        </w:rPr>
      </w:pPr>
      <w:r>
        <w:rPr>
          <w:rFonts w:ascii="TimesNewRomanPSMT" w:hAnsi="TimesNewRomanPSMT" w:cs="TimesNewRomanPSMT"/>
          <w:lang w:eastAsia="ja-JP"/>
        </w:rPr>
        <w:t>8. Le 26 octobre 1988, les intéressés réitérèrent leur demande</w:t>
      </w:r>
    </w:p>
    <w:p w14:paraId="40172561" w14:textId="4EE5E779" w:rsidR="005D5800" w:rsidRDefault="005D5800"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BoldMT" w:hAnsi="TimesNewRomanPS-BoldMT" w:cs="TimesNewRomanPS-BoldMT"/>
          <w:b/>
          <w:bCs/>
          <w:lang w:eastAsia="ja-JP"/>
        </w:rPr>
      </w:pPr>
      <w:r>
        <w:rPr>
          <w:rFonts w:ascii="TimesNewRomanPS-BoldMT" w:hAnsi="TimesNewRomanPS-BoldMT" w:cs="TimesNewRomanPS-BoldMT"/>
          <w:b/>
          <w:bCs/>
          <w:lang w:eastAsia="ja-JP"/>
        </w:rPr>
        <w:t>Sur la qualité de victime de la requérante</w:t>
      </w:r>
    </w:p>
    <w:p w14:paraId="5301C88A" w14:textId="77777777" w:rsidR="005D5800" w:rsidRDefault="005D5800"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MT" w:hAnsi="TimesNewRomanPSMT" w:cs="TimesNewRomanPSMT"/>
          <w:lang w:eastAsia="ja-JP"/>
        </w:rPr>
      </w:pPr>
      <w:r>
        <w:rPr>
          <w:rFonts w:ascii="TimesNewRomanPSMT" w:hAnsi="TimesNewRomanPSMT" w:cs="TimesNewRomanPSMT"/>
          <w:lang w:eastAsia="ja-JP"/>
        </w:rPr>
        <w:t>16. Le Gouvernement conteste d’abord à la requérante, comme déjà</w:t>
      </w:r>
    </w:p>
    <w:p w14:paraId="067728DC" w14:textId="77777777" w:rsidR="005D5800" w:rsidRDefault="005D5800"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MT" w:hAnsi="TimesNewRomanPSMT" w:cs="TimesNewRomanPSMT"/>
          <w:lang w:eastAsia="ja-JP"/>
        </w:rPr>
      </w:pPr>
      <w:proofErr w:type="gramStart"/>
      <w:r>
        <w:rPr>
          <w:rFonts w:ascii="TimesNewRomanPSMT" w:hAnsi="TimesNewRomanPSMT" w:cs="TimesNewRomanPSMT"/>
          <w:lang w:eastAsia="ja-JP"/>
        </w:rPr>
        <w:t>devant</w:t>
      </w:r>
      <w:proofErr w:type="gramEnd"/>
      <w:r>
        <w:rPr>
          <w:rFonts w:ascii="TimesNewRomanPSMT" w:hAnsi="TimesNewRomanPSMT" w:cs="TimesNewRomanPSMT"/>
          <w:lang w:eastAsia="ja-JP"/>
        </w:rPr>
        <w:t xml:space="preserve"> la Commission, la qualité de victime au sens de l’article 25 (art. 25)</w:t>
      </w:r>
    </w:p>
    <w:p w14:paraId="2467216B" w14:textId="77777777" w:rsidR="005D5800" w:rsidRDefault="005D5800"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MT" w:hAnsi="TimesNewRomanPSMT" w:cs="TimesNewRomanPSMT"/>
          <w:lang w:eastAsia="ja-JP"/>
        </w:rPr>
      </w:pPr>
      <w:proofErr w:type="gramStart"/>
      <w:r>
        <w:rPr>
          <w:rFonts w:ascii="TimesNewRomanPSMT" w:hAnsi="TimesNewRomanPSMT" w:cs="TimesNewRomanPSMT"/>
          <w:lang w:eastAsia="ja-JP"/>
        </w:rPr>
        <w:lastRenderedPageBreak/>
        <w:t>de</w:t>
      </w:r>
      <w:proofErr w:type="gramEnd"/>
      <w:r>
        <w:rPr>
          <w:rFonts w:ascii="TimesNewRomanPSMT" w:hAnsi="TimesNewRomanPSMT" w:cs="TimesNewRomanPSMT"/>
          <w:lang w:eastAsia="ja-JP"/>
        </w:rPr>
        <w:t xml:space="preserve"> la Convention. Nul autre que M. </w:t>
      </w:r>
      <w:proofErr w:type="spellStart"/>
      <w:r>
        <w:rPr>
          <w:rFonts w:ascii="TimesNewRomanPSMT" w:hAnsi="TimesNewRomanPSMT" w:cs="TimesNewRomanPSMT"/>
          <w:lang w:eastAsia="ja-JP"/>
        </w:rPr>
        <w:t>Burghartz</w:t>
      </w:r>
      <w:proofErr w:type="spellEnd"/>
      <w:r>
        <w:rPr>
          <w:rFonts w:ascii="TimesNewRomanPSMT" w:hAnsi="TimesNewRomanPSMT" w:cs="TimesNewRomanPSMT"/>
          <w:lang w:eastAsia="ja-JP"/>
        </w:rPr>
        <w:t xml:space="preserve"> ne se trouverait lésé par le</w:t>
      </w:r>
    </w:p>
    <w:p w14:paraId="2379C0C4" w14:textId="77777777" w:rsidR="005D5800" w:rsidRDefault="005D5800"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MT" w:hAnsi="TimesNewRomanPSMT" w:cs="TimesNewRomanPSMT"/>
          <w:lang w:eastAsia="ja-JP"/>
        </w:rPr>
      </w:pPr>
      <w:proofErr w:type="gramStart"/>
      <w:r>
        <w:rPr>
          <w:rFonts w:ascii="TimesNewRomanPSMT" w:hAnsi="TimesNewRomanPSMT" w:cs="TimesNewRomanPSMT"/>
          <w:lang w:eastAsia="ja-JP"/>
        </w:rPr>
        <w:t>rejet</w:t>
      </w:r>
      <w:proofErr w:type="gramEnd"/>
      <w:r>
        <w:rPr>
          <w:rFonts w:ascii="TimesNewRomanPSMT" w:hAnsi="TimesNewRomanPSMT" w:cs="TimesNewRomanPSMT"/>
          <w:lang w:eastAsia="ja-JP"/>
        </w:rPr>
        <w:t xml:space="preserve"> de sa demande, seule en cause ici, son épouse ayant obtenu satisfaction</w:t>
      </w:r>
    </w:p>
    <w:p w14:paraId="10E4F034" w14:textId="77777777" w:rsidR="005D5800" w:rsidRDefault="005D5800"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MT" w:hAnsi="TimesNewRomanPSMT" w:cs="TimesNewRomanPSMT"/>
          <w:lang w:eastAsia="ja-JP"/>
        </w:rPr>
      </w:pPr>
      <w:proofErr w:type="gramStart"/>
      <w:r>
        <w:rPr>
          <w:rFonts w:ascii="TimesNewRomanPSMT" w:hAnsi="TimesNewRomanPSMT" w:cs="TimesNewRomanPSMT"/>
          <w:lang w:eastAsia="ja-JP"/>
        </w:rPr>
        <w:t>devant</w:t>
      </w:r>
      <w:proofErr w:type="gramEnd"/>
      <w:r>
        <w:rPr>
          <w:rFonts w:ascii="TimesNewRomanPSMT" w:hAnsi="TimesNewRomanPSMT" w:cs="TimesNewRomanPSMT"/>
          <w:lang w:eastAsia="ja-JP"/>
        </w:rPr>
        <w:t xml:space="preserve"> le Tribunal fédéral qui l’a autorisée à conserver son nom de jeune</w:t>
      </w:r>
    </w:p>
    <w:p w14:paraId="39DFBBEE" w14:textId="77777777" w:rsidR="005D5800" w:rsidRDefault="005D5800"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MT" w:hAnsi="TimesNewRomanPSMT" w:cs="TimesNewRomanPSMT"/>
          <w:lang w:eastAsia="ja-JP"/>
        </w:rPr>
      </w:pPr>
      <w:proofErr w:type="gramStart"/>
      <w:r>
        <w:rPr>
          <w:rFonts w:ascii="TimesNewRomanPSMT" w:hAnsi="TimesNewRomanPSMT" w:cs="TimesNewRomanPSMT"/>
          <w:lang w:eastAsia="ja-JP"/>
        </w:rPr>
        <w:t>fille</w:t>
      </w:r>
      <w:proofErr w:type="gramEnd"/>
      <w:r>
        <w:rPr>
          <w:rFonts w:ascii="TimesNewRomanPSMT" w:hAnsi="TimesNewRomanPSMT" w:cs="TimesNewRomanPSMT"/>
          <w:lang w:eastAsia="ja-JP"/>
        </w:rPr>
        <w:t xml:space="preserve"> (paragraphe 9 ci-dessus).</w:t>
      </w:r>
    </w:p>
    <w:p w14:paraId="47AEB818" w14:textId="77777777" w:rsidR="005D5800" w:rsidRDefault="005D5800"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MT" w:hAnsi="TimesNewRomanPSMT" w:cs="TimesNewRomanPSMT"/>
          <w:lang w:eastAsia="ja-JP"/>
        </w:rPr>
      </w:pPr>
      <w:r>
        <w:rPr>
          <w:rFonts w:ascii="TimesNewRomanPSMT" w:hAnsi="TimesNewRomanPSMT" w:cs="TimesNewRomanPSMT"/>
          <w:lang w:eastAsia="ja-JP"/>
        </w:rPr>
        <w:t xml:space="preserve">17. Les requérants soulignent l’intérêt personnel de Mme </w:t>
      </w:r>
      <w:proofErr w:type="spellStart"/>
      <w:r>
        <w:rPr>
          <w:rFonts w:ascii="TimesNewRomanPSMT" w:hAnsi="TimesNewRomanPSMT" w:cs="TimesNewRomanPSMT"/>
          <w:lang w:eastAsia="ja-JP"/>
        </w:rPr>
        <w:t>Burghartz</w:t>
      </w:r>
      <w:proofErr w:type="spellEnd"/>
      <w:r>
        <w:rPr>
          <w:rFonts w:ascii="TimesNewRomanPSMT" w:hAnsi="TimesNewRomanPSMT" w:cs="TimesNewRomanPSMT"/>
          <w:lang w:eastAsia="ja-JP"/>
        </w:rPr>
        <w:t xml:space="preserve"> à</w:t>
      </w:r>
    </w:p>
    <w:p w14:paraId="14D94B63" w14:textId="77777777" w:rsidR="005D5800" w:rsidRDefault="005D5800"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MT" w:hAnsi="TimesNewRomanPSMT" w:cs="TimesNewRomanPSMT"/>
          <w:lang w:eastAsia="ja-JP"/>
        </w:rPr>
      </w:pPr>
      <w:proofErr w:type="gramStart"/>
      <w:r>
        <w:rPr>
          <w:rFonts w:ascii="TimesNewRomanPSMT" w:hAnsi="TimesNewRomanPSMT" w:cs="TimesNewRomanPSMT"/>
          <w:lang w:eastAsia="ja-JP"/>
        </w:rPr>
        <w:t>voir</w:t>
      </w:r>
      <w:proofErr w:type="gramEnd"/>
      <w:r>
        <w:rPr>
          <w:rFonts w:ascii="TimesNewRomanPSMT" w:hAnsi="TimesNewRomanPSMT" w:cs="TimesNewRomanPSMT"/>
          <w:lang w:eastAsia="ja-JP"/>
        </w:rPr>
        <w:t xml:space="preserve"> aboutir l’action de son mari: ayant choisi avec lui "</w:t>
      </w:r>
      <w:proofErr w:type="spellStart"/>
      <w:r>
        <w:rPr>
          <w:rFonts w:ascii="TimesNewRomanPSMT" w:hAnsi="TimesNewRomanPSMT" w:cs="TimesNewRomanPSMT"/>
          <w:lang w:eastAsia="ja-JP"/>
        </w:rPr>
        <w:t>Burghartz</w:t>
      </w:r>
      <w:proofErr w:type="spellEnd"/>
      <w:r>
        <w:rPr>
          <w:rFonts w:ascii="TimesNewRomanPSMT" w:hAnsi="TimesNewRomanPSMT" w:cs="TimesNewRomanPSMT"/>
          <w:lang w:eastAsia="ja-JP"/>
        </w:rPr>
        <w:t>" pour</w:t>
      </w:r>
    </w:p>
    <w:p w14:paraId="6F2DC032" w14:textId="77777777" w:rsidR="005D5800" w:rsidRDefault="005D5800"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MT" w:hAnsi="TimesNewRomanPSMT" w:cs="TimesNewRomanPSMT"/>
          <w:lang w:eastAsia="ja-JP"/>
        </w:rPr>
      </w:pPr>
      <w:proofErr w:type="gramStart"/>
      <w:r>
        <w:rPr>
          <w:rFonts w:ascii="TimesNewRomanPSMT" w:hAnsi="TimesNewRomanPSMT" w:cs="TimesNewRomanPSMT"/>
          <w:lang w:eastAsia="ja-JP"/>
        </w:rPr>
        <w:t>nom</w:t>
      </w:r>
      <w:proofErr w:type="gramEnd"/>
      <w:r>
        <w:rPr>
          <w:rFonts w:ascii="TimesNewRomanPSMT" w:hAnsi="TimesNewRomanPSMT" w:cs="TimesNewRomanPSMT"/>
          <w:lang w:eastAsia="ja-JP"/>
        </w:rPr>
        <w:t xml:space="preserve"> de famille commun, elle s’estimerait directement responsable de la</w:t>
      </w:r>
    </w:p>
    <w:p w14:paraId="493336F3" w14:textId="77777777" w:rsidR="005D5800" w:rsidRDefault="005D5800"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MT" w:hAnsi="TimesNewRomanPSMT" w:cs="TimesNewRomanPSMT"/>
          <w:lang w:eastAsia="ja-JP"/>
        </w:rPr>
      </w:pPr>
      <w:proofErr w:type="gramStart"/>
      <w:r>
        <w:rPr>
          <w:rFonts w:ascii="TimesNewRomanPSMT" w:hAnsi="TimesNewRomanPSMT" w:cs="TimesNewRomanPSMT"/>
          <w:lang w:eastAsia="ja-JP"/>
        </w:rPr>
        <w:t>perte</w:t>
      </w:r>
      <w:proofErr w:type="gramEnd"/>
      <w:r>
        <w:rPr>
          <w:rFonts w:ascii="TimesNewRomanPSMT" w:hAnsi="TimesNewRomanPSMT" w:cs="TimesNewRomanPSMT"/>
          <w:lang w:eastAsia="ja-JP"/>
        </w:rPr>
        <w:t xml:space="preserve"> par son époux du patronyme "Schnyder"; la vie du couple risquerait</w:t>
      </w:r>
    </w:p>
    <w:p w14:paraId="4CCFDAA0" w14:textId="77777777" w:rsidR="005D5800" w:rsidRDefault="005D5800"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MT" w:hAnsi="TimesNewRomanPSMT" w:cs="TimesNewRomanPSMT"/>
          <w:lang w:eastAsia="ja-JP"/>
        </w:rPr>
      </w:pPr>
      <w:proofErr w:type="gramStart"/>
      <w:r>
        <w:rPr>
          <w:rFonts w:ascii="TimesNewRomanPSMT" w:hAnsi="TimesNewRomanPSMT" w:cs="TimesNewRomanPSMT"/>
          <w:lang w:eastAsia="ja-JP"/>
        </w:rPr>
        <w:t>d’en</w:t>
      </w:r>
      <w:proofErr w:type="gramEnd"/>
      <w:r>
        <w:rPr>
          <w:rFonts w:ascii="TimesNewRomanPSMT" w:hAnsi="TimesNewRomanPSMT" w:cs="TimesNewRomanPSMT"/>
          <w:lang w:eastAsia="ja-JP"/>
        </w:rPr>
        <w:t xml:space="preserve"> pâtir. Pour la Commission aussi, la question litigieuse concerne les</w:t>
      </w:r>
    </w:p>
    <w:p w14:paraId="5D02F780" w14:textId="77777777" w:rsidR="005D5800" w:rsidRDefault="005D5800"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MT" w:hAnsi="TimesNewRomanPSMT" w:cs="TimesNewRomanPSMT"/>
          <w:lang w:eastAsia="ja-JP"/>
        </w:rPr>
      </w:pPr>
      <w:proofErr w:type="gramStart"/>
      <w:r>
        <w:rPr>
          <w:rFonts w:ascii="TimesNewRomanPSMT" w:hAnsi="TimesNewRomanPSMT" w:cs="TimesNewRomanPSMT"/>
          <w:lang w:eastAsia="ja-JP"/>
        </w:rPr>
        <w:t>deux</w:t>
      </w:r>
      <w:proofErr w:type="gramEnd"/>
      <w:r>
        <w:rPr>
          <w:rFonts w:ascii="TimesNewRomanPSMT" w:hAnsi="TimesNewRomanPSMT" w:cs="TimesNewRomanPSMT"/>
          <w:lang w:eastAsia="ja-JP"/>
        </w:rPr>
        <w:t xml:space="preserve"> époux.</w:t>
      </w:r>
    </w:p>
    <w:p w14:paraId="55DDDF5C" w14:textId="77777777" w:rsidR="005D5800" w:rsidRDefault="005D5800"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MT" w:hAnsi="TimesNewRomanPSMT" w:cs="TimesNewRomanPSMT"/>
          <w:lang w:eastAsia="ja-JP"/>
        </w:rPr>
      </w:pPr>
      <w:r>
        <w:rPr>
          <w:rFonts w:ascii="TimesNewRomanPSMT" w:hAnsi="TimesNewRomanPSMT" w:cs="TimesNewRomanPSMT"/>
          <w:lang w:eastAsia="ja-JP"/>
        </w:rPr>
        <w:t>18. La Cour rappelle que l’affaire tire son origine d’une démarche</w:t>
      </w:r>
    </w:p>
    <w:p w14:paraId="3BCEC1E9" w14:textId="77777777" w:rsidR="005D5800" w:rsidRDefault="005D5800"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MT" w:hAnsi="TimesNewRomanPSMT" w:cs="TimesNewRomanPSMT"/>
          <w:lang w:eastAsia="ja-JP"/>
        </w:rPr>
      </w:pPr>
      <w:proofErr w:type="gramStart"/>
      <w:r>
        <w:rPr>
          <w:rFonts w:ascii="TimesNewRomanPSMT" w:hAnsi="TimesNewRomanPSMT" w:cs="TimesNewRomanPSMT"/>
          <w:lang w:eastAsia="ja-JP"/>
        </w:rPr>
        <w:t>conjointe</w:t>
      </w:r>
      <w:proofErr w:type="gramEnd"/>
      <w:r>
        <w:rPr>
          <w:rFonts w:ascii="TimesNewRomanPSMT" w:hAnsi="TimesNewRomanPSMT" w:cs="TimesNewRomanPSMT"/>
          <w:lang w:eastAsia="ja-JP"/>
        </w:rPr>
        <w:t xml:space="preserve"> des époux </w:t>
      </w:r>
      <w:proofErr w:type="spellStart"/>
      <w:r>
        <w:rPr>
          <w:rFonts w:ascii="TimesNewRomanPSMT" w:hAnsi="TimesNewRomanPSMT" w:cs="TimesNewRomanPSMT"/>
          <w:lang w:eastAsia="ja-JP"/>
        </w:rPr>
        <w:t>Burghartz</w:t>
      </w:r>
      <w:proofErr w:type="spellEnd"/>
      <w:r>
        <w:rPr>
          <w:rFonts w:ascii="TimesNewRomanPSMT" w:hAnsi="TimesNewRomanPSMT" w:cs="TimesNewRomanPSMT"/>
          <w:lang w:eastAsia="ja-JP"/>
        </w:rPr>
        <w:t xml:space="preserve"> sollicitant le changement simultané de leur</w:t>
      </w:r>
    </w:p>
    <w:p w14:paraId="05F1DA4B" w14:textId="77777777" w:rsidR="005D5800" w:rsidRDefault="005D5800"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MT" w:hAnsi="TimesNewRomanPSMT" w:cs="TimesNewRomanPSMT"/>
          <w:lang w:eastAsia="ja-JP"/>
        </w:rPr>
      </w:pPr>
      <w:proofErr w:type="gramStart"/>
      <w:r>
        <w:rPr>
          <w:rFonts w:ascii="TimesNewRomanPSMT" w:hAnsi="TimesNewRomanPSMT" w:cs="TimesNewRomanPSMT"/>
          <w:lang w:eastAsia="ja-JP"/>
        </w:rPr>
        <w:t>nom</w:t>
      </w:r>
      <w:proofErr w:type="gramEnd"/>
      <w:r>
        <w:rPr>
          <w:rFonts w:ascii="TimesNewRomanPSMT" w:hAnsi="TimesNewRomanPSMT" w:cs="TimesNewRomanPSMT"/>
          <w:lang w:eastAsia="ja-JP"/>
        </w:rPr>
        <w:t xml:space="preserve"> de famille commun et de celui du mari. Compte tenu de la notion de</w:t>
      </w:r>
    </w:p>
    <w:p w14:paraId="2A503023" w14:textId="77777777" w:rsidR="005D5800" w:rsidRDefault="005D5800"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MT" w:hAnsi="TimesNewRomanPSMT" w:cs="TimesNewRomanPSMT"/>
          <w:lang w:eastAsia="ja-JP"/>
        </w:rPr>
      </w:pPr>
      <w:proofErr w:type="gramStart"/>
      <w:r>
        <w:rPr>
          <w:rFonts w:ascii="TimesNewRomanPSMT" w:hAnsi="TimesNewRomanPSMT" w:cs="TimesNewRomanPSMT"/>
          <w:lang w:eastAsia="ja-JP"/>
        </w:rPr>
        <w:t>famille</w:t>
      </w:r>
      <w:proofErr w:type="gramEnd"/>
      <w:r>
        <w:rPr>
          <w:rFonts w:ascii="TimesNewRomanPSMT" w:hAnsi="TimesNewRomanPSMT" w:cs="TimesNewRomanPSMT"/>
          <w:lang w:eastAsia="ja-JP"/>
        </w:rPr>
        <w:t xml:space="preserve"> prévalant dans le système de la Convention (voir notamment,</w:t>
      </w:r>
    </w:p>
    <w:p w14:paraId="61536DBA" w14:textId="77777777" w:rsidR="005D5800" w:rsidRDefault="005D5800"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MT" w:hAnsi="TimesNewRomanPSMT" w:cs="TimesNewRomanPSMT"/>
          <w:sz w:val="16"/>
          <w:szCs w:val="16"/>
          <w:lang w:eastAsia="ja-JP"/>
        </w:rPr>
      </w:pPr>
      <w:proofErr w:type="gramStart"/>
      <w:r>
        <w:rPr>
          <w:rFonts w:ascii="TimesNewRomanPSMT" w:hAnsi="TimesNewRomanPSMT" w:cs="TimesNewRomanPSMT"/>
          <w:lang w:eastAsia="ja-JP"/>
        </w:rPr>
        <w:t>mutatis</w:t>
      </w:r>
      <w:proofErr w:type="gramEnd"/>
      <w:r>
        <w:rPr>
          <w:rFonts w:ascii="TimesNewRomanPSMT" w:hAnsi="TimesNewRomanPSMT" w:cs="TimesNewRomanPSMT"/>
          <w:lang w:eastAsia="ja-JP"/>
        </w:rPr>
        <w:t xml:space="preserve"> mutandis, les arrêts </w:t>
      </w:r>
      <w:proofErr w:type="spellStart"/>
      <w:r>
        <w:rPr>
          <w:rFonts w:ascii="TimesNewRomanPSMT" w:hAnsi="TimesNewRomanPSMT" w:cs="TimesNewRomanPSMT"/>
          <w:lang w:eastAsia="ja-JP"/>
        </w:rPr>
        <w:t>Marckx</w:t>
      </w:r>
      <w:proofErr w:type="spellEnd"/>
      <w:r>
        <w:rPr>
          <w:rFonts w:ascii="TimesNewRomanPSMT" w:hAnsi="TimesNewRomanPSMT" w:cs="TimesNewRomanPSMT"/>
          <w:lang w:eastAsia="ja-JP"/>
        </w:rPr>
        <w:t xml:space="preserve"> c. Belgique du 13 juin 1979, série A n</w:t>
      </w:r>
      <w:r>
        <w:rPr>
          <w:rFonts w:ascii="TimesNewRomanPSMT" w:hAnsi="TimesNewRomanPSMT" w:cs="TimesNewRomanPSMT"/>
          <w:sz w:val="16"/>
          <w:szCs w:val="16"/>
          <w:lang w:eastAsia="ja-JP"/>
        </w:rPr>
        <w:t>o</w:t>
      </w:r>
    </w:p>
    <w:p w14:paraId="58A56F8E" w14:textId="77777777" w:rsidR="005D5800" w:rsidRDefault="005D5800"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MT" w:hAnsi="TimesNewRomanPSMT" w:cs="TimesNewRomanPSMT"/>
          <w:sz w:val="16"/>
          <w:szCs w:val="16"/>
          <w:lang w:eastAsia="ja-JP"/>
        </w:rPr>
      </w:pPr>
      <w:r>
        <w:rPr>
          <w:rFonts w:ascii="TimesNewRomanPSMT" w:hAnsi="TimesNewRomanPSMT" w:cs="TimesNewRomanPSMT"/>
          <w:lang w:eastAsia="ja-JP"/>
        </w:rPr>
        <w:t xml:space="preserve">31, pp. 14-15, par. 31, et </w:t>
      </w:r>
      <w:proofErr w:type="spellStart"/>
      <w:r>
        <w:rPr>
          <w:rFonts w:ascii="TimesNewRomanPSMT" w:hAnsi="TimesNewRomanPSMT" w:cs="TimesNewRomanPSMT"/>
          <w:lang w:eastAsia="ja-JP"/>
        </w:rPr>
        <w:t>Beldjoudi</w:t>
      </w:r>
      <w:proofErr w:type="spellEnd"/>
      <w:r>
        <w:rPr>
          <w:rFonts w:ascii="TimesNewRomanPSMT" w:hAnsi="TimesNewRomanPSMT" w:cs="TimesNewRomanPSMT"/>
          <w:lang w:eastAsia="ja-JP"/>
        </w:rPr>
        <w:t xml:space="preserve"> c. France du 26 mars 1992, série A n</w:t>
      </w:r>
      <w:r>
        <w:rPr>
          <w:rFonts w:ascii="TimesNewRomanPSMT" w:hAnsi="TimesNewRomanPSMT" w:cs="TimesNewRomanPSMT"/>
          <w:sz w:val="16"/>
          <w:szCs w:val="16"/>
          <w:lang w:eastAsia="ja-JP"/>
        </w:rPr>
        <w:t>o</w:t>
      </w:r>
    </w:p>
    <w:p w14:paraId="5DB58582" w14:textId="77777777" w:rsidR="005D5800" w:rsidRDefault="005D5800" w:rsidP="000061B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MT" w:hAnsi="TimesNewRomanPSMT" w:cs="TimesNewRomanPSMT"/>
          <w:lang w:eastAsia="ja-JP"/>
        </w:rPr>
      </w:pPr>
      <w:r>
        <w:rPr>
          <w:rFonts w:ascii="TimesNewRomanPSMT" w:hAnsi="TimesNewRomanPSMT" w:cs="TimesNewRomanPSMT"/>
          <w:lang w:eastAsia="ja-JP"/>
        </w:rPr>
        <w:t xml:space="preserve">234-A, p. 28, par. 76), elle considère que Mme </w:t>
      </w:r>
      <w:proofErr w:type="spellStart"/>
      <w:r>
        <w:rPr>
          <w:rFonts w:ascii="TimesNewRomanPSMT" w:hAnsi="TimesNewRomanPSMT" w:cs="TimesNewRomanPSMT"/>
          <w:lang w:eastAsia="ja-JP"/>
        </w:rPr>
        <w:t>Burghartz</w:t>
      </w:r>
      <w:proofErr w:type="spellEnd"/>
      <w:r>
        <w:rPr>
          <w:rFonts w:ascii="TimesNewRomanPSMT" w:hAnsi="TimesNewRomanPSMT" w:cs="TimesNewRomanPSMT"/>
          <w:lang w:eastAsia="ja-JP"/>
        </w:rPr>
        <w:t xml:space="preserve"> peut se prétendre</w:t>
      </w:r>
    </w:p>
    <w:p w14:paraId="75073E8D" w14:textId="17CFADC9" w:rsidR="00877742" w:rsidRDefault="005D5800" w:rsidP="000061B5">
      <w:pPr>
        <w:pStyle w:val="Retraitcorpsdetexte2"/>
        <w:pBdr>
          <w:top w:val="single" w:sz="4" w:space="1" w:color="auto"/>
          <w:left w:val="single" w:sz="4" w:space="4" w:color="auto"/>
          <w:bottom w:val="single" w:sz="4" w:space="1" w:color="auto"/>
          <w:right w:val="single" w:sz="4" w:space="4" w:color="auto"/>
        </w:pBdr>
        <w:ind w:firstLine="0"/>
        <w:jc w:val="both"/>
        <w:rPr>
          <w:rFonts w:ascii="TimesNewRomanPSMT" w:hAnsi="TimesNewRomanPSMT" w:cs="TimesNewRomanPSMT"/>
          <w:lang w:eastAsia="ja-JP"/>
        </w:rPr>
      </w:pPr>
      <w:proofErr w:type="gramStart"/>
      <w:r>
        <w:rPr>
          <w:rFonts w:ascii="TimesNewRomanPSMT" w:hAnsi="TimesNewRomanPSMT" w:cs="TimesNewRomanPSMT"/>
          <w:lang w:eastAsia="ja-JP"/>
        </w:rPr>
        <w:t>victime</w:t>
      </w:r>
      <w:proofErr w:type="gramEnd"/>
      <w:r>
        <w:rPr>
          <w:rFonts w:ascii="TimesNewRomanPSMT" w:hAnsi="TimesNewRomanPSMT" w:cs="TimesNewRomanPSMT"/>
          <w:lang w:eastAsia="ja-JP"/>
        </w:rPr>
        <w:t>, au moins par contrecoup, des décisions incriminées.</w:t>
      </w:r>
    </w:p>
    <w:p w14:paraId="5175E8E4" w14:textId="77777777" w:rsidR="00D36F7B" w:rsidRDefault="00D36F7B" w:rsidP="000061B5">
      <w:pPr>
        <w:pStyle w:val="Retraitcorpsdetexte2"/>
        <w:jc w:val="both"/>
        <w:rPr>
          <w:szCs w:val="24"/>
        </w:rPr>
      </w:pPr>
    </w:p>
    <w:p w14:paraId="5D480355" w14:textId="5267475F" w:rsidR="004218F3" w:rsidRPr="004218F3" w:rsidRDefault="00A0106F" w:rsidP="000061B5">
      <w:pPr>
        <w:pStyle w:val="Retraitcorpsdetexte2"/>
        <w:pBdr>
          <w:top w:val="single" w:sz="4" w:space="1" w:color="auto"/>
          <w:left w:val="single" w:sz="4" w:space="4" w:color="auto"/>
          <w:bottom w:val="single" w:sz="4" w:space="1" w:color="auto"/>
          <w:right w:val="single" w:sz="4" w:space="4" w:color="auto"/>
        </w:pBdr>
        <w:spacing w:line="240" w:lineRule="auto"/>
        <w:jc w:val="both"/>
        <w:rPr>
          <w:szCs w:val="24"/>
        </w:rPr>
      </w:pPr>
      <w:r w:rsidRPr="00A0106F">
        <w:rPr>
          <w:b/>
          <w:bCs/>
          <w:szCs w:val="24"/>
        </w:rPr>
        <w:t>Dudgeon c/ Royaume Uni du 22 octobre 2001</w:t>
      </w:r>
      <w:r>
        <w:rPr>
          <w:szCs w:val="24"/>
        </w:rPr>
        <w:t xml:space="preserve"> </w:t>
      </w:r>
      <w:r w:rsidR="004218F3" w:rsidRPr="004218F3">
        <w:rPr>
          <w:szCs w:val="24"/>
        </w:rPr>
        <w:t>La Commission n’aperçoit pas de raison de douter, dans l’ensemble, de la véracité des allégations de l’intéressé quant à la peur et à l’angoisse que lui aurait inspirées l’existence des lois en cause. Elle arrive à la conclusion unanime que "la législation incriminée porte atteinte au droit du requérant au respect de sa vie privée, garanti par l’article 8 par. 1 (art. 8-1), pour autant qu’elle interdit les actes homosexuels commis en privé par des hommes consentants" (paragraphes 94 et 97 du rapport).</w:t>
      </w:r>
    </w:p>
    <w:p w14:paraId="63C9E567" w14:textId="77777777" w:rsidR="004218F3" w:rsidRPr="003E3CCB" w:rsidRDefault="004218F3" w:rsidP="000061B5">
      <w:pPr>
        <w:pStyle w:val="Retraitcorpsdetexte2"/>
        <w:pBdr>
          <w:top w:val="single" w:sz="4" w:space="1" w:color="auto"/>
          <w:left w:val="single" w:sz="4" w:space="4" w:color="auto"/>
          <w:bottom w:val="single" w:sz="4" w:space="1" w:color="auto"/>
          <w:right w:val="single" w:sz="4" w:space="4" w:color="auto"/>
        </w:pBdr>
        <w:spacing w:line="240" w:lineRule="auto"/>
        <w:jc w:val="both"/>
        <w:rPr>
          <w:szCs w:val="24"/>
        </w:rPr>
      </w:pPr>
      <w:r w:rsidRPr="003E3CCB">
        <w:rPr>
          <w:szCs w:val="24"/>
        </w:rPr>
        <w:t>Sans aller jusqu’à le reconnaître, le Gouvernement ne nie pas que lesdites lois touchent directement M. Dudgeon qui a qualité pour s’en prétendre "victime" en vertu de l’article 25 (art. 25) de la Convention. Il ne conteste pas davantage la conclusion précitée de la Commission.</w:t>
      </w:r>
    </w:p>
    <w:p w14:paraId="6CE543D3" w14:textId="360B3D99" w:rsidR="004218F3" w:rsidRPr="003E3CCB" w:rsidRDefault="004218F3" w:rsidP="000061B5">
      <w:pPr>
        <w:pStyle w:val="Retraitcorpsdetexte2"/>
        <w:pBdr>
          <w:top w:val="single" w:sz="4" w:space="1" w:color="auto"/>
          <w:left w:val="single" w:sz="4" w:space="4" w:color="auto"/>
          <w:bottom w:val="single" w:sz="4" w:space="1" w:color="auto"/>
          <w:right w:val="single" w:sz="4" w:space="4" w:color="auto"/>
        </w:pBdr>
        <w:spacing w:line="240" w:lineRule="auto"/>
        <w:jc w:val="both"/>
        <w:rPr>
          <w:szCs w:val="24"/>
        </w:rPr>
      </w:pPr>
      <w:r w:rsidRPr="003E3CCB">
        <w:rPr>
          <w:szCs w:val="24"/>
        </w:rPr>
        <w:t xml:space="preserve">Par son maintien en vigueur, la législation attaquée </w:t>
      </w:r>
      <w:r w:rsidR="004D562B">
        <w:rPr>
          <w:szCs w:val="24"/>
        </w:rPr>
        <w:t>[qui</w:t>
      </w:r>
      <w:r w:rsidR="004D562B" w:rsidRPr="004218F3">
        <w:rPr>
          <w:szCs w:val="24"/>
        </w:rPr>
        <w:t xml:space="preserve"> interdit les actes homosexuels commis en privé par des hommes consentants</w:t>
      </w:r>
      <w:r w:rsidR="004D562B">
        <w:rPr>
          <w:szCs w:val="24"/>
        </w:rPr>
        <w:t xml:space="preserve">] </w:t>
      </w:r>
      <w:r w:rsidRPr="003E3CCB">
        <w:rPr>
          <w:szCs w:val="24"/>
        </w:rPr>
        <w:t xml:space="preserve">représente une ingérence permanente dans l’exercice du droit du requérant au respect de sa vie privée (laquelle comprend sa vie sexuelle) au sens de l’article 8 par. 1 (art. 8-1). Dans la situation personnelle de l’intéressé, elle se répercute de manière constante et directe, par sa seule existence, sur la vie privée de celui-ci (voir, mutatis mutandis, l’arrêt </w:t>
      </w:r>
      <w:proofErr w:type="spellStart"/>
      <w:r w:rsidRPr="003E3CCB">
        <w:rPr>
          <w:szCs w:val="24"/>
        </w:rPr>
        <w:t>Marckx</w:t>
      </w:r>
      <w:proofErr w:type="spellEnd"/>
      <w:r w:rsidRPr="003E3CCB">
        <w:rPr>
          <w:szCs w:val="24"/>
        </w:rPr>
        <w:t xml:space="preserve"> du 13 juin 1979, série A no 31, p. 13, par. </w:t>
      </w:r>
      <w:proofErr w:type="gramStart"/>
      <w:r w:rsidRPr="003E3CCB">
        <w:rPr>
          <w:szCs w:val="24"/>
        </w:rPr>
        <w:t>27):</w:t>
      </w:r>
      <w:proofErr w:type="gramEnd"/>
      <w:r w:rsidRPr="003E3CCB">
        <w:rPr>
          <w:szCs w:val="24"/>
        </w:rPr>
        <w:t xml:space="preserve"> ou il la respecte et s’abstient de se livrer - même en privé et avec des hommes consentants - à des actes sexuels prohibés auxquels l’inclinent ses tendances homosexuelles, ou il en accomplit et s’expose à des poursuites pénales.</w:t>
      </w:r>
    </w:p>
    <w:p w14:paraId="54E5F734" w14:textId="77777777" w:rsidR="004218F3" w:rsidRPr="00D9122A" w:rsidRDefault="004218F3" w:rsidP="000061B5">
      <w:pPr>
        <w:pStyle w:val="Retraitcorpsdetexte2"/>
        <w:pBdr>
          <w:top w:val="single" w:sz="4" w:space="1" w:color="auto"/>
          <w:left w:val="single" w:sz="4" w:space="4" w:color="auto"/>
          <w:bottom w:val="single" w:sz="4" w:space="1" w:color="auto"/>
          <w:right w:val="single" w:sz="4" w:space="4" w:color="auto"/>
        </w:pBdr>
        <w:spacing w:line="240" w:lineRule="auto"/>
        <w:jc w:val="both"/>
        <w:rPr>
          <w:szCs w:val="24"/>
        </w:rPr>
      </w:pPr>
      <w:r w:rsidRPr="00D9122A">
        <w:rPr>
          <w:szCs w:val="24"/>
        </w:rPr>
        <w:t xml:space="preserve">On ne saurait prétendre que la législation en cause demeure lettre morte en la matière. Elle a reçu et reçoit encore application pour des actes homosexuels consommés d’un commun accord et en privé quand ils impliquent des jeunes hommes de moins de 21 ans (paragraphe 30 ci-dessus). Quant à ceux qui concernent uniquement des hommes plus âgés (les malades mentaux exceptés), les autorités n’ont point pour politique déclarée de ne pas se prévaloir de la loi, bien qu’elles ne semblent pas avoir engagé de poursuites ces dernières années (ibidem). D’ailleurs, outre le </w:t>
      </w:r>
      <w:proofErr w:type="spellStart"/>
      <w:r w:rsidRPr="00D9122A">
        <w:rPr>
          <w:szCs w:val="24"/>
        </w:rPr>
        <w:t>Director</w:t>
      </w:r>
      <w:proofErr w:type="spellEnd"/>
      <w:r w:rsidRPr="00D9122A">
        <w:rPr>
          <w:szCs w:val="24"/>
        </w:rPr>
        <w:t xml:space="preserve"> of Public </w:t>
      </w:r>
      <w:proofErr w:type="spellStart"/>
      <w:r w:rsidRPr="00D9122A">
        <w:rPr>
          <w:szCs w:val="24"/>
        </w:rPr>
        <w:t>Prosecutions</w:t>
      </w:r>
      <w:proofErr w:type="spellEnd"/>
      <w:r w:rsidRPr="00D9122A">
        <w:rPr>
          <w:szCs w:val="24"/>
        </w:rPr>
        <w:t xml:space="preserve"> un simple particulier peut toujours en intenter (paragraphe 29 ci-dessus).</w:t>
      </w:r>
    </w:p>
    <w:p w14:paraId="58FA2050" w14:textId="6846E135" w:rsidR="008B23A6" w:rsidRDefault="004218F3" w:rsidP="004D562B">
      <w:pPr>
        <w:pStyle w:val="Retraitcorpsdetexte2"/>
        <w:pBdr>
          <w:top w:val="single" w:sz="4" w:space="1" w:color="auto"/>
          <w:left w:val="single" w:sz="4" w:space="4" w:color="auto"/>
          <w:bottom w:val="single" w:sz="4" w:space="1" w:color="auto"/>
          <w:right w:val="single" w:sz="4" w:space="4" w:color="auto"/>
        </w:pBdr>
        <w:spacing w:line="240" w:lineRule="auto"/>
        <w:ind w:firstLine="0"/>
        <w:jc w:val="both"/>
        <w:rPr>
          <w:szCs w:val="24"/>
        </w:rPr>
      </w:pPr>
      <w:r w:rsidRPr="00D9122A">
        <w:rPr>
          <w:szCs w:val="24"/>
        </w:rPr>
        <w:t>De son côté, l’enquête de police de janvier 1976, si elle n’a pas débouché sur des poursuites, constituait par rapport à la législation litigieuse une mesure précise d’exécution qui a directement atteint M. Dudgeon dans la jouissance de son droit au respect de sa vie privée (paragraphe 33 ci-dessus). A ce titre, elle a montré la réalité de la menace pesant sur lui.</w:t>
      </w:r>
    </w:p>
    <w:p w14:paraId="52A468F2" w14:textId="77777777" w:rsidR="000105DC" w:rsidRPr="00FE4453" w:rsidRDefault="000105DC" w:rsidP="000061B5">
      <w:pPr>
        <w:pStyle w:val="JuPara"/>
        <w:numPr>
          <w:ilvl w:val="0"/>
          <w:numId w:val="10"/>
        </w:numPr>
        <w:rPr>
          <w:szCs w:val="24"/>
        </w:rPr>
      </w:pPr>
    </w:p>
    <w:p w14:paraId="25DC797F" w14:textId="5C0BF057" w:rsidR="00824994" w:rsidRDefault="000105DC" w:rsidP="000061B5">
      <w:pPr>
        <w:pStyle w:val="Retraitcorpsdetexte2"/>
        <w:jc w:val="both"/>
        <w:rPr>
          <w:szCs w:val="24"/>
        </w:rPr>
      </w:pPr>
      <w:r w:rsidRPr="00FE4453">
        <w:rPr>
          <w:szCs w:val="24"/>
        </w:rPr>
        <w:t xml:space="preserve">Les requérants individuels peuvent agir par eux-mêmes, mais une </w:t>
      </w:r>
      <w:r w:rsidR="0031577D">
        <w:rPr>
          <w:szCs w:val="24"/>
        </w:rPr>
        <w:t>assistance</w:t>
      </w:r>
      <w:r w:rsidRPr="00FE4453">
        <w:rPr>
          <w:szCs w:val="24"/>
        </w:rPr>
        <w:t xml:space="preserve"> par un avocat est recommandée, et même requise dans la plupart des cas une fois la requête communiquée au gouvernement défendeur. Le Conseil de l’Europe a mis en place un système d’assistance judiciaire pour les requérants ayant des ressources insuffisantes</w:t>
      </w:r>
      <w:r w:rsidR="007006C8">
        <w:rPr>
          <w:szCs w:val="24"/>
        </w:rPr>
        <w:t>.</w:t>
      </w:r>
    </w:p>
    <w:p w14:paraId="0D94A6BE" w14:textId="77777777" w:rsidR="007006C8" w:rsidRPr="00FE4453" w:rsidRDefault="007006C8" w:rsidP="000061B5">
      <w:pPr>
        <w:pStyle w:val="Retraitcorpsdetexte2"/>
        <w:jc w:val="both"/>
        <w:rPr>
          <w:szCs w:val="24"/>
        </w:rPr>
      </w:pPr>
    </w:p>
    <w:p w14:paraId="64D19ED5" w14:textId="5A81ED96" w:rsidR="007006C8" w:rsidRPr="0026140C" w:rsidRDefault="007006C8" w:rsidP="000061B5">
      <w:pPr>
        <w:pStyle w:val="Retraitcorpsdetexte2"/>
        <w:jc w:val="both"/>
        <w:rPr>
          <w:b/>
          <w:bCs/>
          <w:szCs w:val="24"/>
        </w:rPr>
      </w:pPr>
      <w:bookmarkStart w:id="7" w:name="_Hlk50365726"/>
      <w:r w:rsidRPr="0026140C">
        <w:rPr>
          <w:b/>
          <w:bCs/>
          <w:szCs w:val="24"/>
        </w:rPr>
        <w:t xml:space="preserve">3° La représentation </w:t>
      </w:r>
      <w:r w:rsidR="00167D7F">
        <w:rPr>
          <w:b/>
          <w:bCs/>
          <w:szCs w:val="24"/>
        </w:rPr>
        <w:t>des</w:t>
      </w:r>
      <w:r w:rsidR="004344EF">
        <w:rPr>
          <w:b/>
          <w:bCs/>
          <w:szCs w:val="24"/>
        </w:rPr>
        <w:t xml:space="preserve"> personne</w:t>
      </w:r>
      <w:r w:rsidR="00167D7F">
        <w:rPr>
          <w:b/>
          <w:bCs/>
          <w:szCs w:val="24"/>
        </w:rPr>
        <w:t>s</w:t>
      </w:r>
      <w:r w:rsidR="004344EF">
        <w:rPr>
          <w:b/>
          <w:bCs/>
          <w:szCs w:val="24"/>
        </w:rPr>
        <w:t xml:space="preserve"> vulnérable</w:t>
      </w:r>
      <w:r w:rsidR="00167D7F">
        <w:rPr>
          <w:b/>
          <w:bCs/>
          <w:szCs w:val="24"/>
        </w:rPr>
        <w:t>s (développé en cours)</w:t>
      </w:r>
    </w:p>
    <w:bookmarkEnd w:id="7"/>
    <w:p w14:paraId="608B8A84" w14:textId="7D23DEEC" w:rsidR="005F6121" w:rsidRDefault="007006C8" w:rsidP="000061B5">
      <w:pPr>
        <w:pStyle w:val="Retraitcorpsdetexte2"/>
        <w:jc w:val="both"/>
        <w:rPr>
          <w:szCs w:val="24"/>
        </w:rPr>
      </w:pPr>
      <w:r w:rsidRPr="0026140C">
        <w:rPr>
          <w:szCs w:val="24"/>
        </w:rPr>
        <w:t xml:space="preserve">L’instance devant la cour européenne doit être introduite par une requête écrite signée par le requérant ou son représentant. </w:t>
      </w:r>
      <w:r w:rsidR="00987800">
        <w:rPr>
          <w:szCs w:val="24"/>
        </w:rPr>
        <w:t xml:space="preserve">La représentation est admise devant la Cour pour les enfants et pour </w:t>
      </w:r>
      <w:r w:rsidR="004344EF">
        <w:rPr>
          <w:szCs w:val="24"/>
        </w:rPr>
        <w:t>d’autres</w:t>
      </w:r>
      <w:r w:rsidR="00987800">
        <w:rPr>
          <w:szCs w:val="24"/>
        </w:rPr>
        <w:t xml:space="preserve"> personnes vulnérables dans certaines circonstances exceptionnelles</w:t>
      </w:r>
      <w:r w:rsidR="00167D7F">
        <w:rPr>
          <w:szCs w:val="24"/>
        </w:rPr>
        <w:t xml:space="preserve"> dans le cadre de la représentation </w:t>
      </w:r>
      <w:r w:rsidR="00167D7F" w:rsidRPr="00167D7F">
        <w:rPr>
          <w:i/>
          <w:iCs/>
          <w:szCs w:val="24"/>
        </w:rPr>
        <w:t>de facto</w:t>
      </w:r>
      <w:r w:rsidR="00167D7F">
        <w:rPr>
          <w:i/>
          <w:iCs/>
          <w:szCs w:val="24"/>
        </w:rPr>
        <w:t>.</w:t>
      </w:r>
    </w:p>
    <w:p w14:paraId="41D56B4C" w14:textId="5206CA4F" w:rsidR="00144A75" w:rsidRPr="009E321B" w:rsidRDefault="00167D7F" w:rsidP="009E321B">
      <w:pPr>
        <w:pStyle w:val="Retraitcorpsdetexte2"/>
        <w:numPr>
          <w:ilvl w:val="0"/>
          <w:numId w:val="1"/>
        </w:numPr>
        <w:jc w:val="both"/>
        <w:rPr>
          <w:szCs w:val="24"/>
        </w:rPr>
      </w:pPr>
      <w:r>
        <w:rPr>
          <w:szCs w:val="24"/>
        </w:rPr>
        <w:t>La représentation des mineurs</w:t>
      </w:r>
    </w:p>
    <w:p w14:paraId="67270840" w14:textId="22CAD6DA" w:rsidR="007F26BB" w:rsidRPr="004516A6" w:rsidRDefault="007F26BB" w:rsidP="000061B5">
      <w:pPr>
        <w:pStyle w:val="Retraitcorpsdetexte2"/>
        <w:numPr>
          <w:ilvl w:val="0"/>
          <w:numId w:val="1"/>
        </w:numPr>
        <w:jc w:val="both"/>
        <w:rPr>
          <w:szCs w:val="24"/>
        </w:rPr>
      </w:pPr>
      <w:r>
        <w:rPr>
          <w:szCs w:val="24"/>
        </w:rPr>
        <w:t xml:space="preserve">La représentation </w:t>
      </w:r>
      <w:r w:rsidRPr="000C6A18">
        <w:rPr>
          <w:i/>
          <w:iCs/>
          <w:szCs w:val="24"/>
        </w:rPr>
        <w:t>de facto</w:t>
      </w:r>
      <w:r w:rsidR="004516A6">
        <w:rPr>
          <w:i/>
          <w:iCs/>
          <w:szCs w:val="24"/>
        </w:rPr>
        <w:t xml:space="preserve"> </w:t>
      </w:r>
    </w:p>
    <w:p w14:paraId="44C96F37" w14:textId="77777777" w:rsidR="005B5FF9" w:rsidRPr="0026140C" w:rsidRDefault="005B5FF9" w:rsidP="000061B5">
      <w:pPr>
        <w:pStyle w:val="Retraitcorpsdetexte2"/>
        <w:ind w:left="284" w:firstLine="0"/>
        <w:jc w:val="both"/>
        <w:rPr>
          <w:szCs w:val="24"/>
        </w:rPr>
      </w:pPr>
    </w:p>
    <w:p w14:paraId="58F6D02F" w14:textId="77777777" w:rsidR="000C6A18" w:rsidRPr="00FE0D94" w:rsidRDefault="000C6A18" w:rsidP="000061B5">
      <w:pPr>
        <w:pBdr>
          <w:top w:val="single" w:sz="4" w:space="1" w:color="auto"/>
          <w:left w:val="single" w:sz="4" w:space="4" w:color="auto"/>
          <w:bottom w:val="single" w:sz="4" w:space="1" w:color="auto"/>
          <w:right w:val="single" w:sz="4" w:space="4" w:color="auto"/>
        </w:pBdr>
        <w:jc w:val="both"/>
        <w:rPr>
          <w:b/>
          <w:bCs/>
        </w:rPr>
      </w:pPr>
      <w:r w:rsidRPr="00FE0D94">
        <w:rPr>
          <w:b/>
          <w:bCs/>
        </w:rPr>
        <w:t xml:space="preserve">Association Innocence en Danger et Association Enfance et Partage c/France 4 juin 2020, n°15343/15 et 16806/15, </w:t>
      </w:r>
    </w:p>
    <w:p w14:paraId="0F9D75BE" w14:textId="77777777" w:rsidR="000C6A18" w:rsidRPr="00FE0D94" w:rsidRDefault="000C6A18" w:rsidP="000061B5">
      <w:pPr>
        <w:pStyle w:val="JuPara"/>
        <w:pBdr>
          <w:top w:val="single" w:sz="4" w:space="1" w:color="auto"/>
          <w:left w:val="single" w:sz="4" w:space="4" w:color="auto"/>
          <w:bottom w:val="single" w:sz="4" w:space="1" w:color="auto"/>
          <w:right w:val="single" w:sz="4" w:space="4" w:color="auto"/>
        </w:pBdr>
        <w:ind w:firstLine="0"/>
        <w:rPr>
          <w:szCs w:val="24"/>
        </w:rPr>
      </w:pPr>
      <w:r w:rsidRPr="00FE0D94">
        <w:rPr>
          <w:szCs w:val="24"/>
        </w:rPr>
        <w:fldChar w:fldCharType="begin"/>
      </w:r>
      <w:r w:rsidRPr="00FE0D94">
        <w:rPr>
          <w:szCs w:val="24"/>
        </w:rPr>
        <w:instrText xml:space="preserve"> SEQ level0 \*arabic </w:instrText>
      </w:r>
      <w:r w:rsidRPr="00FE0D94">
        <w:rPr>
          <w:szCs w:val="24"/>
        </w:rPr>
        <w:fldChar w:fldCharType="separate"/>
      </w:r>
      <w:r w:rsidRPr="00FE0D94">
        <w:rPr>
          <w:noProof/>
          <w:szCs w:val="24"/>
        </w:rPr>
        <w:t>1</w:t>
      </w:r>
      <w:r w:rsidRPr="00FE0D94">
        <w:rPr>
          <w:noProof/>
          <w:szCs w:val="24"/>
        </w:rPr>
        <w:fldChar w:fldCharType="end"/>
      </w:r>
      <w:r w:rsidRPr="00FE0D94">
        <w:rPr>
          <w:szCs w:val="24"/>
        </w:rPr>
        <w:t>.  La question qui se pose dès lors est celle de savoir si l’on peut considérer que des « circonstances exceptionnelles » justifient que la Cour admette la qualité pour agir des associations requérantes en tant que représentantes de l’enfant même en l’absence de procuration et alors même que celle-ci est décédée avant l’introduction des requêtes (</w:t>
      </w:r>
      <w:r w:rsidRPr="00FE0D94">
        <w:rPr>
          <w:i/>
          <w:szCs w:val="24"/>
        </w:rPr>
        <w:t>ibidem</w:t>
      </w:r>
      <w:r w:rsidRPr="00FE0D94">
        <w:rPr>
          <w:szCs w:val="24"/>
        </w:rPr>
        <w:t xml:space="preserve">, § 51 et les références y citées, et </w:t>
      </w:r>
      <w:proofErr w:type="spellStart"/>
      <w:r w:rsidRPr="00FE0D94">
        <w:rPr>
          <w:i/>
          <w:szCs w:val="24"/>
        </w:rPr>
        <w:t>Kondrulin</w:t>
      </w:r>
      <w:proofErr w:type="spellEnd"/>
      <w:r w:rsidRPr="00FE0D94">
        <w:rPr>
          <w:i/>
          <w:szCs w:val="24"/>
        </w:rPr>
        <w:t xml:space="preserve"> c. Russie</w:t>
      </w:r>
      <w:r w:rsidRPr="00FE0D94">
        <w:rPr>
          <w:szCs w:val="24"/>
        </w:rPr>
        <w:t>, n</w:t>
      </w:r>
      <w:r w:rsidRPr="00FE0D94">
        <w:rPr>
          <w:szCs w:val="24"/>
          <w:vertAlign w:val="superscript"/>
        </w:rPr>
        <w:t>o</w:t>
      </w:r>
      <w:r w:rsidRPr="00FE0D94">
        <w:rPr>
          <w:szCs w:val="24"/>
        </w:rPr>
        <w:t> 12987/15</w:t>
      </w:r>
      <w:r w:rsidRPr="00FE0D94">
        <w:rPr>
          <w:snapToGrid w:val="0"/>
          <w:szCs w:val="24"/>
        </w:rPr>
        <w:t>, § 31, 20 septembre 2016).</w:t>
      </w:r>
    </w:p>
    <w:p w14:paraId="26BAA542" w14:textId="77777777" w:rsidR="000C6A18" w:rsidRPr="00FE0D94" w:rsidRDefault="000C6A18" w:rsidP="000061B5">
      <w:pPr>
        <w:pStyle w:val="JuPara"/>
        <w:pBdr>
          <w:top w:val="single" w:sz="4" w:space="1" w:color="auto"/>
          <w:left w:val="single" w:sz="4" w:space="4" w:color="auto"/>
          <w:bottom w:val="single" w:sz="4" w:space="1" w:color="auto"/>
          <w:right w:val="single" w:sz="4" w:space="4" w:color="auto"/>
        </w:pBdr>
        <w:rPr>
          <w:szCs w:val="24"/>
        </w:rPr>
      </w:pPr>
      <w:r w:rsidRPr="00FE0D94">
        <w:rPr>
          <w:szCs w:val="24"/>
        </w:rPr>
        <w:fldChar w:fldCharType="begin"/>
      </w:r>
      <w:r w:rsidRPr="00FE0D94">
        <w:rPr>
          <w:szCs w:val="24"/>
        </w:rPr>
        <w:instrText xml:space="preserve"> SEQ level0 \*arabic </w:instrText>
      </w:r>
      <w:r w:rsidRPr="00FE0D94">
        <w:rPr>
          <w:szCs w:val="24"/>
        </w:rPr>
        <w:fldChar w:fldCharType="separate"/>
      </w:r>
      <w:r w:rsidRPr="00FE0D94">
        <w:rPr>
          <w:noProof/>
          <w:szCs w:val="24"/>
        </w:rPr>
        <w:t>2</w:t>
      </w:r>
      <w:r w:rsidRPr="00FE0D94">
        <w:rPr>
          <w:noProof/>
          <w:szCs w:val="24"/>
        </w:rPr>
        <w:fldChar w:fldCharType="end"/>
      </w:r>
      <w:r w:rsidRPr="00FE0D94">
        <w:rPr>
          <w:szCs w:val="24"/>
        </w:rPr>
        <w:t xml:space="preserve">.  Eu égard à tout ce qui précède, la Cour estime qu’il existe des « circonstances exceptionnelles » permettant de reconnaître aux deux associations requérantes, dont l’objet est précisément la protection de l’enfance et qui ont activement participé à la procédure nationale avec un véritable statut procédural en vertu du droit interne, la qualité de représentantes </w:t>
      </w:r>
      <w:r w:rsidRPr="00FE0D94">
        <w:rPr>
          <w:i/>
          <w:szCs w:val="24"/>
        </w:rPr>
        <w:t>de facto</w:t>
      </w:r>
      <w:r w:rsidRPr="00FE0D94">
        <w:rPr>
          <w:szCs w:val="24"/>
        </w:rPr>
        <w:t xml:space="preserve"> de M. (</w:t>
      </w:r>
      <w:r w:rsidRPr="00FE0D94">
        <w:rPr>
          <w:i/>
          <w:szCs w:val="24"/>
        </w:rPr>
        <w:t xml:space="preserve">Centre de ressources juridiques au nom de Valentin </w:t>
      </w:r>
      <w:proofErr w:type="spellStart"/>
      <w:r w:rsidRPr="00FE0D94">
        <w:rPr>
          <w:i/>
          <w:szCs w:val="24"/>
        </w:rPr>
        <w:t>Câmpeanu</w:t>
      </w:r>
      <w:proofErr w:type="spellEnd"/>
      <w:r w:rsidRPr="00FE0D94">
        <w:rPr>
          <w:szCs w:val="24"/>
        </w:rPr>
        <w:t>, précité, §§ 112 et 114).</w:t>
      </w:r>
    </w:p>
    <w:p w14:paraId="6162A765" w14:textId="77777777" w:rsidR="000C6A18" w:rsidRPr="00FE0D94" w:rsidRDefault="000C6A18" w:rsidP="000061B5">
      <w:pPr>
        <w:pStyle w:val="JuPara"/>
        <w:pBdr>
          <w:top w:val="single" w:sz="4" w:space="1" w:color="auto"/>
          <w:left w:val="single" w:sz="4" w:space="4" w:color="auto"/>
          <w:bottom w:val="single" w:sz="4" w:space="1" w:color="auto"/>
          <w:right w:val="single" w:sz="4" w:space="4" w:color="auto"/>
        </w:pBdr>
        <w:rPr>
          <w:szCs w:val="24"/>
        </w:rPr>
      </w:pPr>
      <w:r w:rsidRPr="00FE0D94">
        <w:rPr>
          <w:szCs w:val="24"/>
        </w:rPr>
        <w:t>(…)</w:t>
      </w:r>
    </w:p>
    <w:p w14:paraId="20BCC667" w14:textId="44B08B6D" w:rsidR="000C6A18" w:rsidRPr="00FE0D94" w:rsidRDefault="000C6A18" w:rsidP="009E321B">
      <w:pPr>
        <w:pStyle w:val="JuPara"/>
        <w:pBdr>
          <w:top w:val="single" w:sz="4" w:space="1" w:color="auto"/>
          <w:left w:val="single" w:sz="4" w:space="4" w:color="auto"/>
          <w:bottom w:val="single" w:sz="4" w:space="1" w:color="auto"/>
          <w:right w:val="single" w:sz="4" w:space="4" w:color="auto"/>
        </w:pBdr>
        <w:ind w:firstLine="0"/>
        <w:rPr>
          <w:szCs w:val="24"/>
        </w:rPr>
      </w:pPr>
    </w:p>
    <w:p w14:paraId="051428CD" w14:textId="77777777" w:rsidR="000C6A18" w:rsidRPr="00FE0D94" w:rsidRDefault="000C6A18" w:rsidP="009E321B">
      <w:pPr>
        <w:pStyle w:val="JuPara"/>
        <w:pBdr>
          <w:top w:val="single" w:sz="4" w:space="1" w:color="auto"/>
          <w:left w:val="single" w:sz="4" w:space="4" w:color="auto"/>
          <w:bottom w:val="single" w:sz="4" w:space="1" w:color="auto"/>
          <w:right w:val="single" w:sz="4" w:space="4" w:color="auto"/>
        </w:pBdr>
        <w:ind w:firstLine="0"/>
        <w:rPr>
          <w:szCs w:val="24"/>
        </w:rPr>
      </w:pPr>
      <w:r w:rsidRPr="00FE0D94">
        <w:rPr>
          <w:szCs w:val="24"/>
        </w:rPr>
        <w:fldChar w:fldCharType="begin"/>
      </w:r>
      <w:r w:rsidRPr="00FE0D94">
        <w:rPr>
          <w:szCs w:val="24"/>
        </w:rPr>
        <w:instrText xml:space="preserve"> SEQ level0 \*arabic </w:instrText>
      </w:r>
      <w:r w:rsidRPr="00FE0D94">
        <w:rPr>
          <w:szCs w:val="24"/>
        </w:rPr>
        <w:fldChar w:fldCharType="separate"/>
      </w:r>
      <w:r w:rsidRPr="00FE0D94">
        <w:rPr>
          <w:noProof/>
          <w:szCs w:val="24"/>
        </w:rPr>
        <w:t>4</w:t>
      </w:r>
      <w:r w:rsidRPr="00FE0D94">
        <w:rPr>
          <w:noProof/>
          <w:szCs w:val="24"/>
        </w:rPr>
        <w:fldChar w:fldCharType="end"/>
      </w:r>
      <w:r w:rsidRPr="00FE0D94">
        <w:rPr>
          <w:szCs w:val="24"/>
        </w:rPr>
        <w:t>.  La Cour estime que M. peut être considérée comme relevant de la catégorie des « personnes vulnérables » qui ont droit à la protection de l’État (</w:t>
      </w:r>
      <w:proofErr w:type="spellStart"/>
      <w:r w:rsidRPr="00FE0D94">
        <w:rPr>
          <w:i/>
          <w:szCs w:val="24"/>
        </w:rPr>
        <w:t>Talpis</w:t>
      </w:r>
      <w:proofErr w:type="spellEnd"/>
      <w:r w:rsidRPr="00FE0D94">
        <w:rPr>
          <w:szCs w:val="24"/>
        </w:rPr>
        <w:t>, précité, § 126) et que les mauvais traitements qu’elle a subis de la part de ses parents tombent sous l’empire de l’article 3 de la Convention.</w:t>
      </w:r>
    </w:p>
    <w:p w14:paraId="716DE99B" w14:textId="77777777" w:rsidR="000C6A18" w:rsidRPr="00FE0D94" w:rsidRDefault="000C6A18" w:rsidP="000061B5">
      <w:pPr>
        <w:pStyle w:val="JuPara"/>
        <w:pBdr>
          <w:top w:val="single" w:sz="4" w:space="1" w:color="auto"/>
          <w:left w:val="single" w:sz="4" w:space="4" w:color="auto"/>
          <w:bottom w:val="single" w:sz="4" w:space="1" w:color="auto"/>
          <w:right w:val="single" w:sz="4" w:space="4" w:color="auto"/>
        </w:pBdr>
        <w:rPr>
          <w:szCs w:val="24"/>
        </w:rPr>
      </w:pPr>
      <w:r w:rsidRPr="00FE0D94">
        <w:rPr>
          <w:szCs w:val="24"/>
        </w:rPr>
        <w:fldChar w:fldCharType="begin"/>
      </w:r>
      <w:r w:rsidRPr="00FE0D94">
        <w:rPr>
          <w:szCs w:val="24"/>
        </w:rPr>
        <w:instrText xml:space="preserve"> SEQ level0 \*arabic </w:instrText>
      </w:r>
      <w:r w:rsidRPr="00FE0D94">
        <w:rPr>
          <w:szCs w:val="24"/>
        </w:rPr>
        <w:fldChar w:fldCharType="separate"/>
      </w:r>
      <w:r w:rsidRPr="00FE0D94">
        <w:rPr>
          <w:noProof/>
          <w:szCs w:val="24"/>
        </w:rPr>
        <w:t>5</w:t>
      </w:r>
      <w:r w:rsidRPr="00FE0D94">
        <w:rPr>
          <w:noProof/>
          <w:szCs w:val="24"/>
        </w:rPr>
        <w:fldChar w:fldCharType="end"/>
      </w:r>
      <w:r w:rsidRPr="00FE0D94">
        <w:rPr>
          <w:szCs w:val="24"/>
        </w:rPr>
        <w:t>.  Au regard des constats opérés ci-dessus, la Cour conclut que le système a failli à protéger M. des graves abus qu’elle a subis de la part de ses parents et qui ont d’ailleurs abouti à son décès.</w:t>
      </w:r>
    </w:p>
    <w:p w14:paraId="20A7D4CC" w14:textId="77777777" w:rsidR="000C6A18" w:rsidRPr="00FE0D94" w:rsidRDefault="000C6A18" w:rsidP="000061B5">
      <w:pPr>
        <w:pStyle w:val="JuPara"/>
        <w:pBdr>
          <w:top w:val="single" w:sz="4" w:space="1" w:color="auto"/>
          <w:left w:val="single" w:sz="4" w:space="4" w:color="auto"/>
          <w:bottom w:val="single" w:sz="4" w:space="1" w:color="auto"/>
          <w:right w:val="single" w:sz="4" w:space="4" w:color="auto"/>
        </w:pBdr>
        <w:rPr>
          <w:szCs w:val="24"/>
        </w:rPr>
      </w:pPr>
      <w:r w:rsidRPr="00FE0D94">
        <w:rPr>
          <w:szCs w:val="24"/>
        </w:rPr>
        <w:fldChar w:fldCharType="begin"/>
      </w:r>
      <w:r w:rsidRPr="00FE0D94">
        <w:rPr>
          <w:szCs w:val="24"/>
        </w:rPr>
        <w:instrText xml:space="preserve"> SEQ level0 \*arabic </w:instrText>
      </w:r>
      <w:r w:rsidRPr="00FE0D94">
        <w:rPr>
          <w:szCs w:val="24"/>
        </w:rPr>
        <w:fldChar w:fldCharType="separate"/>
      </w:r>
      <w:r w:rsidRPr="00FE0D94">
        <w:rPr>
          <w:noProof/>
          <w:szCs w:val="24"/>
        </w:rPr>
        <w:t>6</w:t>
      </w:r>
      <w:r w:rsidRPr="00FE0D94">
        <w:rPr>
          <w:noProof/>
          <w:szCs w:val="24"/>
        </w:rPr>
        <w:fldChar w:fldCharType="end"/>
      </w:r>
      <w:r w:rsidRPr="00FE0D94">
        <w:rPr>
          <w:szCs w:val="24"/>
        </w:rPr>
        <w:t>.  Dès lors, il y a eu violation de l’article 3 de la Convention.</w:t>
      </w:r>
    </w:p>
    <w:p w14:paraId="619B68C1" w14:textId="77777777" w:rsidR="000C6A18" w:rsidRDefault="000C6A18" w:rsidP="000061B5">
      <w:pPr>
        <w:pStyle w:val="Retraitcorpsdetexte2"/>
        <w:spacing w:line="240" w:lineRule="auto"/>
        <w:ind w:firstLine="0"/>
        <w:jc w:val="both"/>
        <w:rPr>
          <w:szCs w:val="24"/>
        </w:rPr>
      </w:pPr>
    </w:p>
    <w:p w14:paraId="220E9B5E" w14:textId="77777777" w:rsidR="000C6A18" w:rsidRDefault="000C6A18" w:rsidP="000061B5">
      <w:pPr>
        <w:pStyle w:val="Retraitcorpsdetexte2"/>
        <w:spacing w:line="240" w:lineRule="auto"/>
        <w:ind w:firstLine="0"/>
        <w:jc w:val="both"/>
        <w:rPr>
          <w:szCs w:val="24"/>
        </w:rPr>
      </w:pPr>
    </w:p>
    <w:p w14:paraId="79B877B4" w14:textId="698C1F6C" w:rsidR="004516A6" w:rsidRDefault="004516A6" w:rsidP="000061B5">
      <w:pPr>
        <w:pStyle w:val="Retraitcorpsdetexte2"/>
        <w:spacing w:line="240" w:lineRule="auto"/>
        <w:ind w:firstLine="0"/>
        <w:jc w:val="both"/>
        <w:rPr>
          <w:szCs w:val="24"/>
        </w:rPr>
      </w:pPr>
    </w:p>
    <w:p w14:paraId="3F9E7390" w14:textId="3CC4226C" w:rsidR="009E321B" w:rsidRDefault="009E321B" w:rsidP="000061B5">
      <w:pPr>
        <w:pStyle w:val="Retraitcorpsdetexte2"/>
        <w:spacing w:line="240" w:lineRule="auto"/>
        <w:ind w:firstLine="0"/>
        <w:jc w:val="both"/>
        <w:rPr>
          <w:szCs w:val="24"/>
        </w:rPr>
      </w:pPr>
    </w:p>
    <w:p w14:paraId="4B694B2C" w14:textId="0B3E0A7A" w:rsidR="009E321B" w:rsidRDefault="009E321B" w:rsidP="000061B5">
      <w:pPr>
        <w:pStyle w:val="Retraitcorpsdetexte2"/>
        <w:spacing w:line="240" w:lineRule="auto"/>
        <w:ind w:firstLine="0"/>
        <w:jc w:val="both"/>
        <w:rPr>
          <w:szCs w:val="24"/>
        </w:rPr>
      </w:pPr>
    </w:p>
    <w:p w14:paraId="6624940E" w14:textId="2450BD98" w:rsidR="00DE592D" w:rsidRDefault="00DE592D" w:rsidP="000061B5">
      <w:pPr>
        <w:pStyle w:val="Retraitcorpsdetexte2"/>
        <w:spacing w:line="240" w:lineRule="auto"/>
        <w:ind w:firstLine="0"/>
        <w:jc w:val="both"/>
        <w:rPr>
          <w:szCs w:val="24"/>
        </w:rPr>
      </w:pPr>
    </w:p>
    <w:p w14:paraId="48864842" w14:textId="77777777" w:rsidR="00DE592D" w:rsidRDefault="00DE592D" w:rsidP="000061B5">
      <w:pPr>
        <w:pStyle w:val="Retraitcorpsdetexte2"/>
        <w:spacing w:line="240" w:lineRule="auto"/>
        <w:ind w:firstLine="0"/>
        <w:jc w:val="both"/>
        <w:rPr>
          <w:szCs w:val="24"/>
        </w:rPr>
      </w:pPr>
    </w:p>
    <w:p w14:paraId="716F470D" w14:textId="77777777" w:rsidR="004516A6" w:rsidRPr="00D9122A" w:rsidRDefault="004516A6" w:rsidP="000061B5">
      <w:pPr>
        <w:pStyle w:val="Retraitcorpsdetexte2"/>
        <w:spacing w:line="240" w:lineRule="auto"/>
        <w:ind w:firstLine="0"/>
        <w:jc w:val="both"/>
        <w:rPr>
          <w:szCs w:val="24"/>
        </w:rPr>
      </w:pPr>
    </w:p>
    <w:p w14:paraId="256B242A" w14:textId="77777777" w:rsidR="000C6A18" w:rsidRPr="00FE4453" w:rsidRDefault="000C6A18" w:rsidP="000061B5">
      <w:pPr>
        <w:pStyle w:val="Retraitcorpsdetexte2"/>
        <w:pBdr>
          <w:top w:val="single" w:sz="4" w:space="1" w:color="auto"/>
          <w:left w:val="single" w:sz="4" w:space="4" w:color="auto"/>
          <w:bottom w:val="single" w:sz="4" w:space="1" w:color="auto"/>
          <w:right w:val="single" w:sz="4" w:space="4" w:color="auto"/>
        </w:pBdr>
        <w:jc w:val="both"/>
        <w:rPr>
          <w:b/>
          <w:bCs/>
          <w:szCs w:val="24"/>
        </w:rPr>
      </w:pPr>
      <w:r w:rsidRPr="00FE4453">
        <w:rPr>
          <w:b/>
          <w:bCs/>
          <w:szCs w:val="24"/>
        </w:rPr>
        <w:lastRenderedPageBreak/>
        <w:t xml:space="preserve">H. et F. et autre </w:t>
      </w:r>
      <w:r>
        <w:rPr>
          <w:b/>
          <w:bCs/>
          <w:szCs w:val="24"/>
        </w:rPr>
        <w:t xml:space="preserve">c/ France </w:t>
      </w:r>
      <w:r w:rsidRPr="00FE4453">
        <w:rPr>
          <w:b/>
          <w:bCs/>
          <w:szCs w:val="24"/>
        </w:rPr>
        <w:t>14 septembre 2022</w:t>
      </w:r>
    </w:p>
    <w:p w14:paraId="1A572FE2" w14:textId="77777777" w:rsidR="000C6A18" w:rsidRPr="00FE4453" w:rsidRDefault="000C6A18" w:rsidP="000061B5">
      <w:pPr>
        <w:pStyle w:val="JuHIRoman"/>
        <w:numPr>
          <w:ilvl w:val="1"/>
          <w:numId w:val="17"/>
        </w:numPr>
        <w:pBdr>
          <w:top w:val="single" w:sz="4" w:space="1" w:color="auto"/>
          <w:left w:val="single" w:sz="4" w:space="4" w:color="auto"/>
          <w:bottom w:val="single" w:sz="4" w:space="1" w:color="auto"/>
          <w:right w:val="single" w:sz="4" w:space="4" w:color="auto"/>
        </w:pBdr>
        <w:tabs>
          <w:tab w:val="num" w:pos="360"/>
          <w:tab w:val="num" w:pos="1440"/>
        </w:tabs>
        <w:spacing w:before="0" w:beforeAutospacing="0" w:after="0"/>
        <w:ind w:left="0" w:firstLine="0"/>
        <w:jc w:val="both"/>
        <w:rPr>
          <w:szCs w:val="24"/>
        </w:rPr>
      </w:pPr>
      <w:bookmarkStart w:id="8" w:name="_Toc95314781"/>
      <w:bookmarkStart w:id="9" w:name="_Toc95318588"/>
      <w:bookmarkStart w:id="10" w:name="_Toc106033462"/>
      <w:bookmarkStart w:id="11" w:name="_Toc113266349"/>
      <w:r w:rsidRPr="00FE4453">
        <w:rPr>
          <w:caps w:val="0"/>
          <w:szCs w:val="24"/>
        </w:rPr>
        <w:t>SUR LE LOCUS STANDI ET LA QUALITÉ DE VICTIME DES REQUÉRANTS</w:t>
      </w:r>
      <w:bookmarkEnd w:id="8"/>
      <w:bookmarkEnd w:id="9"/>
      <w:bookmarkEnd w:id="10"/>
      <w:bookmarkEnd w:id="11"/>
    </w:p>
    <w:p w14:paraId="1DD4B5AA" w14:textId="77777777" w:rsidR="000C6A18" w:rsidRPr="00FE4453" w:rsidRDefault="000C6A18" w:rsidP="000061B5">
      <w:pPr>
        <w:pStyle w:val="JuPara"/>
        <w:pBdr>
          <w:top w:val="single" w:sz="4" w:space="1" w:color="auto"/>
          <w:left w:val="single" w:sz="4" w:space="4" w:color="auto"/>
          <w:bottom w:val="single" w:sz="4" w:space="1" w:color="auto"/>
          <w:right w:val="single" w:sz="4" w:space="4" w:color="auto"/>
        </w:pBdr>
        <w:rPr>
          <w:szCs w:val="24"/>
        </w:rPr>
      </w:pPr>
      <w:r w:rsidRPr="00FE4453">
        <w:rPr>
          <w:szCs w:val="24"/>
        </w:rPr>
        <w:fldChar w:fldCharType="begin"/>
      </w:r>
      <w:r w:rsidRPr="00FE4453">
        <w:rPr>
          <w:szCs w:val="24"/>
        </w:rPr>
        <w:instrText xml:space="preserve"> SEQ level0 \*arabic \* MERGEFORMAT </w:instrText>
      </w:r>
      <w:r w:rsidRPr="00FE4453">
        <w:rPr>
          <w:szCs w:val="24"/>
        </w:rPr>
        <w:fldChar w:fldCharType="separate"/>
      </w:r>
      <w:r w:rsidRPr="00FE4453">
        <w:rPr>
          <w:noProof/>
          <w:szCs w:val="24"/>
        </w:rPr>
        <w:t>144</w:t>
      </w:r>
      <w:r w:rsidRPr="00FE4453">
        <w:rPr>
          <w:noProof/>
          <w:szCs w:val="24"/>
        </w:rPr>
        <w:fldChar w:fldCharType="end"/>
      </w:r>
      <w:r w:rsidRPr="00FE4453">
        <w:rPr>
          <w:szCs w:val="24"/>
        </w:rPr>
        <w:t>.  Dans leurs formulaires de requête, les requérants précisent qu’ils agissent au nom et pour le compte de leurs filles et de leurs petits-enfants respectifs car ces derniers sont dans l’incapacité matérielle de présenter eux-mêmes une requête devant la Cour.</w:t>
      </w:r>
    </w:p>
    <w:p w14:paraId="0449F5F5" w14:textId="77777777" w:rsidR="000C6A18" w:rsidRPr="00FE4453" w:rsidRDefault="000C6A18" w:rsidP="000061B5">
      <w:pPr>
        <w:pStyle w:val="JuPara"/>
        <w:pBdr>
          <w:top w:val="single" w:sz="4" w:space="1" w:color="auto"/>
          <w:left w:val="single" w:sz="4" w:space="4" w:color="auto"/>
          <w:bottom w:val="single" w:sz="4" w:space="1" w:color="auto"/>
          <w:right w:val="single" w:sz="4" w:space="4" w:color="auto"/>
        </w:pBdr>
        <w:rPr>
          <w:szCs w:val="24"/>
        </w:rPr>
      </w:pPr>
      <w:r w:rsidRPr="00FE4453">
        <w:rPr>
          <w:noProof/>
          <w:szCs w:val="24"/>
        </w:rPr>
        <w:fldChar w:fldCharType="begin"/>
      </w:r>
      <w:r w:rsidRPr="00FE4453">
        <w:rPr>
          <w:noProof/>
          <w:szCs w:val="24"/>
        </w:rPr>
        <w:instrText xml:space="preserve"> SEQ level0 \*arabic \* MERGEFORMAT </w:instrText>
      </w:r>
      <w:r w:rsidRPr="00FE4453">
        <w:rPr>
          <w:noProof/>
          <w:szCs w:val="24"/>
        </w:rPr>
        <w:fldChar w:fldCharType="separate"/>
      </w:r>
      <w:r w:rsidRPr="00FE4453">
        <w:rPr>
          <w:noProof/>
          <w:szCs w:val="24"/>
        </w:rPr>
        <w:t>145</w:t>
      </w:r>
      <w:r w:rsidRPr="00FE4453">
        <w:rPr>
          <w:noProof/>
          <w:szCs w:val="24"/>
        </w:rPr>
        <w:fldChar w:fldCharType="end"/>
      </w:r>
      <w:r w:rsidRPr="00FE4453">
        <w:rPr>
          <w:szCs w:val="24"/>
        </w:rPr>
        <w:t>.  Le Gouvernement estime que les requérants n’ont pas qualité pour agir au nom de leurs enfants et petits-enfants, s’agissant des griefs tirés des articles 3 de la Convention et 3 § 2 du Protocole n</w:t>
      </w:r>
      <w:r w:rsidRPr="00FE4453">
        <w:rPr>
          <w:szCs w:val="24"/>
          <w:vertAlign w:val="superscript"/>
        </w:rPr>
        <w:t>o</w:t>
      </w:r>
      <w:r w:rsidRPr="00FE4453">
        <w:rPr>
          <w:szCs w:val="24"/>
        </w:rPr>
        <w:t xml:space="preserve"> 4, et introduire les requêtes devant la Cour à cet égard. Ces dernières seraient dès lors en partie irrecevables pour incompatibilité </w:t>
      </w:r>
      <w:proofErr w:type="spellStart"/>
      <w:r w:rsidRPr="00FE4453">
        <w:rPr>
          <w:i/>
          <w:iCs/>
          <w:szCs w:val="24"/>
        </w:rPr>
        <w:t>ratione</w:t>
      </w:r>
      <w:proofErr w:type="spellEnd"/>
      <w:r w:rsidRPr="00FE4453">
        <w:rPr>
          <w:i/>
          <w:iCs/>
          <w:szCs w:val="24"/>
        </w:rPr>
        <w:t xml:space="preserve"> personae</w:t>
      </w:r>
      <w:r w:rsidRPr="00FE4453">
        <w:rPr>
          <w:szCs w:val="24"/>
        </w:rPr>
        <w:t xml:space="preserve"> avec l’article 34 de la Convention, qui est ainsi libellé :</w:t>
      </w:r>
    </w:p>
    <w:p w14:paraId="2CE607A9" w14:textId="77777777" w:rsidR="000C6A18" w:rsidRPr="00FE4453" w:rsidRDefault="000C6A18" w:rsidP="000061B5">
      <w:pPr>
        <w:pStyle w:val="JuPara"/>
        <w:pBdr>
          <w:top w:val="single" w:sz="4" w:space="1" w:color="auto"/>
          <w:left w:val="single" w:sz="4" w:space="4" w:color="auto"/>
          <w:bottom w:val="single" w:sz="4" w:space="1" w:color="auto"/>
          <w:right w:val="single" w:sz="4" w:space="4" w:color="auto"/>
        </w:pBdr>
        <w:rPr>
          <w:szCs w:val="24"/>
        </w:rPr>
      </w:pPr>
      <w:r w:rsidRPr="00FE4453">
        <w:rPr>
          <w:noProof/>
          <w:szCs w:val="24"/>
        </w:rPr>
        <w:fldChar w:fldCharType="begin"/>
      </w:r>
      <w:r w:rsidRPr="00FE4453">
        <w:rPr>
          <w:noProof/>
          <w:szCs w:val="24"/>
        </w:rPr>
        <w:instrText xml:space="preserve"> SEQ level0 \*arabic \* MERGEFORMAT </w:instrText>
      </w:r>
      <w:r w:rsidRPr="00FE4453">
        <w:rPr>
          <w:noProof/>
          <w:szCs w:val="24"/>
        </w:rPr>
        <w:fldChar w:fldCharType="separate"/>
      </w:r>
      <w:r w:rsidRPr="00FE4453">
        <w:rPr>
          <w:noProof/>
          <w:szCs w:val="24"/>
        </w:rPr>
        <w:t>148</w:t>
      </w:r>
      <w:r w:rsidRPr="00FE4453">
        <w:rPr>
          <w:noProof/>
          <w:szCs w:val="24"/>
        </w:rPr>
        <w:fldChar w:fldCharType="end"/>
      </w:r>
      <w:r w:rsidRPr="00FE4453">
        <w:rPr>
          <w:szCs w:val="24"/>
        </w:rPr>
        <w:t>.  La Cour rappelle qu’un tiers peut, dans des circonstances exceptionnelles, agir au nom et pour le compte d’une personne vulnérable s’il y a un risque que les droits de la victime directe soient privés d’une protection effective et en l’absence de conflits d’intérêts entre cette victime et le requérant auteur de la requête (</w:t>
      </w:r>
      <w:r w:rsidRPr="00FE4453">
        <w:rPr>
          <w:i/>
          <w:szCs w:val="24"/>
        </w:rPr>
        <w:t>Lambert et autres c. France</w:t>
      </w:r>
      <w:r w:rsidRPr="00FE4453">
        <w:rPr>
          <w:szCs w:val="24"/>
        </w:rPr>
        <w:t xml:space="preserve"> ([GC], n</w:t>
      </w:r>
      <w:r w:rsidRPr="00FE4453">
        <w:rPr>
          <w:szCs w:val="24"/>
          <w:vertAlign w:val="superscript"/>
        </w:rPr>
        <w:t>o</w:t>
      </w:r>
      <w:r w:rsidRPr="00FE4453">
        <w:rPr>
          <w:szCs w:val="24"/>
        </w:rPr>
        <w:t> 46043/14, § 102, CEDH 2015 (extraits)).</w:t>
      </w:r>
    </w:p>
    <w:p w14:paraId="0FC098B1" w14:textId="77777777" w:rsidR="000C6A18" w:rsidRPr="00FE4453" w:rsidRDefault="000C6A18" w:rsidP="000061B5">
      <w:pPr>
        <w:pStyle w:val="JuPara"/>
        <w:pBdr>
          <w:top w:val="single" w:sz="4" w:space="1" w:color="auto"/>
          <w:left w:val="single" w:sz="4" w:space="4" w:color="auto"/>
          <w:bottom w:val="single" w:sz="4" w:space="1" w:color="auto"/>
          <w:right w:val="single" w:sz="4" w:space="4" w:color="auto"/>
        </w:pBdr>
        <w:rPr>
          <w:szCs w:val="24"/>
        </w:rPr>
      </w:pPr>
      <w:r w:rsidRPr="00FE4453">
        <w:rPr>
          <w:szCs w:val="24"/>
        </w:rPr>
        <w:fldChar w:fldCharType="begin"/>
      </w:r>
      <w:r w:rsidRPr="00FE4453">
        <w:rPr>
          <w:szCs w:val="24"/>
        </w:rPr>
        <w:instrText xml:space="preserve"> SEQ level0 \*arabic </w:instrText>
      </w:r>
      <w:r w:rsidRPr="00FE4453">
        <w:rPr>
          <w:szCs w:val="24"/>
        </w:rPr>
        <w:fldChar w:fldCharType="separate"/>
      </w:r>
      <w:r w:rsidRPr="00FE4453">
        <w:rPr>
          <w:noProof/>
          <w:szCs w:val="24"/>
        </w:rPr>
        <w:t>149</w:t>
      </w:r>
      <w:r w:rsidRPr="00FE4453">
        <w:rPr>
          <w:noProof/>
          <w:szCs w:val="24"/>
        </w:rPr>
        <w:fldChar w:fldCharType="end"/>
      </w:r>
      <w:r w:rsidRPr="00FE4453">
        <w:rPr>
          <w:szCs w:val="24"/>
        </w:rPr>
        <w:t xml:space="preserve">.  La Cour rappelle également, que, sur le terrain de la représentation, si la requête n’est pas introduite par la victime elle-même, l’article 45 § 3 du règlement impose de produire un pouvoir écrit dûment </w:t>
      </w:r>
      <w:proofErr w:type="gramStart"/>
      <w:r w:rsidRPr="00FE4453">
        <w:rPr>
          <w:szCs w:val="24"/>
        </w:rPr>
        <w:t>signé</w:t>
      </w:r>
      <w:proofErr w:type="gramEnd"/>
      <w:r w:rsidRPr="00FE4453">
        <w:rPr>
          <w:szCs w:val="24"/>
        </w:rPr>
        <w:t xml:space="preserve"> (</w:t>
      </w:r>
      <w:proofErr w:type="spellStart"/>
      <w:r w:rsidRPr="00FE4453">
        <w:rPr>
          <w:i/>
          <w:szCs w:val="24"/>
        </w:rPr>
        <w:t>Hirsi</w:t>
      </w:r>
      <w:proofErr w:type="spellEnd"/>
      <w:r w:rsidRPr="00FE4453">
        <w:rPr>
          <w:i/>
          <w:szCs w:val="24"/>
        </w:rPr>
        <w:t xml:space="preserve"> </w:t>
      </w:r>
      <w:proofErr w:type="spellStart"/>
      <w:r w:rsidRPr="00FE4453">
        <w:rPr>
          <w:i/>
          <w:szCs w:val="24"/>
        </w:rPr>
        <w:t>Jamaa</w:t>
      </w:r>
      <w:proofErr w:type="spellEnd"/>
      <w:r w:rsidRPr="00FE4453">
        <w:rPr>
          <w:i/>
          <w:szCs w:val="24"/>
        </w:rPr>
        <w:t xml:space="preserve"> et autres c. Italie</w:t>
      </w:r>
      <w:r w:rsidRPr="00FE4453">
        <w:rPr>
          <w:szCs w:val="24"/>
        </w:rPr>
        <w:t xml:space="preserve"> [GC], n</w:t>
      </w:r>
      <w:r w:rsidRPr="00FE4453">
        <w:rPr>
          <w:szCs w:val="24"/>
          <w:vertAlign w:val="superscript"/>
        </w:rPr>
        <w:t>o</w:t>
      </w:r>
      <w:r w:rsidRPr="00FE4453">
        <w:rPr>
          <w:szCs w:val="24"/>
        </w:rPr>
        <w:t xml:space="preserve"> 27765/09</w:t>
      </w:r>
      <w:r w:rsidRPr="00FE4453">
        <w:rPr>
          <w:snapToGrid w:val="0"/>
          <w:szCs w:val="24"/>
        </w:rPr>
        <w:t>, §§ 52 et 53, CEDH 2012)</w:t>
      </w:r>
      <w:r w:rsidRPr="00FE4453">
        <w:rPr>
          <w:szCs w:val="24"/>
        </w:rPr>
        <w:t>. Il est essentiel pour le représentant de démontrer qu’il a reçu des instructions précises et explicites de la part de la victime alléguée au nom de laquelle il entend agir devant la Cour. La Cour a admis cependant que des requêtes introduites par des particuliers au nom d’une ou de victimes de violations alléguées des articles 2, 3 et 8 de la Convention subies de la part des autorités nationales peuvent être déclarées recevables alors même qu’aucun type de pouvoir valable n’avait été présenté ; dans de telles situations, une attention particulière est accordée aux facteurs de vulnérabilité, propres à empêcher certaines victimes de soumettre leur cause à la Cour, et aux liens entre la victime et la personne auteure de la requête (</w:t>
      </w:r>
      <w:r w:rsidRPr="00FE4453">
        <w:rPr>
          <w:i/>
          <w:iCs/>
          <w:szCs w:val="24"/>
        </w:rPr>
        <w:t>Lambert et autres</w:t>
      </w:r>
      <w:r w:rsidRPr="00FE4453">
        <w:rPr>
          <w:szCs w:val="24"/>
        </w:rPr>
        <w:t xml:space="preserve">, précité, §§ 91 et 92 ; voir aussi </w:t>
      </w:r>
      <w:r w:rsidRPr="00FE4453">
        <w:rPr>
          <w:i/>
          <w:szCs w:val="24"/>
        </w:rPr>
        <w:t xml:space="preserve">Centre de ressources juridiques au nom de Valentin </w:t>
      </w:r>
      <w:proofErr w:type="spellStart"/>
      <w:r w:rsidRPr="00FE4453">
        <w:rPr>
          <w:i/>
          <w:szCs w:val="24"/>
        </w:rPr>
        <w:t>Câmpeanu</w:t>
      </w:r>
      <w:proofErr w:type="spellEnd"/>
      <w:r w:rsidRPr="00FE4453">
        <w:rPr>
          <w:i/>
          <w:szCs w:val="24"/>
        </w:rPr>
        <w:t xml:space="preserve"> c. Roumanie</w:t>
      </w:r>
      <w:r w:rsidRPr="00FE4453">
        <w:rPr>
          <w:szCs w:val="24"/>
        </w:rPr>
        <w:t xml:space="preserve"> [GC], n</w:t>
      </w:r>
      <w:r w:rsidRPr="00FE4453">
        <w:rPr>
          <w:szCs w:val="24"/>
          <w:vertAlign w:val="superscript"/>
        </w:rPr>
        <w:t>o</w:t>
      </w:r>
      <w:r w:rsidRPr="00FE4453">
        <w:rPr>
          <w:szCs w:val="24"/>
        </w:rPr>
        <w:t xml:space="preserve"> 47848/08, §§ 102 et 103, CEDH 2014).</w:t>
      </w:r>
    </w:p>
    <w:p w14:paraId="6AAE7DEA" w14:textId="77777777" w:rsidR="000C6A18" w:rsidRPr="00FE4453" w:rsidRDefault="000C6A18" w:rsidP="000061B5">
      <w:pPr>
        <w:pStyle w:val="JuPara"/>
        <w:pBdr>
          <w:top w:val="single" w:sz="4" w:space="1" w:color="auto"/>
          <w:left w:val="single" w:sz="4" w:space="4" w:color="auto"/>
          <w:bottom w:val="single" w:sz="4" w:space="1" w:color="auto"/>
          <w:right w:val="single" w:sz="4" w:space="4" w:color="auto"/>
        </w:pBdr>
        <w:rPr>
          <w:i/>
          <w:iCs/>
          <w:szCs w:val="24"/>
        </w:rPr>
      </w:pPr>
      <w:r w:rsidRPr="00FE4453">
        <w:rPr>
          <w:noProof/>
          <w:szCs w:val="24"/>
        </w:rPr>
        <w:fldChar w:fldCharType="begin"/>
      </w:r>
      <w:r w:rsidRPr="00FE4453">
        <w:rPr>
          <w:noProof/>
          <w:szCs w:val="24"/>
        </w:rPr>
        <w:instrText xml:space="preserve"> SEQ level0 \*arabic \* MERGEFORMAT </w:instrText>
      </w:r>
      <w:r w:rsidRPr="00FE4453">
        <w:rPr>
          <w:noProof/>
          <w:szCs w:val="24"/>
        </w:rPr>
        <w:fldChar w:fldCharType="separate"/>
      </w:r>
      <w:r w:rsidRPr="00FE4453">
        <w:rPr>
          <w:noProof/>
          <w:szCs w:val="24"/>
        </w:rPr>
        <w:t>151</w:t>
      </w:r>
      <w:r w:rsidRPr="00FE4453">
        <w:rPr>
          <w:noProof/>
          <w:szCs w:val="24"/>
        </w:rPr>
        <w:fldChar w:fldCharType="end"/>
      </w:r>
      <w:r w:rsidRPr="00FE4453">
        <w:rPr>
          <w:szCs w:val="24"/>
        </w:rPr>
        <w:t>.  </w:t>
      </w:r>
      <w:r>
        <w:rPr>
          <w:szCs w:val="24"/>
        </w:rPr>
        <w:t>L</w:t>
      </w:r>
      <w:r w:rsidRPr="00FE4453">
        <w:rPr>
          <w:szCs w:val="24"/>
        </w:rPr>
        <w:t>a Cour constate que les proches des requérants se trouvent dans une situation qui ne leur permet pas de présenter directement les requêtes devant la Cour. Le risque qu’ils soient privés d’une protection effective des droits qu’ils tirent de la Convention et du Protocole n</w:t>
      </w:r>
      <w:r w:rsidRPr="00FE4453">
        <w:rPr>
          <w:szCs w:val="24"/>
          <w:vertAlign w:val="superscript"/>
        </w:rPr>
        <w:t>o</w:t>
      </w:r>
      <w:r w:rsidRPr="00FE4453">
        <w:rPr>
          <w:szCs w:val="24"/>
        </w:rPr>
        <w:t xml:space="preserve"> 4 est donc avéré dans les circonstances de l’espèce. Elle relève par ailleurs l’absence de conflit d’intérêts entre les requérants et les victimes directes. Outre les liens familiaux étroits, les uns et les autres partagent le même objectif : permettre un retour en France. Enfin, dès lors que les circonstances exactes dans lesquelles L. et M. sont retenues dans les camps ne sont pas connues (paragraphes </w:t>
      </w:r>
      <w:r w:rsidRPr="00FE4453">
        <w:rPr>
          <w:szCs w:val="24"/>
        </w:rPr>
        <w:fldChar w:fldCharType="begin"/>
      </w:r>
      <w:r w:rsidRPr="00FE4453">
        <w:rPr>
          <w:szCs w:val="24"/>
        </w:rPr>
        <w:instrText xml:space="preserve"> REF paragraph00035 \h  \* CharFormat  \* MERGEFORMAT </w:instrText>
      </w:r>
      <w:r w:rsidRPr="00FE4453">
        <w:rPr>
          <w:szCs w:val="24"/>
        </w:rPr>
      </w:r>
      <w:r w:rsidRPr="00FE4453">
        <w:rPr>
          <w:szCs w:val="24"/>
        </w:rPr>
        <w:fldChar w:fldCharType="separate"/>
      </w:r>
      <w:r w:rsidRPr="00FE4453">
        <w:rPr>
          <w:szCs w:val="24"/>
        </w:rPr>
        <w:t>36</w:t>
      </w:r>
      <w:r w:rsidRPr="00FE4453">
        <w:rPr>
          <w:szCs w:val="24"/>
        </w:rPr>
        <w:fldChar w:fldCharType="end"/>
      </w:r>
      <w:r w:rsidRPr="00FE4453">
        <w:rPr>
          <w:szCs w:val="24"/>
        </w:rPr>
        <w:t xml:space="preserve">, </w:t>
      </w:r>
      <w:r w:rsidRPr="00FE4453">
        <w:rPr>
          <w:szCs w:val="24"/>
        </w:rPr>
        <w:fldChar w:fldCharType="begin"/>
      </w:r>
      <w:r w:rsidRPr="00FE4453">
        <w:rPr>
          <w:szCs w:val="24"/>
        </w:rPr>
        <w:instrText xml:space="preserve"> REF paragraph00041 \h  \* CharFormat  \* MERGEFORMAT </w:instrText>
      </w:r>
      <w:r w:rsidRPr="00FE4453">
        <w:rPr>
          <w:szCs w:val="24"/>
        </w:rPr>
      </w:r>
      <w:r w:rsidRPr="00FE4453">
        <w:rPr>
          <w:szCs w:val="24"/>
        </w:rPr>
        <w:fldChar w:fldCharType="separate"/>
      </w:r>
      <w:r w:rsidRPr="00FE4453">
        <w:rPr>
          <w:szCs w:val="24"/>
        </w:rPr>
        <w:t>42</w:t>
      </w:r>
      <w:r w:rsidRPr="00FE4453">
        <w:rPr>
          <w:szCs w:val="24"/>
        </w:rPr>
        <w:fldChar w:fldCharType="end"/>
      </w:r>
      <w:r w:rsidRPr="00FE4453">
        <w:rPr>
          <w:szCs w:val="24"/>
        </w:rPr>
        <w:t xml:space="preserve"> et </w:t>
      </w:r>
      <w:r w:rsidRPr="00FE4453">
        <w:rPr>
          <w:szCs w:val="24"/>
        </w:rPr>
        <w:fldChar w:fldCharType="begin"/>
      </w:r>
      <w:r w:rsidRPr="00FE4453">
        <w:rPr>
          <w:szCs w:val="24"/>
        </w:rPr>
        <w:instrText xml:space="preserve"> REF paragraph00145 \h  \* CharFormat  \* MERGEFORMAT </w:instrText>
      </w:r>
      <w:r w:rsidRPr="00FE4453">
        <w:rPr>
          <w:szCs w:val="24"/>
        </w:rPr>
      </w:r>
      <w:r w:rsidRPr="00FE4453">
        <w:rPr>
          <w:szCs w:val="24"/>
        </w:rPr>
        <w:fldChar w:fldCharType="separate"/>
      </w:r>
      <w:r w:rsidRPr="00FE4453">
        <w:rPr>
          <w:szCs w:val="24"/>
        </w:rPr>
        <w:t>147</w:t>
      </w:r>
      <w:r w:rsidRPr="00FE4453">
        <w:rPr>
          <w:szCs w:val="24"/>
        </w:rPr>
        <w:fldChar w:fldCharType="end"/>
      </w:r>
      <w:r w:rsidRPr="00FE4453">
        <w:rPr>
          <w:szCs w:val="24"/>
        </w:rPr>
        <w:t xml:space="preserve"> ci-dessus), celles-ci peuvent passer pour avoir exprimé, dans la mesure du possible, leur volonté de retour en France avec leurs enfants, et consenti à ce que les requérants agissent en leur nom (paragraphes </w:t>
      </w:r>
      <w:r w:rsidRPr="00FE4453">
        <w:rPr>
          <w:szCs w:val="24"/>
        </w:rPr>
        <w:fldChar w:fldCharType="begin"/>
      </w:r>
      <w:r w:rsidRPr="00FE4453">
        <w:rPr>
          <w:szCs w:val="24"/>
        </w:rPr>
        <w:instrText xml:space="preserve"> REF paragraph00032 \h  \* CharFormat  \* MERGEFORMAT </w:instrText>
      </w:r>
      <w:r w:rsidRPr="00FE4453">
        <w:rPr>
          <w:szCs w:val="24"/>
        </w:rPr>
      </w:r>
      <w:r w:rsidRPr="00FE4453">
        <w:rPr>
          <w:szCs w:val="24"/>
        </w:rPr>
        <w:fldChar w:fldCharType="separate"/>
      </w:r>
      <w:r w:rsidRPr="00FE4453">
        <w:rPr>
          <w:szCs w:val="24"/>
        </w:rPr>
        <w:t>33</w:t>
      </w:r>
      <w:r w:rsidRPr="00FE4453">
        <w:rPr>
          <w:szCs w:val="24"/>
        </w:rPr>
        <w:fldChar w:fldCharType="end"/>
      </w:r>
      <w:r w:rsidRPr="00FE4453">
        <w:rPr>
          <w:szCs w:val="24"/>
        </w:rPr>
        <w:t xml:space="preserve">, </w:t>
      </w:r>
      <w:r w:rsidRPr="00FE4453">
        <w:rPr>
          <w:szCs w:val="24"/>
        </w:rPr>
        <w:fldChar w:fldCharType="begin"/>
      </w:r>
      <w:r w:rsidRPr="00FE4453">
        <w:rPr>
          <w:szCs w:val="24"/>
        </w:rPr>
        <w:instrText xml:space="preserve"> REF paragraph00033 \h  \* CharFormat  \* MERGEFORMAT </w:instrText>
      </w:r>
      <w:r w:rsidRPr="00FE4453">
        <w:rPr>
          <w:szCs w:val="24"/>
        </w:rPr>
      </w:r>
      <w:r w:rsidRPr="00FE4453">
        <w:rPr>
          <w:szCs w:val="24"/>
        </w:rPr>
        <w:fldChar w:fldCharType="separate"/>
      </w:r>
      <w:r w:rsidRPr="00FE4453">
        <w:rPr>
          <w:szCs w:val="24"/>
        </w:rPr>
        <w:t>34</w:t>
      </w:r>
      <w:r w:rsidRPr="00FE4453">
        <w:rPr>
          <w:szCs w:val="24"/>
        </w:rPr>
        <w:fldChar w:fldCharType="end"/>
      </w:r>
      <w:r w:rsidRPr="00FE4453">
        <w:rPr>
          <w:szCs w:val="24"/>
        </w:rPr>
        <w:t xml:space="preserve">, </w:t>
      </w:r>
      <w:r w:rsidRPr="00FE4453">
        <w:rPr>
          <w:szCs w:val="24"/>
        </w:rPr>
        <w:fldChar w:fldCharType="begin"/>
      </w:r>
      <w:r w:rsidRPr="00FE4453">
        <w:rPr>
          <w:szCs w:val="24"/>
        </w:rPr>
        <w:instrText xml:space="preserve"> REF paragraph00039 \h  \* CharFormat  \* MERGEFORMAT </w:instrText>
      </w:r>
      <w:r w:rsidRPr="00FE4453">
        <w:rPr>
          <w:szCs w:val="24"/>
        </w:rPr>
      </w:r>
      <w:r w:rsidRPr="00FE4453">
        <w:rPr>
          <w:szCs w:val="24"/>
        </w:rPr>
        <w:fldChar w:fldCharType="separate"/>
      </w:r>
      <w:r w:rsidRPr="00FE4453">
        <w:rPr>
          <w:szCs w:val="24"/>
        </w:rPr>
        <w:t>41</w:t>
      </w:r>
      <w:r w:rsidRPr="00FE4453">
        <w:rPr>
          <w:szCs w:val="24"/>
        </w:rPr>
        <w:fldChar w:fldCharType="end"/>
      </w:r>
      <w:r w:rsidRPr="00FE4453">
        <w:rPr>
          <w:szCs w:val="24"/>
        </w:rPr>
        <w:t xml:space="preserve"> et </w:t>
      </w:r>
      <w:r w:rsidRPr="00FE4453">
        <w:rPr>
          <w:szCs w:val="24"/>
        </w:rPr>
        <w:fldChar w:fldCharType="begin"/>
      </w:r>
      <w:r w:rsidRPr="00FE4453">
        <w:rPr>
          <w:szCs w:val="24"/>
        </w:rPr>
        <w:instrText xml:space="preserve"> REF paragraph00041 \h  \* CharFormat  \* MERGEFORMAT </w:instrText>
      </w:r>
      <w:r w:rsidRPr="00FE4453">
        <w:rPr>
          <w:szCs w:val="24"/>
        </w:rPr>
      </w:r>
      <w:r w:rsidRPr="00FE4453">
        <w:rPr>
          <w:szCs w:val="24"/>
        </w:rPr>
        <w:fldChar w:fldCharType="separate"/>
      </w:r>
      <w:r w:rsidRPr="00FE4453">
        <w:rPr>
          <w:szCs w:val="24"/>
        </w:rPr>
        <w:t>42</w:t>
      </w:r>
      <w:r w:rsidRPr="00FE4453">
        <w:rPr>
          <w:szCs w:val="24"/>
        </w:rPr>
        <w:fldChar w:fldCharType="end"/>
      </w:r>
      <w:r w:rsidRPr="00FE4453">
        <w:rPr>
          <w:szCs w:val="24"/>
        </w:rPr>
        <w:t xml:space="preserve"> ci-dessus).</w:t>
      </w:r>
    </w:p>
    <w:p w14:paraId="43215C04" w14:textId="77777777" w:rsidR="000C6A18" w:rsidRPr="00FE4453" w:rsidRDefault="000C6A18" w:rsidP="000061B5">
      <w:pPr>
        <w:pStyle w:val="JuPara"/>
        <w:pBdr>
          <w:top w:val="single" w:sz="4" w:space="1" w:color="auto"/>
          <w:left w:val="single" w:sz="4" w:space="4" w:color="auto"/>
          <w:bottom w:val="single" w:sz="4" w:space="1" w:color="auto"/>
          <w:right w:val="single" w:sz="4" w:space="4" w:color="auto"/>
        </w:pBdr>
        <w:rPr>
          <w:szCs w:val="24"/>
        </w:rPr>
      </w:pPr>
      <w:r w:rsidRPr="00FE4453">
        <w:rPr>
          <w:noProof/>
          <w:szCs w:val="24"/>
        </w:rPr>
        <w:fldChar w:fldCharType="begin"/>
      </w:r>
      <w:r w:rsidRPr="00FE4453">
        <w:rPr>
          <w:noProof/>
          <w:szCs w:val="24"/>
        </w:rPr>
        <w:instrText xml:space="preserve"> SEQ level0 \*arabic \* MERGEFORMAT </w:instrText>
      </w:r>
      <w:r w:rsidRPr="00FE4453">
        <w:rPr>
          <w:noProof/>
          <w:szCs w:val="24"/>
        </w:rPr>
        <w:fldChar w:fldCharType="separate"/>
      </w:r>
      <w:r w:rsidRPr="00FE4453">
        <w:rPr>
          <w:noProof/>
          <w:szCs w:val="24"/>
        </w:rPr>
        <w:t>152</w:t>
      </w:r>
      <w:r w:rsidRPr="00FE4453">
        <w:rPr>
          <w:noProof/>
          <w:szCs w:val="24"/>
        </w:rPr>
        <w:fldChar w:fldCharType="end"/>
      </w:r>
      <w:r w:rsidRPr="00FE4453">
        <w:rPr>
          <w:szCs w:val="24"/>
        </w:rPr>
        <w:t>.  Eu égard à ce qui précède, et notant que la qualité pour agir des requérants n’a jamais été mise en cause par les juridictions internes (</w:t>
      </w:r>
      <w:r w:rsidRPr="00FE4453">
        <w:rPr>
          <w:i/>
          <w:iCs/>
          <w:szCs w:val="24"/>
        </w:rPr>
        <w:t>mutatis mutandis</w:t>
      </w:r>
      <w:r w:rsidRPr="00FE4453">
        <w:rPr>
          <w:szCs w:val="24"/>
        </w:rPr>
        <w:t xml:space="preserve">, </w:t>
      </w:r>
      <w:r w:rsidRPr="00FE4453">
        <w:rPr>
          <w:i/>
          <w:szCs w:val="24"/>
        </w:rPr>
        <w:t xml:space="preserve">Centre de ressources juridiques au nom de Valentin </w:t>
      </w:r>
      <w:proofErr w:type="spellStart"/>
      <w:r w:rsidRPr="00FE4453">
        <w:rPr>
          <w:i/>
          <w:szCs w:val="24"/>
        </w:rPr>
        <w:t>Câmpeanu</w:t>
      </w:r>
      <w:proofErr w:type="spellEnd"/>
      <w:r w:rsidRPr="00FE4453">
        <w:rPr>
          <w:iCs/>
          <w:szCs w:val="24"/>
        </w:rPr>
        <w:t xml:space="preserve">, précité, § 110, </w:t>
      </w:r>
      <w:r w:rsidRPr="00FE4453">
        <w:rPr>
          <w:i/>
          <w:szCs w:val="24"/>
        </w:rPr>
        <w:t>Association Innocence en Danger et Association Enfance et Partage c. France</w:t>
      </w:r>
      <w:r w:rsidRPr="00FE4453">
        <w:rPr>
          <w:szCs w:val="24"/>
        </w:rPr>
        <w:t>, n</w:t>
      </w:r>
      <w:r w:rsidRPr="00FE4453">
        <w:rPr>
          <w:szCs w:val="24"/>
          <w:vertAlign w:val="superscript"/>
        </w:rPr>
        <w:t>os</w:t>
      </w:r>
      <w:r w:rsidRPr="00FE4453">
        <w:rPr>
          <w:szCs w:val="24"/>
        </w:rPr>
        <w:t xml:space="preserve"> 15343/15 et 16806/15, § 130, 4 juin 2020), la Cour estime qu’il existe des circonstances exceptionnelles permettant de leur reconnaître cette qualité en tant que représentants de leurs filles et petits-enfants s’agissant des griefs tirés des articles 3 de la Convention et 3 § 2 du Protocole n</w:t>
      </w:r>
      <w:r w:rsidRPr="00FE4453">
        <w:rPr>
          <w:szCs w:val="24"/>
          <w:vertAlign w:val="superscript"/>
        </w:rPr>
        <w:t>o</w:t>
      </w:r>
      <w:r w:rsidRPr="00FE4453">
        <w:rPr>
          <w:szCs w:val="24"/>
        </w:rPr>
        <w:t xml:space="preserve"> 4 pris isolément et combiné avec l’article 13. En conséquence, l’exception du Gouvernement relative à l’absence de </w:t>
      </w:r>
      <w:r w:rsidRPr="00FE4453">
        <w:rPr>
          <w:i/>
          <w:iCs/>
          <w:szCs w:val="24"/>
        </w:rPr>
        <w:t xml:space="preserve">locus </w:t>
      </w:r>
      <w:proofErr w:type="spellStart"/>
      <w:r w:rsidRPr="00FE4453">
        <w:rPr>
          <w:i/>
          <w:iCs/>
          <w:szCs w:val="24"/>
        </w:rPr>
        <w:t>standi</w:t>
      </w:r>
      <w:proofErr w:type="spellEnd"/>
      <w:r w:rsidRPr="00FE4453">
        <w:rPr>
          <w:szCs w:val="24"/>
        </w:rPr>
        <w:t xml:space="preserve"> des requérants doit être rejetée.</w:t>
      </w:r>
    </w:p>
    <w:p w14:paraId="71D3CF68" w14:textId="77777777" w:rsidR="000C6A18" w:rsidRDefault="000C6A18" w:rsidP="000061B5">
      <w:pPr>
        <w:pStyle w:val="Retraitcorpsdetexte2"/>
        <w:jc w:val="both"/>
        <w:rPr>
          <w:szCs w:val="24"/>
        </w:rPr>
      </w:pPr>
    </w:p>
    <w:p w14:paraId="3408DA1D" w14:textId="77777777" w:rsidR="000105DC" w:rsidRPr="00FE4453" w:rsidRDefault="000105DC" w:rsidP="000061B5">
      <w:pPr>
        <w:pStyle w:val="Retraitcorpsdetexte2"/>
        <w:jc w:val="both"/>
        <w:rPr>
          <w:szCs w:val="24"/>
        </w:rPr>
      </w:pPr>
    </w:p>
    <w:p w14:paraId="724B62DC" w14:textId="77777777" w:rsidR="00CD6404" w:rsidRPr="00FE4453" w:rsidRDefault="00187D94" w:rsidP="000061B5">
      <w:pPr>
        <w:pStyle w:val="Retraitcorpsdetexte2"/>
        <w:numPr>
          <w:ilvl w:val="0"/>
          <w:numId w:val="2"/>
        </w:numPr>
        <w:jc w:val="both"/>
        <w:rPr>
          <w:b/>
          <w:szCs w:val="24"/>
        </w:rPr>
      </w:pPr>
      <w:r w:rsidRPr="00FE4453">
        <w:rPr>
          <w:b/>
          <w:szCs w:val="24"/>
        </w:rPr>
        <w:lastRenderedPageBreak/>
        <w:t>La procédure de</w:t>
      </w:r>
      <w:r w:rsidR="00CD6404" w:rsidRPr="00FE4453">
        <w:rPr>
          <w:b/>
          <w:szCs w:val="24"/>
        </w:rPr>
        <w:t xml:space="preserve"> recevabilité</w:t>
      </w:r>
    </w:p>
    <w:p w14:paraId="724B62DD" w14:textId="026B8A76" w:rsidR="009B360E" w:rsidRPr="00FE4453" w:rsidRDefault="009B360E" w:rsidP="000061B5">
      <w:pPr>
        <w:pStyle w:val="Retraitcorpsdetexte2"/>
        <w:jc w:val="both"/>
        <w:rPr>
          <w:szCs w:val="24"/>
        </w:rPr>
      </w:pPr>
      <w:r w:rsidRPr="00FE4453">
        <w:rPr>
          <w:szCs w:val="24"/>
        </w:rPr>
        <w:t xml:space="preserve">Il s’agit d’une part de connaître les conditions de recevabilité avant de savoir qui procède à l’examen de la recevabilité de la requête. </w:t>
      </w:r>
    </w:p>
    <w:p w14:paraId="724B62DE" w14:textId="77777777" w:rsidR="004C2FB9" w:rsidRPr="00FE4453" w:rsidRDefault="004C2FB9" w:rsidP="000061B5">
      <w:pPr>
        <w:pStyle w:val="Retraitcorpsdetexte2"/>
        <w:jc w:val="both"/>
        <w:rPr>
          <w:szCs w:val="24"/>
        </w:rPr>
      </w:pPr>
    </w:p>
    <w:p w14:paraId="724B62DF" w14:textId="77777777" w:rsidR="009B360E" w:rsidRPr="00FE4453" w:rsidRDefault="009B360E" w:rsidP="000061B5">
      <w:pPr>
        <w:pStyle w:val="Retraitcorpsdetexte2"/>
        <w:jc w:val="both"/>
        <w:rPr>
          <w:b/>
          <w:szCs w:val="24"/>
        </w:rPr>
      </w:pPr>
      <w:r w:rsidRPr="00FE4453">
        <w:rPr>
          <w:b/>
          <w:szCs w:val="24"/>
        </w:rPr>
        <w:t>1° Les conditions de recevabilité</w:t>
      </w:r>
    </w:p>
    <w:p w14:paraId="724B62E0" w14:textId="628EF639" w:rsidR="006B25F1" w:rsidRDefault="00C82346" w:rsidP="000061B5">
      <w:pPr>
        <w:pStyle w:val="Retraitcorpsdetexte2"/>
        <w:jc w:val="both"/>
        <w:rPr>
          <w:szCs w:val="24"/>
        </w:rPr>
      </w:pPr>
      <w:r w:rsidRPr="00FE4453">
        <w:rPr>
          <w:szCs w:val="24"/>
        </w:rPr>
        <w:t>La</w:t>
      </w:r>
      <w:r w:rsidR="00D82FD8" w:rsidRPr="00FE4453">
        <w:rPr>
          <w:szCs w:val="24"/>
        </w:rPr>
        <w:t xml:space="preserve"> procédure </w:t>
      </w:r>
      <w:r w:rsidRPr="00FE4453">
        <w:rPr>
          <w:szCs w:val="24"/>
        </w:rPr>
        <w:t xml:space="preserve">devant la </w:t>
      </w:r>
      <w:r w:rsidR="004A1FA5" w:rsidRPr="00FE4453">
        <w:rPr>
          <w:szCs w:val="24"/>
        </w:rPr>
        <w:t>Cour européenne</w:t>
      </w:r>
      <w:r w:rsidRPr="00FE4453">
        <w:rPr>
          <w:szCs w:val="24"/>
        </w:rPr>
        <w:t xml:space="preserve"> </w:t>
      </w:r>
      <w:r w:rsidR="00D82FD8" w:rsidRPr="00FE4453">
        <w:rPr>
          <w:szCs w:val="24"/>
        </w:rPr>
        <w:t>commence</w:t>
      </w:r>
      <w:r w:rsidRPr="00FE4453">
        <w:rPr>
          <w:szCs w:val="24"/>
        </w:rPr>
        <w:t xml:space="preserve"> donc</w:t>
      </w:r>
      <w:r w:rsidR="00D82FD8" w:rsidRPr="00FE4453">
        <w:rPr>
          <w:szCs w:val="24"/>
        </w:rPr>
        <w:t xml:space="preserve"> par une requête qui n'est recevable que dans la mesure où le requérant a satisfait l</w:t>
      </w:r>
      <w:r w:rsidR="00C1523D" w:rsidRPr="00FE4453">
        <w:rPr>
          <w:szCs w:val="24"/>
        </w:rPr>
        <w:t xml:space="preserve">es conditions de recevabilité </w:t>
      </w:r>
      <w:r w:rsidR="006B25F1" w:rsidRPr="00FE4453">
        <w:rPr>
          <w:szCs w:val="24"/>
        </w:rPr>
        <w:t>qui sont</w:t>
      </w:r>
      <w:r w:rsidR="00187D94" w:rsidRPr="00FE4453">
        <w:rPr>
          <w:szCs w:val="24"/>
        </w:rPr>
        <w:t xml:space="preserve"> désormais</w:t>
      </w:r>
      <w:r w:rsidR="006B25F1" w:rsidRPr="00FE4453">
        <w:rPr>
          <w:szCs w:val="24"/>
        </w:rPr>
        <w:t xml:space="preserve"> au nombre de </w:t>
      </w:r>
      <w:r w:rsidR="00187D94" w:rsidRPr="00FE4453">
        <w:rPr>
          <w:szCs w:val="24"/>
        </w:rPr>
        <w:t>quatre</w:t>
      </w:r>
      <w:r w:rsidR="006B25F1" w:rsidRPr="00FE4453">
        <w:rPr>
          <w:szCs w:val="24"/>
        </w:rPr>
        <w:t> : délai, épuisement des voies de recours internes, la requête ne devant en outre pa</w:t>
      </w:r>
      <w:r w:rsidR="00187D94" w:rsidRPr="00FE4453">
        <w:rPr>
          <w:szCs w:val="24"/>
        </w:rPr>
        <w:t xml:space="preserve">s être manifestement mal fondée et </w:t>
      </w:r>
      <w:r w:rsidR="002B225D" w:rsidRPr="00FE4453">
        <w:rPr>
          <w:szCs w:val="24"/>
        </w:rPr>
        <w:t>devant</w:t>
      </w:r>
      <w:r w:rsidR="00187D94" w:rsidRPr="00FE4453">
        <w:rPr>
          <w:szCs w:val="24"/>
        </w:rPr>
        <w:t xml:space="preserve"> présent</w:t>
      </w:r>
      <w:r w:rsidR="002B225D" w:rsidRPr="00FE4453">
        <w:rPr>
          <w:szCs w:val="24"/>
        </w:rPr>
        <w:t>er</w:t>
      </w:r>
      <w:r w:rsidR="00187D94" w:rsidRPr="00FE4453">
        <w:rPr>
          <w:szCs w:val="24"/>
        </w:rPr>
        <w:t xml:space="preserve"> un certain intérêt soit au regard du préjudice subi </w:t>
      </w:r>
      <w:r w:rsidR="002B225D" w:rsidRPr="00FE4453">
        <w:rPr>
          <w:szCs w:val="24"/>
        </w:rPr>
        <w:t>soit au regard</w:t>
      </w:r>
      <w:r w:rsidR="00187D94" w:rsidRPr="00FE4453">
        <w:rPr>
          <w:szCs w:val="24"/>
        </w:rPr>
        <w:t xml:space="preserve"> de la question de droit posé.</w:t>
      </w:r>
    </w:p>
    <w:p w14:paraId="2188D847" w14:textId="77777777" w:rsidR="00DE592D" w:rsidRPr="00FE4453" w:rsidRDefault="00DE592D" w:rsidP="000061B5">
      <w:pPr>
        <w:pStyle w:val="Retraitcorpsdetexte2"/>
        <w:jc w:val="both"/>
        <w:rPr>
          <w:szCs w:val="24"/>
        </w:rPr>
      </w:pPr>
    </w:p>
    <w:p w14:paraId="724B62E4" w14:textId="0C161E45" w:rsidR="00C1523D" w:rsidRPr="00FE4453" w:rsidRDefault="00187D94" w:rsidP="000061B5">
      <w:pPr>
        <w:pStyle w:val="Retraitcorpsdetexte2"/>
        <w:jc w:val="both"/>
        <w:rPr>
          <w:b/>
          <w:szCs w:val="24"/>
        </w:rPr>
      </w:pPr>
      <w:r w:rsidRPr="00FE4453">
        <w:rPr>
          <w:b/>
          <w:szCs w:val="24"/>
        </w:rPr>
        <w:t>a.</w:t>
      </w:r>
      <w:r w:rsidR="00C1523D" w:rsidRPr="00FE4453">
        <w:rPr>
          <w:b/>
          <w:szCs w:val="24"/>
        </w:rPr>
        <w:t xml:space="preserve"> </w:t>
      </w:r>
      <w:r w:rsidR="009E321B">
        <w:rPr>
          <w:b/>
          <w:szCs w:val="24"/>
        </w:rPr>
        <w:t>Le délai pour agir</w:t>
      </w:r>
    </w:p>
    <w:p w14:paraId="724B62E5" w14:textId="1B93D28E" w:rsidR="003A6B8B" w:rsidRPr="00FE4453" w:rsidRDefault="008D1C14" w:rsidP="000061B5">
      <w:pPr>
        <w:pStyle w:val="Retraitcorpsdetexte2"/>
        <w:jc w:val="both"/>
        <w:rPr>
          <w:szCs w:val="24"/>
        </w:rPr>
      </w:pPr>
      <w:r w:rsidRPr="00FE4453">
        <w:rPr>
          <w:szCs w:val="24"/>
        </w:rPr>
        <w:t xml:space="preserve">En vertu de l’article 35 §1 de la </w:t>
      </w:r>
      <w:proofErr w:type="spellStart"/>
      <w:r w:rsidRPr="00FE4453">
        <w:rPr>
          <w:szCs w:val="24"/>
        </w:rPr>
        <w:t>Conv</w:t>
      </w:r>
      <w:proofErr w:type="spellEnd"/>
      <w:r w:rsidRPr="00FE4453">
        <w:rPr>
          <w:szCs w:val="24"/>
        </w:rPr>
        <w:t xml:space="preserve"> EDH, l</w:t>
      </w:r>
      <w:r w:rsidR="006B25F1" w:rsidRPr="00FE4453">
        <w:rPr>
          <w:szCs w:val="24"/>
        </w:rPr>
        <w:t xml:space="preserve">a requête doit être présentée dans un délai de </w:t>
      </w:r>
      <w:r w:rsidR="009E321B">
        <w:rPr>
          <w:szCs w:val="24"/>
        </w:rPr>
        <w:t xml:space="preserve">quatre </w:t>
      </w:r>
      <w:r w:rsidR="00F03FC0">
        <w:rPr>
          <w:szCs w:val="24"/>
        </w:rPr>
        <w:t xml:space="preserve">mois </w:t>
      </w:r>
      <w:r w:rsidR="006B25F1" w:rsidRPr="00FE4453">
        <w:rPr>
          <w:szCs w:val="24"/>
        </w:rPr>
        <w:t>à compter de la date de décision interne définitive incriminée.</w:t>
      </w:r>
      <w:r w:rsidR="003A6B8B" w:rsidRPr="00FE4453">
        <w:rPr>
          <w:szCs w:val="24"/>
        </w:rPr>
        <w:t xml:space="preserve"> Cette décision s’entend de celle ayant épuisé les voies de recours internes offertes dans l’ordre étatique interne étant précisé </w:t>
      </w:r>
      <w:r w:rsidR="009E321B">
        <w:rPr>
          <w:szCs w:val="24"/>
        </w:rPr>
        <w:t>pour</w:t>
      </w:r>
      <w:r w:rsidR="003A6B8B" w:rsidRPr="00FE4453">
        <w:rPr>
          <w:szCs w:val="24"/>
        </w:rPr>
        <w:t xml:space="preserve"> la cour que le délai ne commence à courir qu’à partir du moment où l’intéressé a une connaissance effective et suffisante de la décision interne définitive. En l’absence de recours internes efficaces et suffisant le délai court dès que l’acte ou la décision qui font grief ont pris effet. La règle des </w:t>
      </w:r>
      <w:r w:rsidR="00F03FC0">
        <w:rPr>
          <w:szCs w:val="24"/>
        </w:rPr>
        <w:t>quatre</w:t>
      </w:r>
      <w:r w:rsidR="003A6B8B" w:rsidRPr="00FE4453">
        <w:rPr>
          <w:szCs w:val="24"/>
        </w:rPr>
        <w:t xml:space="preserve"> mois ne trouve pas à s’appliquer lorsque le grief porte sur une situation continue contre laquelle il n’existe aucun recours tant que cette situation perdure</w:t>
      </w:r>
      <w:r w:rsidR="00A03564">
        <w:rPr>
          <w:szCs w:val="24"/>
        </w:rPr>
        <w:t xml:space="preserve">. </w:t>
      </w:r>
      <w:r w:rsidR="009E321B">
        <w:rPr>
          <w:szCs w:val="24"/>
        </w:rPr>
        <w:t>I</w:t>
      </w:r>
      <w:r w:rsidR="00A03564">
        <w:rPr>
          <w:szCs w:val="24"/>
        </w:rPr>
        <w:t xml:space="preserve">l en va de même </w:t>
      </w:r>
      <w:r w:rsidR="003A6B8B" w:rsidRPr="00FE4453">
        <w:rPr>
          <w:szCs w:val="24"/>
        </w:rPr>
        <w:t>lorsque les requérants sont des victimes potentielles susceptibles de subir les effets d’une disposition de droit interne qui leur est applicable.</w:t>
      </w:r>
    </w:p>
    <w:p w14:paraId="724B62E6" w14:textId="77777777" w:rsidR="002B225D" w:rsidRPr="00FE4453" w:rsidRDefault="002B225D" w:rsidP="000061B5">
      <w:pPr>
        <w:pStyle w:val="Retraitcorpsdetexte2"/>
        <w:jc w:val="both"/>
        <w:rPr>
          <w:b/>
          <w:szCs w:val="24"/>
        </w:rPr>
      </w:pPr>
    </w:p>
    <w:p w14:paraId="724B62E7" w14:textId="7BAD4322" w:rsidR="00D82FD8" w:rsidRPr="00FE4453" w:rsidRDefault="009B360E" w:rsidP="000061B5">
      <w:pPr>
        <w:pStyle w:val="Retraitcorpsdetexte2"/>
        <w:jc w:val="both"/>
        <w:rPr>
          <w:b/>
          <w:szCs w:val="24"/>
        </w:rPr>
      </w:pPr>
      <w:r w:rsidRPr="00FE4453">
        <w:rPr>
          <w:b/>
          <w:szCs w:val="24"/>
        </w:rPr>
        <w:t>b.</w:t>
      </w:r>
      <w:r w:rsidR="00C1523D" w:rsidRPr="00FE4453">
        <w:rPr>
          <w:b/>
          <w:szCs w:val="24"/>
        </w:rPr>
        <w:t xml:space="preserve"> </w:t>
      </w:r>
      <w:r w:rsidR="009E321B">
        <w:rPr>
          <w:b/>
          <w:szCs w:val="24"/>
        </w:rPr>
        <w:t>L</w:t>
      </w:r>
      <w:r w:rsidR="00D82FD8" w:rsidRPr="00FE4453">
        <w:rPr>
          <w:b/>
          <w:szCs w:val="24"/>
        </w:rPr>
        <w:t>'épuisement des voies de recours interne</w:t>
      </w:r>
    </w:p>
    <w:p w14:paraId="724B62E8" w14:textId="1A005ED2" w:rsidR="00C1523D" w:rsidRPr="00FE4453" w:rsidRDefault="00D82FD8" w:rsidP="000061B5">
      <w:pPr>
        <w:pStyle w:val="Retraitcorpsdetexte2"/>
        <w:jc w:val="both"/>
        <w:rPr>
          <w:szCs w:val="24"/>
        </w:rPr>
      </w:pPr>
      <w:r w:rsidRPr="00FE4453">
        <w:rPr>
          <w:szCs w:val="24"/>
        </w:rPr>
        <w:t xml:space="preserve">Cette exigence vise à ménager la souveraineté et la susceptibilité des Etats en leur permettant de remédier par leurs propres ressources juridiques aux situations attentatoires aux droits de l'homme. Toutefois l'exigence fait elle aussi l'objet d'une interprétation de la cour : ne doivent être épuisés que les recours utiles, efficace et adéquat. Ainsi une voie de recours dont on sait par avance </w:t>
      </w:r>
      <w:r w:rsidR="000744AB" w:rsidRPr="00FE4453">
        <w:rPr>
          <w:szCs w:val="24"/>
        </w:rPr>
        <w:t xml:space="preserve">au regard d’une jurisprudence constante </w:t>
      </w:r>
      <w:r w:rsidRPr="00FE4453">
        <w:rPr>
          <w:szCs w:val="24"/>
        </w:rPr>
        <w:t>qu'elle n'aboutira n'a pas besoin d'être épuisée. Le caractère efficace d'une voie de recours peut évoluer dans le temps</w:t>
      </w:r>
      <w:r w:rsidR="00FA324D">
        <w:rPr>
          <w:szCs w:val="24"/>
        </w:rPr>
        <w:t>.</w:t>
      </w:r>
      <w:r w:rsidRPr="00FE4453">
        <w:rPr>
          <w:szCs w:val="24"/>
        </w:rPr>
        <w:t> </w:t>
      </w:r>
    </w:p>
    <w:p w14:paraId="724B62E9" w14:textId="3941E03B" w:rsidR="000744AB" w:rsidRDefault="00E7171F" w:rsidP="000061B5">
      <w:pPr>
        <w:pStyle w:val="Retraitcorpsdetexte2"/>
        <w:jc w:val="both"/>
        <w:rPr>
          <w:szCs w:val="24"/>
        </w:rPr>
      </w:pPr>
      <w:r w:rsidRPr="00FE4453">
        <w:rPr>
          <w:szCs w:val="24"/>
        </w:rPr>
        <w:t>La condition d'épuisement des voies de recours interne impose au requérant de soumettre en substance aux autorités nationales le grief qu'il fait valoir devant les organes de contrôle de Strasbourg afin de respecter le principe de subsidiarité, il ne faut en effet pas oublier que le juge national est le juge de droit commun de la convention.</w:t>
      </w:r>
    </w:p>
    <w:p w14:paraId="62CDEEEB" w14:textId="77777777" w:rsidR="00C20625" w:rsidRPr="00FE4453" w:rsidRDefault="00C20625" w:rsidP="000061B5">
      <w:pPr>
        <w:pStyle w:val="Retraitcorpsdetexte2"/>
        <w:jc w:val="both"/>
        <w:rPr>
          <w:szCs w:val="24"/>
        </w:rPr>
      </w:pPr>
    </w:p>
    <w:p w14:paraId="724B62EA" w14:textId="32181D0C" w:rsidR="00031313" w:rsidRPr="00FE4453" w:rsidRDefault="009B360E" w:rsidP="000061B5">
      <w:pPr>
        <w:pStyle w:val="Retraitcorpsdetexte2"/>
        <w:jc w:val="both"/>
        <w:rPr>
          <w:b/>
          <w:szCs w:val="24"/>
        </w:rPr>
      </w:pPr>
      <w:r w:rsidRPr="00FE4453">
        <w:rPr>
          <w:b/>
          <w:szCs w:val="24"/>
        </w:rPr>
        <w:t xml:space="preserve">c. </w:t>
      </w:r>
      <w:r w:rsidR="009E321B">
        <w:rPr>
          <w:b/>
          <w:szCs w:val="24"/>
        </w:rPr>
        <w:t>Le</w:t>
      </w:r>
      <w:r w:rsidR="00C1523D" w:rsidRPr="00FE4453">
        <w:rPr>
          <w:b/>
          <w:szCs w:val="24"/>
        </w:rPr>
        <w:t xml:space="preserve"> </w:t>
      </w:r>
      <w:r w:rsidR="00C20625" w:rsidRPr="00FE4453">
        <w:rPr>
          <w:b/>
          <w:szCs w:val="24"/>
        </w:rPr>
        <w:t>bien-fondé</w:t>
      </w:r>
      <w:r w:rsidR="00C1523D" w:rsidRPr="00FE4453">
        <w:rPr>
          <w:b/>
          <w:szCs w:val="24"/>
        </w:rPr>
        <w:t xml:space="preserve"> de la </w:t>
      </w:r>
      <w:r w:rsidRPr="00FE4453">
        <w:rPr>
          <w:b/>
          <w:szCs w:val="24"/>
        </w:rPr>
        <w:t>requête</w:t>
      </w:r>
    </w:p>
    <w:p w14:paraId="74FFAE92" w14:textId="22DC6B4D" w:rsidR="00C20625" w:rsidRDefault="00C1523D" w:rsidP="000061B5">
      <w:pPr>
        <w:pStyle w:val="Retraitcorpsdetexte2"/>
        <w:jc w:val="both"/>
        <w:rPr>
          <w:szCs w:val="24"/>
        </w:rPr>
      </w:pPr>
      <w:r w:rsidRPr="00FE4453">
        <w:rPr>
          <w:szCs w:val="24"/>
        </w:rPr>
        <w:t>Pour être recevable la requête individuelle doit satisfaire à des conditions négatives contenues dans l'article 35</w:t>
      </w:r>
      <w:r w:rsidR="00DE592D">
        <w:rPr>
          <w:szCs w:val="24"/>
        </w:rPr>
        <w:t>§</w:t>
      </w:r>
      <w:r w:rsidRPr="00FE4453">
        <w:rPr>
          <w:szCs w:val="24"/>
        </w:rPr>
        <w:t xml:space="preserve">3 à savoir qu'elle ne doit être ni manifestement mal fondée si abusive. </w:t>
      </w:r>
      <w:r w:rsidR="00C20625" w:rsidRPr="00FE4453">
        <w:rPr>
          <w:szCs w:val="24"/>
        </w:rPr>
        <w:t xml:space="preserve">Serait manifestement mal fondée la requête qui ne contient aucun commencement de preuve à l'appui des faits allégués ou si ces faits ne révélaient même pas une apparence de violation de la CEDH. </w:t>
      </w:r>
    </w:p>
    <w:p w14:paraId="724B62EB" w14:textId="2197F59A" w:rsidR="00046C32" w:rsidRPr="00FE4453" w:rsidRDefault="00C20625" w:rsidP="000061B5">
      <w:pPr>
        <w:pStyle w:val="Retraitcorpsdetexte2"/>
        <w:jc w:val="both"/>
        <w:rPr>
          <w:szCs w:val="24"/>
        </w:rPr>
      </w:pPr>
      <w:r>
        <w:rPr>
          <w:szCs w:val="24"/>
        </w:rPr>
        <w:t>L</w:t>
      </w:r>
      <w:r w:rsidR="003808B2" w:rsidRPr="00FE4453">
        <w:rPr>
          <w:szCs w:val="24"/>
        </w:rPr>
        <w:t xml:space="preserve">e critère du défaut manifeste de fondement consiste finalement à un examen préliminaire du </w:t>
      </w:r>
      <w:r w:rsidRPr="00FE4453">
        <w:rPr>
          <w:szCs w:val="24"/>
        </w:rPr>
        <w:t>bien-</w:t>
      </w:r>
      <w:r>
        <w:rPr>
          <w:szCs w:val="24"/>
        </w:rPr>
        <w:t xml:space="preserve">fondé </w:t>
      </w:r>
      <w:r w:rsidR="003808B2" w:rsidRPr="00FE4453">
        <w:rPr>
          <w:szCs w:val="24"/>
        </w:rPr>
        <w:t>de la requête individuelle</w:t>
      </w:r>
      <w:r w:rsidR="00046C32" w:rsidRPr="00FE4453">
        <w:rPr>
          <w:szCs w:val="24"/>
        </w:rPr>
        <w:t> ;</w:t>
      </w:r>
      <w:r w:rsidR="003808B2" w:rsidRPr="00FE4453">
        <w:rPr>
          <w:szCs w:val="24"/>
        </w:rPr>
        <w:t xml:space="preserve"> la chambre recherche si les faits allégués révèlent au premier abord une apparence de violation. </w:t>
      </w:r>
    </w:p>
    <w:p w14:paraId="259F5D53" w14:textId="77777777" w:rsidR="000468AA" w:rsidRDefault="00C1523D" w:rsidP="000061B5">
      <w:pPr>
        <w:pStyle w:val="Retraitcorpsdetexte2"/>
        <w:jc w:val="both"/>
        <w:rPr>
          <w:szCs w:val="24"/>
        </w:rPr>
      </w:pPr>
      <w:r w:rsidRPr="00FE4453">
        <w:rPr>
          <w:szCs w:val="24"/>
        </w:rPr>
        <w:t xml:space="preserve">Ainsi la notion de recevabilité devant la CEDH est plus large que dans notre procédure interne car elle déborde déjà sur l'examen au fond. </w:t>
      </w:r>
      <w:r w:rsidR="003808B2" w:rsidRPr="00FE4453">
        <w:rPr>
          <w:szCs w:val="24"/>
        </w:rPr>
        <w:t xml:space="preserve"> </w:t>
      </w:r>
    </w:p>
    <w:p w14:paraId="724B62EC" w14:textId="7311242B" w:rsidR="003808B2" w:rsidRPr="00FE4453" w:rsidRDefault="003808B2" w:rsidP="000061B5">
      <w:pPr>
        <w:pStyle w:val="Retraitcorpsdetexte2"/>
        <w:jc w:val="both"/>
        <w:rPr>
          <w:szCs w:val="24"/>
        </w:rPr>
      </w:pPr>
      <w:r w:rsidRPr="00FE4453">
        <w:rPr>
          <w:szCs w:val="24"/>
        </w:rPr>
        <w:t xml:space="preserve">La cour </w:t>
      </w:r>
      <w:r w:rsidR="006F4C32">
        <w:rPr>
          <w:szCs w:val="24"/>
        </w:rPr>
        <w:t>déclare</w:t>
      </w:r>
      <w:r w:rsidRPr="00FE4453">
        <w:rPr>
          <w:szCs w:val="24"/>
        </w:rPr>
        <w:t xml:space="preserve"> </w:t>
      </w:r>
      <w:r w:rsidR="000468AA">
        <w:rPr>
          <w:szCs w:val="24"/>
        </w:rPr>
        <w:t>la requête</w:t>
      </w:r>
      <w:r w:rsidR="006F4C32">
        <w:rPr>
          <w:szCs w:val="24"/>
        </w:rPr>
        <w:t xml:space="preserve"> manifestement mal fondée</w:t>
      </w:r>
      <w:r w:rsidR="000468AA">
        <w:rPr>
          <w:szCs w:val="24"/>
        </w:rPr>
        <w:t xml:space="preserve"> </w:t>
      </w:r>
      <w:r w:rsidRPr="00FE4453">
        <w:rPr>
          <w:szCs w:val="24"/>
        </w:rPr>
        <w:t xml:space="preserve">en cas d’absence </w:t>
      </w:r>
      <w:r w:rsidR="004C2FB9" w:rsidRPr="00FE4453">
        <w:rPr>
          <w:szCs w:val="24"/>
        </w:rPr>
        <w:t>d</w:t>
      </w:r>
      <w:r w:rsidRPr="00FE4453">
        <w:rPr>
          <w:szCs w:val="24"/>
        </w:rPr>
        <w:t xml:space="preserve">e commencement de preuve à l’appui des faits invoqués, d’absence évidente de violation de la convention d’après les faits allégués </w:t>
      </w:r>
      <w:r w:rsidR="00487D3D" w:rsidRPr="00FE4453">
        <w:rPr>
          <w:szCs w:val="24"/>
        </w:rPr>
        <w:t xml:space="preserve">Cette condition </w:t>
      </w:r>
      <w:r w:rsidR="003862EA" w:rsidRPr="00FE4453">
        <w:rPr>
          <w:szCs w:val="24"/>
        </w:rPr>
        <w:t>de recevabilité peut être comprise comme une règle d’économie de procédure : plutôt que d’admettre la recev</w:t>
      </w:r>
      <w:r w:rsidR="00862842" w:rsidRPr="00FE4453">
        <w:rPr>
          <w:szCs w:val="24"/>
        </w:rPr>
        <w:t>a</w:t>
      </w:r>
      <w:r w:rsidR="003862EA" w:rsidRPr="00FE4453">
        <w:rPr>
          <w:szCs w:val="24"/>
        </w:rPr>
        <w:t>bilité de la requête toute en sachant qu’elle conc</w:t>
      </w:r>
      <w:r w:rsidR="00862842" w:rsidRPr="00FE4453">
        <w:rPr>
          <w:szCs w:val="24"/>
        </w:rPr>
        <w:t>l</w:t>
      </w:r>
      <w:r w:rsidR="003862EA" w:rsidRPr="00FE4453">
        <w:rPr>
          <w:szCs w:val="24"/>
        </w:rPr>
        <w:t xml:space="preserve">ura ultérieurement à une </w:t>
      </w:r>
      <w:r w:rsidR="000468AA" w:rsidRPr="00FE4453">
        <w:rPr>
          <w:szCs w:val="24"/>
        </w:rPr>
        <w:t>non-violation</w:t>
      </w:r>
      <w:r w:rsidR="003862EA" w:rsidRPr="00FE4453">
        <w:rPr>
          <w:szCs w:val="24"/>
        </w:rPr>
        <w:t xml:space="preserve"> au fond la cour préfère interrompre son analyse</w:t>
      </w:r>
      <w:r w:rsidR="00862842" w:rsidRPr="00FE4453">
        <w:rPr>
          <w:szCs w:val="24"/>
        </w:rPr>
        <w:t xml:space="preserve"> </w:t>
      </w:r>
      <w:r w:rsidR="00432C31" w:rsidRPr="00FE4453">
        <w:rPr>
          <w:szCs w:val="24"/>
        </w:rPr>
        <w:t>dès le stade de la recevabilité en jugeant en jugeant la requête manifestement mal fondé.</w:t>
      </w:r>
    </w:p>
    <w:p w14:paraId="724B62ED" w14:textId="77777777" w:rsidR="00F75101" w:rsidRPr="00FE4453" w:rsidRDefault="00F75101" w:rsidP="000061B5">
      <w:pPr>
        <w:pStyle w:val="Retraitcorpsdetexte2"/>
        <w:jc w:val="both"/>
        <w:rPr>
          <w:szCs w:val="24"/>
        </w:rPr>
      </w:pPr>
    </w:p>
    <w:p w14:paraId="724B62EE" w14:textId="77777777" w:rsidR="00F75101" w:rsidRPr="00FE4453" w:rsidRDefault="00F75101" w:rsidP="000061B5">
      <w:pPr>
        <w:pStyle w:val="Retraitcorpsdetexte2"/>
        <w:jc w:val="both"/>
        <w:rPr>
          <w:b/>
          <w:bCs/>
          <w:szCs w:val="24"/>
        </w:rPr>
      </w:pPr>
      <w:bookmarkStart w:id="12" w:name="_Hlk50366003"/>
      <w:r w:rsidRPr="00FE4453">
        <w:rPr>
          <w:b/>
          <w:bCs/>
          <w:szCs w:val="24"/>
        </w:rPr>
        <w:t>d. La requête ne doit pas être abusive</w:t>
      </w:r>
    </w:p>
    <w:bookmarkEnd w:id="12"/>
    <w:p w14:paraId="724B62EF" w14:textId="6801EED3" w:rsidR="009B360E" w:rsidRPr="00FE4453" w:rsidRDefault="00C1523D" w:rsidP="000061B5">
      <w:pPr>
        <w:pStyle w:val="Retraitcorpsdetexte2"/>
        <w:jc w:val="both"/>
        <w:rPr>
          <w:szCs w:val="24"/>
        </w:rPr>
      </w:pPr>
      <w:r w:rsidRPr="00FE4453">
        <w:rPr>
          <w:szCs w:val="24"/>
        </w:rPr>
        <w:t xml:space="preserve">La notion de requête abusive </w:t>
      </w:r>
      <w:r w:rsidR="003808B2" w:rsidRPr="00FE4453">
        <w:rPr>
          <w:szCs w:val="24"/>
        </w:rPr>
        <w:t xml:space="preserve">est celle qui poursuit un but autre que celui de la convention ; ce critère </w:t>
      </w:r>
      <w:r w:rsidRPr="00FE4453">
        <w:rPr>
          <w:szCs w:val="24"/>
        </w:rPr>
        <w:t xml:space="preserve">permet d'écarter les requêtes fantaisistes ou provocatrices comme par exemple celle de l'automobiliste qui estimait contraire à la prohibition des traitements inhumains et dégradants contenue dans l'article </w:t>
      </w:r>
      <w:smartTag w:uri="urn:schemas-microsoft-com:office:smarttags" w:element="metricconverter">
        <w:smartTagPr>
          <w:attr w:name="ProductID" w:val="3 l"/>
        </w:smartTagPr>
        <w:r w:rsidRPr="00FE4453">
          <w:rPr>
            <w:szCs w:val="24"/>
          </w:rPr>
          <w:t>3 l</w:t>
        </w:r>
      </w:smartTag>
      <w:r w:rsidRPr="00FE4453">
        <w:rPr>
          <w:szCs w:val="24"/>
        </w:rPr>
        <w:t xml:space="preserve">'obligation pour les </w:t>
      </w:r>
      <w:r w:rsidR="0063086E" w:rsidRPr="00FE4453">
        <w:rPr>
          <w:szCs w:val="24"/>
        </w:rPr>
        <w:t>êtres</w:t>
      </w:r>
      <w:r w:rsidRPr="00FE4453">
        <w:rPr>
          <w:szCs w:val="24"/>
        </w:rPr>
        <w:t xml:space="preserve"> humains d'obéir aveuglement à des choses inanimées que sont les feux de signalisation tricolore !</w:t>
      </w:r>
    </w:p>
    <w:p w14:paraId="724B62F0" w14:textId="621F16FF" w:rsidR="009E321B" w:rsidRDefault="009E321B">
      <w:r>
        <w:br w:type="page"/>
      </w:r>
    </w:p>
    <w:p w14:paraId="724B62F4" w14:textId="3091E9BA" w:rsidR="00A068F0" w:rsidRPr="00FE4453" w:rsidRDefault="00A068F0" w:rsidP="000061B5">
      <w:pPr>
        <w:pBdr>
          <w:top w:val="single" w:sz="4" w:space="1" w:color="auto"/>
          <w:left w:val="single" w:sz="4" w:space="4" w:color="auto"/>
          <w:bottom w:val="single" w:sz="4" w:space="1" w:color="auto"/>
          <w:right w:val="single" w:sz="4" w:space="4" w:color="auto"/>
        </w:pBdr>
        <w:jc w:val="both"/>
      </w:pPr>
      <w:bookmarkStart w:id="13" w:name="To"/>
      <w:r w:rsidRPr="00DE592D">
        <w:rPr>
          <w:b/>
          <w:highlight w:val="yellow"/>
        </w:rPr>
        <w:lastRenderedPageBreak/>
        <w:t xml:space="preserve">AFFAIRE </w:t>
      </w:r>
      <w:bookmarkStart w:id="14" w:name="_Hlk50366053"/>
      <w:bookmarkEnd w:id="13"/>
      <w:r w:rsidRPr="00DE592D">
        <w:rPr>
          <w:b/>
          <w:highlight w:val="yellow"/>
        </w:rPr>
        <w:t xml:space="preserve">GROSS c. SUISSE </w:t>
      </w:r>
      <w:r w:rsidRPr="00DE592D">
        <w:rPr>
          <w:i/>
          <w:highlight w:val="yellow"/>
        </w:rPr>
        <w:t>(Requête n</w:t>
      </w:r>
      <w:r w:rsidRPr="00DE592D">
        <w:rPr>
          <w:i/>
          <w:highlight w:val="yellow"/>
          <w:vertAlign w:val="superscript"/>
        </w:rPr>
        <w:t>o</w:t>
      </w:r>
      <w:r w:rsidRPr="00DE592D">
        <w:rPr>
          <w:i/>
          <w:highlight w:val="yellow"/>
        </w:rPr>
        <w:t xml:space="preserve"> 67810/10) </w:t>
      </w:r>
      <w:r w:rsidRPr="00DE592D">
        <w:rPr>
          <w:highlight w:val="yellow"/>
        </w:rPr>
        <w:t>30 septembre 2014</w:t>
      </w:r>
      <w:bookmarkEnd w:id="14"/>
    </w:p>
    <w:p w14:paraId="5A82F997" w14:textId="6DAE014D" w:rsidR="009E321B" w:rsidRDefault="00A068F0" w:rsidP="000061B5">
      <w:pPr>
        <w:pStyle w:val="JuPara"/>
        <w:pBdr>
          <w:top w:val="single" w:sz="4" w:space="1" w:color="auto"/>
          <w:left w:val="single" w:sz="4" w:space="4" w:color="auto"/>
          <w:bottom w:val="single" w:sz="4" w:space="1" w:color="auto"/>
          <w:right w:val="single" w:sz="4" w:space="4" w:color="auto"/>
        </w:pBdr>
        <w:rPr>
          <w:szCs w:val="24"/>
        </w:rPr>
      </w:pPr>
      <w:r w:rsidRPr="00FE4453">
        <w:rPr>
          <w:szCs w:val="24"/>
        </w:rPr>
        <w:fldChar w:fldCharType="begin"/>
      </w:r>
      <w:r w:rsidRPr="00FE4453">
        <w:rPr>
          <w:szCs w:val="24"/>
        </w:rPr>
        <w:instrText xml:space="preserve"> SEQ "level0" \*Arabic </w:instrText>
      </w:r>
      <w:r w:rsidRPr="00FE4453">
        <w:rPr>
          <w:szCs w:val="24"/>
        </w:rPr>
        <w:fldChar w:fldCharType="separate"/>
      </w:r>
      <w:r w:rsidRPr="00FE4453">
        <w:rPr>
          <w:noProof/>
          <w:szCs w:val="24"/>
        </w:rPr>
        <w:t>1</w:t>
      </w:r>
      <w:r w:rsidRPr="00FE4453">
        <w:rPr>
          <w:szCs w:val="24"/>
        </w:rPr>
        <w:fldChar w:fldCharType="end"/>
      </w:r>
      <w:r w:rsidRPr="00FE4453">
        <w:rPr>
          <w:szCs w:val="24"/>
        </w:rPr>
        <w:t>.  La Cour rappelle qu’en vertu de cette disposition une requête peut être déclarée abusive notamment si elle se fonde délibérément sur des faits controuvés. Une information incomplète et donc trompeuse peut également s’analyser en un abus du droit de recours individuel, particulièrement lorsqu’elle concerne le cœur de l’affaire et que le requérant n’explique pas de façon suffisante pourquoi il n’a pas divulgué les informations pertinentes</w:t>
      </w:r>
      <w:r w:rsidR="009E321B">
        <w:rPr>
          <w:szCs w:val="24"/>
        </w:rPr>
        <w:t>.</w:t>
      </w:r>
    </w:p>
    <w:p w14:paraId="724B62F5" w14:textId="1D90E3E1" w:rsidR="00A068F0" w:rsidRPr="00FE4453" w:rsidRDefault="00A068F0" w:rsidP="000061B5">
      <w:pPr>
        <w:pStyle w:val="JuPara"/>
        <w:pBdr>
          <w:top w:val="single" w:sz="4" w:space="1" w:color="auto"/>
          <w:left w:val="single" w:sz="4" w:space="4" w:color="auto"/>
          <w:bottom w:val="single" w:sz="4" w:space="1" w:color="auto"/>
          <w:right w:val="single" w:sz="4" w:space="4" w:color="auto"/>
        </w:pBdr>
        <w:rPr>
          <w:szCs w:val="24"/>
        </w:rPr>
      </w:pPr>
      <w:r w:rsidRPr="00FE4453">
        <w:rPr>
          <w:szCs w:val="24"/>
        </w:rPr>
        <w:fldChar w:fldCharType="begin"/>
      </w:r>
      <w:r w:rsidRPr="00FE4453">
        <w:rPr>
          <w:szCs w:val="24"/>
        </w:rPr>
        <w:instrText xml:space="preserve"> SEQ "level0" \*Arabic </w:instrText>
      </w:r>
      <w:r w:rsidRPr="00FE4453">
        <w:rPr>
          <w:szCs w:val="24"/>
        </w:rPr>
        <w:fldChar w:fldCharType="separate"/>
      </w:r>
      <w:r w:rsidRPr="00FE4453">
        <w:rPr>
          <w:noProof/>
          <w:szCs w:val="24"/>
        </w:rPr>
        <w:t>2</w:t>
      </w:r>
      <w:r w:rsidRPr="00FE4453">
        <w:rPr>
          <w:szCs w:val="24"/>
        </w:rPr>
        <w:fldChar w:fldCharType="end"/>
      </w:r>
      <w:r w:rsidRPr="00FE4453">
        <w:rPr>
          <w:szCs w:val="24"/>
        </w:rPr>
        <w:t xml:space="preserve">.  En l’espèce, la Cour relève d’emblée que, dans la requête introduite par elle le 10 novembre 2010, la requérante alléguait, sous l’angle de l’article 8 de la Convention, qu’en la privant de la possibilité d’obtenir une dose létale de pentobarbital de sodium les autorités suisses lui avaient dénié le droit de choisir quand et comment mourir. Elle constate en outre que la requête a été communiquée au gouvernement défendeur le 5 janvier 2012 et que la chambre a rendu le 14 mai 2013 un arrêt – fondé sur l’hypothèse que la requérante était toujours en vie – qui concluait (par quatre voix contre trois) à la violation de l’article 8 de la Convention (paragraphes 65-67 de l’arrêt de chambre).  Il est toutefois apparu par la suite que dans l’intervalle, le 24 octobre 2011, la requérante avait réussi à se faire prescrire par un médecin une dose létale de pentobarbital de sodium et que le 10 novembre 2011 elle avait mis fin à ses </w:t>
      </w:r>
      <w:r w:rsidR="0063086E" w:rsidRPr="00FE4453">
        <w:rPr>
          <w:szCs w:val="24"/>
        </w:rPr>
        <w:t>jours ingérant</w:t>
      </w:r>
      <w:r w:rsidRPr="00FE4453">
        <w:rPr>
          <w:szCs w:val="24"/>
        </w:rPr>
        <w:t xml:space="preserve"> ladite substance.</w:t>
      </w:r>
    </w:p>
    <w:p w14:paraId="724B62F6" w14:textId="23D80F8A" w:rsidR="00A068F0" w:rsidRPr="00FE4453" w:rsidRDefault="00A068F0" w:rsidP="000061B5">
      <w:pPr>
        <w:pStyle w:val="JuPara"/>
        <w:pBdr>
          <w:top w:val="single" w:sz="4" w:space="1" w:color="auto"/>
          <w:left w:val="single" w:sz="4" w:space="4" w:color="auto"/>
          <w:bottom w:val="single" w:sz="4" w:space="1" w:color="auto"/>
          <w:right w:val="single" w:sz="4" w:space="4" w:color="auto"/>
        </w:pBdr>
        <w:rPr>
          <w:szCs w:val="24"/>
        </w:rPr>
      </w:pPr>
      <w:r w:rsidRPr="00FE4453">
        <w:rPr>
          <w:szCs w:val="24"/>
        </w:rPr>
        <w:fldChar w:fldCharType="begin"/>
      </w:r>
      <w:r w:rsidRPr="00FE4453">
        <w:rPr>
          <w:szCs w:val="24"/>
        </w:rPr>
        <w:instrText xml:space="preserve"> SEQ "level0" \*Arabic </w:instrText>
      </w:r>
      <w:r w:rsidRPr="00FE4453">
        <w:rPr>
          <w:szCs w:val="24"/>
        </w:rPr>
        <w:fldChar w:fldCharType="separate"/>
      </w:r>
      <w:r w:rsidRPr="00FE4453">
        <w:rPr>
          <w:noProof/>
          <w:szCs w:val="24"/>
        </w:rPr>
        <w:t>4</w:t>
      </w:r>
      <w:r w:rsidRPr="00FE4453">
        <w:rPr>
          <w:szCs w:val="24"/>
        </w:rPr>
        <w:fldChar w:fldCharType="end"/>
      </w:r>
      <w:r w:rsidRPr="00FE4453">
        <w:rPr>
          <w:szCs w:val="24"/>
        </w:rPr>
        <w:t>.  Ces faits ont été portés à la connaissance de la Cour non pas par la requérante ou son avocat</w:t>
      </w:r>
      <w:r w:rsidR="00A05BAD">
        <w:rPr>
          <w:szCs w:val="24"/>
        </w:rPr>
        <w:t>,</w:t>
      </w:r>
      <w:r w:rsidRPr="00FE4453">
        <w:rPr>
          <w:szCs w:val="24"/>
        </w:rPr>
        <w:t xml:space="preserve"> mais par le Gouvernement, dans son mémoire du 7 janvier 2014, après le renvoi de l’affaire devant la Grande Chambre au titre de l’article 43 de la Convention. En élaborant son mémoire, le Gouvernement s’est enquis de la situation de la requérante et a été informé de son décès et des circonstances de celui-ci.</w:t>
      </w:r>
    </w:p>
    <w:p w14:paraId="724B62F7" w14:textId="77777777" w:rsidR="00A068F0" w:rsidRPr="00FE4453" w:rsidRDefault="00A068F0" w:rsidP="000061B5">
      <w:pPr>
        <w:pStyle w:val="JuPara"/>
        <w:pBdr>
          <w:top w:val="single" w:sz="4" w:space="1" w:color="auto"/>
          <w:left w:val="single" w:sz="4" w:space="4" w:color="auto"/>
          <w:bottom w:val="single" w:sz="4" w:space="1" w:color="auto"/>
          <w:right w:val="single" w:sz="4" w:space="4" w:color="auto"/>
        </w:pBdr>
        <w:rPr>
          <w:szCs w:val="24"/>
        </w:rPr>
      </w:pPr>
      <w:r w:rsidRPr="00FE4453">
        <w:rPr>
          <w:szCs w:val="24"/>
        </w:rPr>
        <w:fldChar w:fldCharType="begin"/>
      </w:r>
      <w:r w:rsidRPr="00FE4453">
        <w:rPr>
          <w:szCs w:val="24"/>
        </w:rPr>
        <w:instrText xml:space="preserve"> SEQ "level0" \*Arabic </w:instrText>
      </w:r>
      <w:r w:rsidRPr="00FE4453">
        <w:rPr>
          <w:szCs w:val="24"/>
        </w:rPr>
        <w:fldChar w:fldCharType="separate"/>
      </w:r>
      <w:r w:rsidRPr="00FE4453">
        <w:rPr>
          <w:noProof/>
          <w:szCs w:val="24"/>
        </w:rPr>
        <w:t>5</w:t>
      </w:r>
      <w:r w:rsidRPr="00FE4453">
        <w:rPr>
          <w:szCs w:val="24"/>
        </w:rPr>
        <w:fldChar w:fldCharType="end"/>
      </w:r>
      <w:r w:rsidRPr="00FE4453">
        <w:rPr>
          <w:szCs w:val="24"/>
        </w:rPr>
        <w:t>.  Il ressort des explications données par l’avocat de la requérante que non seulement celle-ci avait omis de l’informer lui-même, et par implication la Cour, du fait qu’elle avait obtenu la prescription médicale requise, mais qu’elle avait également pris des précautions spécifiques pour éviter que la nouvelle de son décès ne fût révélée à son avocat, et en définitive à la Cour, afin d’empêcher cette dernière de mettre fin à la procédure dans son affaire.</w:t>
      </w:r>
    </w:p>
    <w:p w14:paraId="39915003" w14:textId="17B02B17" w:rsidR="009E321B" w:rsidRDefault="00A068F0" w:rsidP="000061B5">
      <w:pPr>
        <w:pStyle w:val="JuPara"/>
        <w:pBdr>
          <w:top w:val="single" w:sz="4" w:space="1" w:color="auto"/>
          <w:left w:val="single" w:sz="4" w:space="4" w:color="auto"/>
          <w:bottom w:val="single" w:sz="4" w:space="1" w:color="auto"/>
          <w:right w:val="single" w:sz="4" w:space="4" w:color="auto"/>
        </w:pBdr>
        <w:rPr>
          <w:szCs w:val="24"/>
        </w:rPr>
      </w:pPr>
      <w:r w:rsidRPr="00FE4453">
        <w:rPr>
          <w:szCs w:val="24"/>
        </w:rPr>
        <w:fldChar w:fldCharType="begin"/>
      </w:r>
      <w:r w:rsidRPr="00FE4453">
        <w:rPr>
          <w:szCs w:val="24"/>
        </w:rPr>
        <w:instrText xml:space="preserve"> SEQ "level0" \*Arabic </w:instrText>
      </w:r>
      <w:r w:rsidRPr="00FE4453">
        <w:rPr>
          <w:szCs w:val="24"/>
        </w:rPr>
        <w:fldChar w:fldCharType="separate"/>
      </w:r>
      <w:r w:rsidRPr="00FE4453">
        <w:rPr>
          <w:noProof/>
          <w:szCs w:val="24"/>
        </w:rPr>
        <w:t>6</w:t>
      </w:r>
      <w:r w:rsidRPr="00FE4453">
        <w:rPr>
          <w:szCs w:val="24"/>
        </w:rPr>
        <w:fldChar w:fldCharType="end"/>
      </w:r>
      <w:r w:rsidRPr="00FE4453">
        <w:rPr>
          <w:szCs w:val="24"/>
        </w:rPr>
        <w:t>.  A la lumière de ce qui précède, la Grande Chambre estime que le décès de la requérante et les circonstances qui l’ont entouré touchent en réalité au cœur même de la question sous-jacente au grief présenté par l’intéressée au titre de la Convention. Il est également concevable que ces faits, s’ils avaient été connus de la chambre, auraient pu exercer une influence décisive sur son arrêt du 14 mai 2013 concluant à la violation de l’article 8 de la Conventio</w:t>
      </w:r>
      <w:r w:rsidR="009E321B">
        <w:rPr>
          <w:szCs w:val="24"/>
        </w:rPr>
        <w:t>n.</w:t>
      </w:r>
    </w:p>
    <w:p w14:paraId="724B62F9" w14:textId="29F1BAA0" w:rsidR="00A068F0" w:rsidRPr="00FE4453" w:rsidRDefault="00A068F0" w:rsidP="009E321B">
      <w:pPr>
        <w:pStyle w:val="JuPara"/>
        <w:pBdr>
          <w:top w:val="single" w:sz="4" w:space="1" w:color="auto"/>
          <w:left w:val="single" w:sz="4" w:space="4" w:color="auto"/>
          <w:bottom w:val="single" w:sz="4" w:space="1" w:color="auto"/>
          <w:right w:val="single" w:sz="4" w:space="4" w:color="auto"/>
        </w:pBdr>
        <w:ind w:firstLine="0"/>
        <w:rPr>
          <w:szCs w:val="24"/>
        </w:rPr>
      </w:pPr>
      <w:proofErr w:type="gramStart"/>
      <w:r w:rsidRPr="00FE4453">
        <w:rPr>
          <w:szCs w:val="24"/>
        </w:rPr>
        <w:t>n</w:t>
      </w:r>
      <w:proofErr w:type="gramEnd"/>
      <w:r w:rsidRPr="00FE4453">
        <w:rPr>
          <w:szCs w:val="24"/>
        </w:rPr>
        <w:fldChar w:fldCharType="begin"/>
      </w:r>
      <w:r w:rsidRPr="00FE4453">
        <w:rPr>
          <w:szCs w:val="24"/>
        </w:rPr>
        <w:instrText xml:space="preserve"> SEQ "level0" \*Arabic </w:instrText>
      </w:r>
      <w:r w:rsidRPr="00FE4453">
        <w:rPr>
          <w:szCs w:val="24"/>
        </w:rPr>
        <w:fldChar w:fldCharType="separate"/>
      </w:r>
      <w:r w:rsidRPr="00FE4453">
        <w:rPr>
          <w:noProof/>
          <w:szCs w:val="24"/>
        </w:rPr>
        <w:t>7</w:t>
      </w:r>
      <w:r w:rsidRPr="00FE4453">
        <w:rPr>
          <w:szCs w:val="24"/>
        </w:rPr>
        <w:fldChar w:fldCharType="end"/>
      </w:r>
      <w:r w:rsidRPr="00FE4453">
        <w:rPr>
          <w:szCs w:val="24"/>
        </w:rPr>
        <w:t>.  M. F. aurait expliqué que la requérante s’était abstenue de divulguer les informations pertinentes au motif qu’elle considérait que, même si les griefs tenant à sa situation personnelle disparaissaient, la procédure dans son affaire devait continuer pour le bénéfice de toutes les personnes se trouvant dans une situation similaire à la sienne. Si pareille motivation peut se comprendre, du point de vue de la requérante, dans la situation exceptionnelle où celle-ci se trouvait, la Cour juge suffisamment établi qu’en omettant délibérément de révéler ces informations à son avocat la requérante entendait l’induire en erreur relativement à une question portant sur la substance même de son grief au regard de la Convention.</w:t>
      </w:r>
    </w:p>
    <w:p w14:paraId="724B62FB" w14:textId="68C0539E" w:rsidR="00A068F0" w:rsidRPr="00FE4453" w:rsidRDefault="00A068F0" w:rsidP="008152FC">
      <w:pPr>
        <w:pStyle w:val="JuPara"/>
        <w:pBdr>
          <w:top w:val="single" w:sz="4" w:space="1" w:color="auto"/>
          <w:left w:val="single" w:sz="4" w:space="4" w:color="auto"/>
          <w:bottom w:val="single" w:sz="4" w:space="1" w:color="auto"/>
          <w:right w:val="single" w:sz="4" w:space="4" w:color="auto"/>
        </w:pBdr>
        <w:rPr>
          <w:szCs w:val="24"/>
        </w:rPr>
      </w:pPr>
      <w:r w:rsidRPr="00FE4453">
        <w:rPr>
          <w:szCs w:val="24"/>
        </w:rPr>
        <w:fldChar w:fldCharType="begin"/>
      </w:r>
      <w:r w:rsidRPr="00FE4453">
        <w:rPr>
          <w:szCs w:val="24"/>
        </w:rPr>
        <w:instrText xml:space="preserve"> SEQ "level0" \*Arabic </w:instrText>
      </w:r>
      <w:r w:rsidRPr="00FE4453">
        <w:rPr>
          <w:szCs w:val="24"/>
        </w:rPr>
        <w:fldChar w:fldCharType="separate"/>
      </w:r>
      <w:r w:rsidRPr="00FE4453">
        <w:rPr>
          <w:noProof/>
          <w:szCs w:val="24"/>
        </w:rPr>
        <w:t>8</w:t>
      </w:r>
      <w:r w:rsidRPr="00FE4453">
        <w:rPr>
          <w:szCs w:val="24"/>
        </w:rPr>
        <w:fldChar w:fldCharType="end"/>
      </w:r>
      <w:r w:rsidRPr="00FE4453">
        <w:rPr>
          <w:szCs w:val="24"/>
        </w:rPr>
        <w:t>.  En conséquence, la Cour accueille l’exception préliminaire du Gouvernement selon laquelle le comportement de la requérante s’analyse en un abus du droit de recours individuel au sens de l’article 35 § 3 a) de la Convention.</w:t>
      </w:r>
      <w:r w:rsidR="008152FC">
        <w:rPr>
          <w:szCs w:val="24"/>
        </w:rPr>
        <w:t xml:space="preserve"> </w:t>
      </w:r>
    </w:p>
    <w:p w14:paraId="724B62FC" w14:textId="77777777" w:rsidR="00A068F0" w:rsidRPr="00FE4453" w:rsidRDefault="00A068F0" w:rsidP="000061B5">
      <w:pPr>
        <w:pStyle w:val="Retraitcorpsdetexte2"/>
        <w:jc w:val="both"/>
        <w:rPr>
          <w:szCs w:val="24"/>
        </w:rPr>
      </w:pPr>
    </w:p>
    <w:p w14:paraId="70C7BF9B" w14:textId="77777777" w:rsidR="00DE592D" w:rsidRPr="009E321B" w:rsidRDefault="00DE592D" w:rsidP="00DE592D">
      <w:pPr>
        <w:pStyle w:val="Retraitcorpsdetexte2"/>
        <w:jc w:val="both"/>
        <w:rPr>
          <w:szCs w:val="24"/>
          <w:highlight w:val="yellow"/>
        </w:rPr>
      </w:pPr>
      <w:r w:rsidRPr="009E321B">
        <w:rPr>
          <w:szCs w:val="24"/>
          <w:highlight w:val="yellow"/>
        </w:rPr>
        <w:t xml:space="preserve">Quelle </w:t>
      </w:r>
      <w:proofErr w:type="spellStart"/>
      <w:r>
        <w:rPr>
          <w:szCs w:val="24"/>
          <w:highlight w:val="yellow"/>
        </w:rPr>
        <w:t>défintion</w:t>
      </w:r>
      <w:proofErr w:type="spellEnd"/>
      <w:r w:rsidRPr="009E321B">
        <w:rPr>
          <w:szCs w:val="24"/>
          <w:highlight w:val="yellow"/>
        </w:rPr>
        <w:t xml:space="preserve"> de la notion de requête abusive est-elle mise en œuvre dans cet arrêt ?</w:t>
      </w:r>
    </w:p>
    <w:p w14:paraId="3A0E80E4" w14:textId="77777777" w:rsidR="00DE592D" w:rsidRPr="009E321B" w:rsidRDefault="00DE592D" w:rsidP="00DE592D">
      <w:pPr>
        <w:pStyle w:val="Retraitcorpsdetexte2"/>
        <w:jc w:val="both"/>
        <w:rPr>
          <w:szCs w:val="24"/>
          <w:highlight w:val="yellow"/>
        </w:rPr>
      </w:pPr>
      <w:r w:rsidRPr="009E321B">
        <w:rPr>
          <w:szCs w:val="24"/>
          <w:highlight w:val="yellow"/>
        </w:rPr>
        <w:t>Quelle est concrètement l’abus relevé en l’espèce ?</w:t>
      </w:r>
    </w:p>
    <w:p w14:paraId="59736DBD" w14:textId="77777777" w:rsidR="00DE592D" w:rsidRPr="00FE4453" w:rsidRDefault="00DE592D" w:rsidP="00DE592D">
      <w:pPr>
        <w:pStyle w:val="Retraitcorpsdetexte2"/>
        <w:jc w:val="both"/>
        <w:rPr>
          <w:szCs w:val="24"/>
        </w:rPr>
      </w:pPr>
      <w:r w:rsidRPr="009E321B">
        <w:rPr>
          <w:szCs w:val="24"/>
          <w:highlight w:val="yellow"/>
        </w:rPr>
        <w:t>Qu’en déduit la Cour européenne</w:t>
      </w:r>
    </w:p>
    <w:p w14:paraId="724B62FD" w14:textId="215A8094" w:rsidR="00091E53" w:rsidRPr="00FE4453" w:rsidRDefault="00091E53" w:rsidP="000061B5">
      <w:pPr>
        <w:pStyle w:val="Retraitcorpsdetexte2"/>
        <w:jc w:val="both"/>
        <w:rPr>
          <w:szCs w:val="24"/>
        </w:rPr>
      </w:pPr>
      <w:r w:rsidRPr="00FE4453">
        <w:rPr>
          <w:szCs w:val="24"/>
        </w:rPr>
        <w:lastRenderedPageBreak/>
        <w:t>Par ailleurs, la requête ne doit pas être redondante au sens où la cour peut écarter une requête lorsqu’elle est essentiellement la même qu’une requête précédemment examinée par la cour ou qu’une requête déjà soumise à une autre instance internationale d’</w:t>
      </w:r>
      <w:r w:rsidR="00A6526B" w:rsidRPr="00FE4453">
        <w:rPr>
          <w:szCs w:val="24"/>
        </w:rPr>
        <w:t>enquête</w:t>
      </w:r>
      <w:r w:rsidRPr="00FE4453">
        <w:rPr>
          <w:szCs w:val="24"/>
        </w:rPr>
        <w:t xml:space="preserve"> ou de </w:t>
      </w:r>
      <w:r w:rsidR="00A6526B" w:rsidRPr="00FE4453">
        <w:rPr>
          <w:szCs w:val="24"/>
        </w:rPr>
        <w:t>règlement</w:t>
      </w:r>
      <w:r w:rsidRPr="00FE4453">
        <w:rPr>
          <w:szCs w:val="24"/>
        </w:rPr>
        <w:t xml:space="preserve"> et </w:t>
      </w:r>
      <w:r w:rsidR="00A6526B" w:rsidRPr="00FE4453">
        <w:rPr>
          <w:szCs w:val="24"/>
        </w:rPr>
        <w:t xml:space="preserve">si </w:t>
      </w:r>
      <w:r w:rsidRPr="00FE4453">
        <w:rPr>
          <w:szCs w:val="24"/>
        </w:rPr>
        <w:t>elle ne contient pas de faits nouveaux.</w:t>
      </w:r>
    </w:p>
    <w:p w14:paraId="28037001" w14:textId="77777777" w:rsidR="00DE189E" w:rsidRPr="00FE4453" w:rsidRDefault="00DE189E" w:rsidP="000061B5">
      <w:pPr>
        <w:pStyle w:val="Retraitcorpsdetexte2"/>
        <w:jc w:val="both"/>
        <w:rPr>
          <w:szCs w:val="24"/>
        </w:rPr>
      </w:pPr>
    </w:p>
    <w:p w14:paraId="724B62FE" w14:textId="5CE46397" w:rsidR="009B360E" w:rsidRPr="00FE4453" w:rsidRDefault="00F75101" w:rsidP="000061B5">
      <w:pPr>
        <w:pStyle w:val="Retraitcorpsdetexte2"/>
        <w:jc w:val="both"/>
        <w:rPr>
          <w:b/>
          <w:szCs w:val="24"/>
        </w:rPr>
      </w:pPr>
      <w:r w:rsidRPr="00FE4453">
        <w:rPr>
          <w:b/>
          <w:szCs w:val="24"/>
        </w:rPr>
        <w:t>e</w:t>
      </w:r>
      <w:r w:rsidR="009B360E" w:rsidRPr="00FE4453">
        <w:rPr>
          <w:b/>
          <w:szCs w:val="24"/>
        </w:rPr>
        <w:t xml:space="preserve">. </w:t>
      </w:r>
      <w:r w:rsidR="00DE592D">
        <w:rPr>
          <w:b/>
          <w:szCs w:val="24"/>
        </w:rPr>
        <w:t>L</w:t>
      </w:r>
      <w:r w:rsidR="009B360E" w:rsidRPr="00FE4453">
        <w:rPr>
          <w:b/>
          <w:szCs w:val="24"/>
        </w:rPr>
        <w:t>’intérêt de la requête</w:t>
      </w:r>
    </w:p>
    <w:p w14:paraId="724B62FF" w14:textId="4D0ACDD7" w:rsidR="009B360E" w:rsidRPr="00FE4453" w:rsidRDefault="003F5402" w:rsidP="000061B5">
      <w:pPr>
        <w:pStyle w:val="Retraitcorpsdetexte2"/>
        <w:jc w:val="both"/>
        <w:rPr>
          <w:szCs w:val="24"/>
        </w:rPr>
      </w:pPr>
      <w:r>
        <w:rPr>
          <w:szCs w:val="24"/>
        </w:rPr>
        <w:t>S</w:t>
      </w:r>
      <w:r w:rsidR="00E35A93" w:rsidRPr="00FE4453">
        <w:rPr>
          <w:szCs w:val="24"/>
        </w:rPr>
        <w:t xml:space="preserve">elon l'article 35 §3b) issu du </w:t>
      </w:r>
      <w:r w:rsidR="009B360E" w:rsidRPr="00FE4453">
        <w:rPr>
          <w:szCs w:val="24"/>
        </w:rPr>
        <w:t xml:space="preserve">Protocole </w:t>
      </w:r>
      <w:r w:rsidR="00B3058C" w:rsidRPr="00FE4453">
        <w:rPr>
          <w:szCs w:val="24"/>
        </w:rPr>
        <w:t>14</w:t>
      </w:r>
      <w:r w:rsidR="00E35A93" w:rsidRPr="00FE4453">
        <w:rPr>
          <w:szCs w:val="24"/>
        </w:rPr>
        <w:t>, une requête peut être déclarée irrecevable du fait de l'absence de préjudice important pour le requérant, à condition que le respect des</w:t>
      </w:r>
      <w:r w:rsidR="004C2FB9" w:rsidRPr="00FE4453">
        <w:rPr>
          <w:szCs w:val="24"/>
        </w:rPr>
        <w:t xml:space="preserve"> </w:t>
      </w:r>
      <w:r w:rsidR="00E35A93" w:rsidRPr="00FE4453">
        <w:rPr>
          <w:szCs w:val="24"/>
        </w:rPr>
        <w:t>dro</w:t>
      </w:r>
      <w:r w:rsidR="004C2FB9" w:rsidRPr="00FE4453">
        <w:rPr>
          <w:szCs w:val="24"/>
        </w:rPr>
        <w:t>it</w:t>
      </w:r>
      <w:r w:rsidR="00E35A93" w:rsidRPr="00FE4453">
        <w:rPr>
          <w:szCs w:val="24"/>
        </w:rPr>
        <w:t>s de l'homme n'exige pas un examen au fon</w:t>
      </w:r>
      <w:r w:rsidR="004C2FB9" w:rsidRPr="00FE4453">
        <w:rPr>
          <w:szCs w:val="24"/>
        </w:rPr>
        <w:t>d</w:t>
      </w:r>
      <w:r w:rsidR="00DB1C7C">
        <w:rPr>
          <w:szCs w:val="24"/>
        </w:rPr>
        <w:t xml:space="preserve">. Il s’agit </w:t>
      </w:r>
      <w:r w:rsidR="009B360E" w:rsidRPr="00FE4453">
        <w:rPr>
          <w:szCs w:val="24"/>
        </w:rPr>
        <w:t>d’un outil supplémentaire pour permettre</w:t>
      </w:r>
      <w:r w:rsidR="00DB1C7C">
        <w:rPr>
          <w:szCs w:val="24"/>
        </w:rPr>
        <w:t xml:space="preserve"> à la Cour</w:t>
      </w:r>
      <w:r w:rsidR="009B360E" w:rsidRPr="00FE4453">
        <w:rPr>
          <w:szCs w:val="24"/>
        </w:rPr>
        <w:t xml:space="preserve"> de se concentrer sur les affaires qui soulèvent des problèmes importants en matière de droits de l’homme. Il lui octroie en effet le pouvoir de déclarer irrecevables des requêtes lorsque le requérant n’a subi aucun préjudice important si, au regard du respect des droits de l’homme, elles ne nécessitent pas un examen au fond et ne soulèvent pas de questions sérieuses d’application ou d’interprétation de la Convention ou de questions importantes relatives au droit national.</w:t>
      </w:r>
      <w:r w:rsidR="009354C8" w:rsidRPr="00FE4453">
        <w:rPr>
          <w:szCs w:val="24"/>
        </w:rPr>
        <w:t xml:space="preserve"> </w:t>
      </w:r>
    </w:p>
    <w:p w14:paraId="724B6300" w14:textId="5D926E73" w:rsidR="00FD696F" w:rsidRPr="00FE4453" w:rsidRDefault="00F34334" w:rsidP="000061B5">
      <w:pPr>
        <w:pStyle w:val="Retraitcorpsdetexte2"/>
        <w:jc w:val="both"/>
        <w:rPr>
          <w:szCs w:val="24"/>
        </w:rPr>
      </w:pPr>
      <w:r w:rsidRPr="00FE4453">
        <w:rPr>
          <w:szCs w:val="24"/>
        </w:rPr>
        <w:t xml:space="preserve">Pour apprécier au cas par cas si le seuil minimum de gravité </w:t>
      </w:r>
      <w:r w:rsidR="004B5FD8">
        <w:rPr>
          <w:szCs w:val="24"/>
        </w:rPr>
        <w:t xml:space="preserve">du </w:t>
      </w:r>
      <w:proofErr w:type="spellStart"/>
      <w:r w:rsidR="004B5FD8">
        <w:rPr>
          <w:szCs w:val="24"/>
        </w:rPr>
        <w:t>préjudic</w:t>
      </w:r>
      <w:proofErr w:type="spellEnd"/>
      <w:r w:rsidR="004B5FD8">
        <w:rPr>
          <w:szCs w:val="24"/>
        </w:rPr>
        <w:t xml:space="preserve"> </w:t>
      </w:r>
      <w:r w:rsidRPr="00FE4453">
        <w:rPr>
          <w:szCs w:val="24"/>
        </w:rPr>
        <w:t>est atteint, la cour prend en compte la nature du droit prétendument violé, la gravité de l'incidenc</w:t>
      </w:r>
      <w:r w:rsidR="00E35A93" w:rsidRPr="00FE4453">
        <w:rPr>
          <w:szCs w:val="24"/>
        </w:rPr>
        <w:t xml:space="preserve">e de la violation alléguée dans </w:t>
      </w:r>
      <w:r w:rsidRPr="00FE4453">
        <w:rPr>
          <w:szCs w:val="24"/>
        </w:rPr>
        <w:t>l'exercice d'un droit et/ou les conséquences de la violation sur la situation personnelle du requérant</w:t>
      </w:r>
      <w:r w:rsidR="004B5FD8">
        <w:rPr>
          <w:szCs w:val="24"/>
        </w:rPr>
        <w:t>. L</w:t>
      </w:r>
      <w:r w:rsidR="00EB1440" w:rsidRPr="00FE4453">
        <w:rPr>
          <w:szCs w:val="24"/>
        </w:rPr>
        <w:t xml:space="preserve">’importance d’un préjudice n’est pas seulement </w:t>
      </w:r>
      <w:proofErr w:type="gramStart"/>
      <w:r w:rsidR="00EB1440" w:rsidRPr="00FE4453">
        <w:rPr>
          <w:szCs w:val="24"/>
        </w:rPr>
        <w:t>financier</w:t>
      </w:r>
      <w:proofErr w:type="gramEnd"/>
      <w:r w:rsidR="00EB1440" w:rsidRPr="00FE4453">
        <w:rPr>
          <w:szCs w:val="24"/>
        </w:rPr>
        <w:t xml:space="preserve"> et la cour a par exemple admis qu’était important le préjudice subi par un détenu </w:t>
      </w:r>
      <w:r w:rsidR="00DB1C7C" w:rsidRPr="00FE4453">
        <w:rPr>
          <w:szCs w:val="24"/>
        </w:rPr>
        <w:t>bouddhiste</w:t>
      </w:r>
      <w:r w:rsidR="00EB1440" w:rsidRPr="00FE4453">
        <w:rPr>
          <w:szCs w:val="24"/>
        </w:rPr>
        <w:t xml:space="preserve"> qui ne pouvait pas bénéficier de menu végétarien (</w:t>
      </w:r>
      <w:bookmarkStart w:id="15" w:name="_Hlk50366196"/>
      <w:proofErr w:type="spellStart"/>
      <w:r w:rsidR="00EB1440" w:rsidRPr="00FE4453">
        <w:rPr>
          <w:szCs w:val="24"/>
        </w:rPr>
        <w:t>Vartic</w:t>
      </w:r>
      <w:proofErr w:type="spellEnd"/>
      <w:r w:rsidR="00EB1440" w:rsidRPr="00FE4453">
        <w:rPr>
          <w:szCs w:val="24"/>
        </w:rPr>
        <w:t xml:space="preserve"> c/ Roumanie </w:t>
      </w:r>
      <w:r w:rsidR="00A6526B" w:rsidRPr="00FE4453">
        <w:rPr>
          <w:szCs w:val="24"/>
        </w:rPr>
        <w:t xml:space="preserve">17 décembre 2013 </w:t>
      </w:r>
      <w:bookmarkEnd w:id="15"/>
      <w:r w:rsidR="00093A39" w:rsidRPr="00FE4453">
        <w:rPr>
          <w:szCs w:val="24"/>
        </w:rPr>
        <w:t>n°14150/08). N’est pas non plus irrecevable</w:t>
      </w:r>
      <w:r w:rsidR="00E3497F" w:rsidRPr="00FE4453">
        <w:rPr>
          <w:szCs w:val="24"/>
        </w:rPr>
        <w:t xml:space="preserve"> une requête qui, bien que ne comportant pas d'enjeu financier, soulève une question d'importance subjective pour les requérants - telle l'attribution du nom de famille à un enfant - et, surtout, soulève une question de principe, non tranchée jusqu'alors, à savoir « l'impossibilité, pour un couple marié, d'attribuer à ses enfants, à leur naissance le nom de famille de la mère ». </w:t>
      </w:r>
      <w:r w:rsidR="004C2FB9" w:rsidRPr="00FE4453">
        <w:rPr>
          <w:szCs w:val="24"/>
        </w:rPr>
        <w:t>(</w:t>
      </w:r>
      <w:proofErr w:type="spellStart"/>
      <w:r w:rsidR="007D538A" w:rsidRPr="00FE4453">
        <w:rPr>
          <w:szCs w:val="24"/>
        </w:rPr>
        <w:t>Cusan</w:t>
      </w:r>
      <w:proofErr w:type="spellEnd"/>
      <w:r w:rsidR="007D538A" w:rsidRPr="00FE4453">
        <w:rPr>
          <w:szCs w:val="24"/>
        </w:rPr>
        <w:t xml:space="preserve"> et </w:t>
      </w:r>
      <w:proofErr w:type="spellStart"/>
      <w:r w:rsidR="007D538A" w:rsidRPr="00FE4453">
        <w:rPr>
          <w:szCs w:val="24"/>
        </w:rPr>
        <w:t>Fazzo</w:t>
      </w:r>
      <w:proofErr w:type="spellEnd"/>
      <w:r w:rsidR="007D538A" w:rsidRPr="00FE4453">
        <w:rPr>
          <w:szCs w:val="24"/>
        </w:rPr>
        <w:t xml:space="preserve"> contre </w:t>
      </w:r>
      <w:proofErr w:type="gramStart"/>
      <w:r w:rsidR="007D538A" w:rsidRPr="00FE4453">
        <w:rPr>
          <w:szCs w:val="24"/>
        </w:rPr>
        <w:t>Italie ,</w:t>
      </w:r>
      <w:proofErr w:type="gramEnd"/>
      <w:r w:rsidR="007D538A" w:rsidRPr="00FE4453">
        <w:rPr>
          <w:szCs w:val="24"/>
        </w:rPr>
        <w:t xml:space="preserve"> 7 janv. 2014, n° 77/07</w:t>
      </w:r>
      <w:r w:rsidR="00487D3D" w:rsidRPr="00FE4453">
        <w:rPr>
          <w:szCs w:val="24"/>
        </w:rPr>
        <w:t>)</w:t>
      </w:r>
      <w:r w:rsidR="00E3497F" w:rsidRPr="00FE4453">
        <w:rPr>
          <w:szCs w:val="24"/>
        </w:rPr>
        <w:t>.</w:t>
      </w:r>
    </w:p>
    <w:p w14:paraId="724B6301" w14:textId="3FA53211" w:rsidR="009B360E" w:rsidRPr="00FE4453" w:rsidRDefault="009B360E" w:rsidP="000061B5">
      <w:pPr>
        <w:pStyle w:val="Retraitcorpsdetexte2"/>
        <w:jc w:val="both"/>
        <w:rPr>
          <w:szCs w:val="24"/>
        </w:rPr>
      </w:pPr>
      <w:r w:rsidRPr="00FE4453">
        <w:rPr>
          <w:szCs w:val="24"/>
        </w:rPr>
        <w:t xml:space="preserve">Par ailleurs, afin de réduire la charge de travail de la Cour, le Protocole n° 14 encourage les règlements amiables à un stade précoce de la procédure, en particulier dans les affaires répétitives. Il prévoit également la surveillance de l’exécution des décisions entérinant ces règlements par le Comité des </w:t>
      </w:r>
      <w:r w:rsidR="00A05BAD">
        <w:rPr>
          <w:szCs w:val="24"/>
        </w:rPr>
        <w:t>m</w:t>
      </w:r>
      <w:r w:rsidRPr="00FE4453">
        <w:rPr>
          <w:szCs w:val="24"/>
        </w:rPr>
        <w:t>inistres.</w:t>
      </w:r>
    </w:p>
    <w:p w14:paraId="724B6302" w14:textId="3673C4E4" w:rsidR="005A3D46" w:rsidRDefault="005A3D46" w:rsidP="000061B5">
      <w:pPr>
        <w:pStyle w:val="Retraitcorpsdetexte2"/>
        <w:ind w:firstLine="0"/>
        <w:jc w:val="both"/>
        <w:rPr>
          <w:szCs w:val="24"/>
        </w:rPr>
      </w:pPr>
    </w:p>
    <w:p w14:paraId="125539CB" w14:textId="6A96E7DA" w:rsidR="00DE592D" w:rsidRDefault="00DE592D" w:rsidP="000061B5">
      <w:pPr>
        <w:pStyle w:val="Retraitcorpsdetexte2"/>
        <w:ind w:firstLine="0"/>
        <w:jc w:val="both"/>
        <w:rPr>
          <w:szCs w:val="24"/>
        </w:rPr>
      </w:pPr>
    </w:p>
    <w:p w14:paraId="3A497E7F" w14:textId="3086A1FC" w:rsidR="00DE592D" w:rsidRDefault="00DE592D" w:rsidP="000061B5">
      <w:pPr>
        <w:pStyle w:val="Retraitcorpsdetexte2"/>
        <w:ind w:firstLine="0"/>
        <w:jc w:val="both"/>
        <w:rPr>
          <w:szCs w:val="24"/>
        </w:rPr>
      </w:pPr>
    </w:p>
    <w:p w14:paraId="1F3EC344" w14:textId="77777777" w:rsidR="00DE592D" w:rsidRPr="00FE4453" w:rsidRDefault="00DE592D" w:rsidP="000061B5">
      <w:pPr>
        <w:pStyle w:val="Retraitcorpsdetexte2"/>
        <w:ind w:firstLine="0"/>
        <w:jc w:val="both"/>
        <w:rPr>
          <w:szCs w:val="24"/>
        </w:rPr>
      </w:pPr>
    </w:p>
    <w:p w14:paraId="724B6303" w14:textId="77777777" w:rsidR="009B360E" w:rsidRPr="00FE4453" w:rsidRDefault="009B360E" w:rsidP="000061B5">
      <w:pPr>
        <w:pStyle w:val="Retraitcorpsdetexte2"/>
        <w:jc w:val="both"/>
        <w:rPr>
          <w:b/>
          <w:szCs w:val="24"/>
        </w:rPr>
      </w:pPr>
      <w:r w:rsidRPr="00FE4453">
        <w:rPr>
          <w:b/>
          <w:szCs w:val="24"/>
        </w:rPr>
        <w:lastRenderedPageBreak/>
        <w:t>2° Examen de la recevabilité</w:t>
      </w:r>
    </w:p>
    <w:p w14:paraId="724B6304" w14:textId="254E0BF0" w:rsidR="009B360E" w:rsidRPr="00FE4453" w:rsidRDefault="009B360E" w:rsidP="000061B5">
      <w:pPr>
        <w:pStyle w:val="Retraitcorpsdetexte2"/>
        <w:jc w:val="both"/>
        <w:rPr>
          <w:szCs w:val="24"/>
        </w:rPr>
      </w:pPr>
      <w:r w:rsidRPr="00FE4453">
        <w:rPr>
          <w:szCs w:val="24"/>
        </w:rPr>
        <w:t xml:space="preserve"> </w:t>
      </w:r>
      <w:r w:rsidR="002A57E1">
        <w:rPr>
          <w:szCs w:val="24"/>
        </w:rPr>
        <w:t>Plusieurs formation</w:t>
      </w:r>
      <w:r w:rsidR="00DE592D">
        <w:rPr>
          <w:szCs w:val="24"/>
        </w:rPr>
        <w:t>s</w:t>
      </w:r>
      <w:r w:rsidR="002A57E1">
        <w:rPr>
          <w:szCs w:val="24"/>
        </w:rPr>
        <w:t xml:space="preserve"> de la Cour sont compétentes pour examiner la recevabilité de la requête : </w:t>
      </w:r>
      <w:r w:rsidR="00DE592D" w:rsidRPr="00DE592D">
        <w:rPr>
          <w:szCs w:val="24"/>
          <w:highlight w:val="yellow"/>
        </w:rPr>
        <w:t>Faire un tableau avec</w:t>
      </w:r>
      <w:r w:rsidR="00DE592D">
        <w:rPr>
          <w:szCs w:val="24"/>
        </w:rPr>
        <w:t xml:space="preserve"> </w:t>
      </w:r>
      <w:r w:rsidR="00DE592D">
        <w:rPr>
          <w:szCs w:val="24"/>
          <w:highlight w:val="yellow"/>
        </w:rPr>
        <w:t>les</w:t>
      </w:r>
      <w:r w:rsidR="00DE592D" w:rsidRPr="004B5FD8">
        <w:rPr>
          <w:szCs w:val="24"/>
          <w:highlight w:val="yellow"/>
        </w:rPr>
        <w:t xml:space="preserve"> décisions </w:t>
      </w:r>
      <w:r w:rsidR="00562C76">
        <w:rPr>
          <w:szCs w:val="24"/>
          <w:highlight w:val="yellow"/>
        </w:rPr>
        <w:t>que les différentes formations</w:t>
      </w:r>
      <w:r w:rsidR="00DE592D" w:rsidRPr="004B5FD8">
        <w:rPr>
          <w:szCs w:val="24"/>
          <w:highlight w:val="yellow"/>
        </w:rPr>
        <w:t xml:space="preserve"> peuvent </w:t>
      </w:r>
      <w:r w:rsidR="00562C76">
        <w:rPr>
          <w:szCs w:val="24"/>
          <w:highlight w:val="yellow"/>
        </w:rPr>
        <w:t xml:space="preserve">rendre </w:t>
      </w:r>
      <w:r w:rsidR="00DE592D">
        <w:rPr>
          <w:szCs w:val="24"/>
          <w:highlight w:val="yellow"/>
        </w:rPr>
        <w:t>sur la recevabilité de la requête</w:t>
      </w:r>
      <w:r w:rsidR="00DE592D" w:rsidRPr="004B5FD8">
        <w:rPr>
          <w:szCs w:val="24"/>
          <w:highlight w:val="yellow"/>
        </w:rPr>
        <w:t> </w:t>
      </w:r>
      <w:r w:rsidR="00562C76">
        <w:rPr>
          <w:szCs w:val="24"/>
          <w:highlight w:val="yellow"/>
        </w:rPr>
        <w:t xml:space="preserve">(à envoyer par mail avant le cours) </w:t>
      </w:r>
      <w:r w:rsidR="00DE592D" w:rsidRPr="004B5FD8">
        <w:rPr>
          <w:szCs w:val="24"/>
          <w:highlight w:val="yellow"/>
        </w:rPr>
        <w:t>?</w:t>
      </w:r>
    </w:p>
    <w:p w14:paraId="724B6309" w14:textId="77777777" w:rsidR="00091E53" w:rsidRPr="00FE4453" w:rsidRDefault="00091E53" w:rsidP="000061B5">
      <w:pPr>
        <w:pStyle w:val="Retraitcorpsdetexte2"/>
        <w:jc w:val="both"/>
        <w:rPr>
          <w:szCs w:val="24"/>
        </w:rPr>
      </w:pPr>
    </w:p>
    <w:p w14:paraId="724B630A" w14:textId="77777777" w:rsidR="00031313" w:rsidRPr="00FE4453" w:rsidRDefault="00031313" w:rsidP="000061B5">
      <w:pPr>
        <w:pStyle w:val="Retraitcorpsdetexte2"/>
        <w:jc w:val="both"/>
        <w:rPr>
          <w:b/>
          <w:szCs w:val="24"/>
        </w:rPr>
      </w:pPr>
      <w:r w:rsidRPr="00FE4453">
        <w:rPr>
          <w:b/>
          <w:szCs w:val="24"/>
        </w:rPr>
        <w:t xml:space="preserve">C. </w:t>
      </w:r>
      <w:r w:rsidR="00482D4B" w:rsidRPr="00FE4453">
        <w:rPr>
          <w:b/>
          <w:szCs w:val="24"/>
        </w:rPr>
        <w:t>L’examen au fond de la requête</w:t>
      </w:r>
    </w:p>
    <w:p w14:paraId="724B630C" w14:textId="18281D37" w:rsidR="00386A52" w:rsidRPr="00FE4453" w:rsidRDefault="009273BB" w:rsidP="008D4511">
      <w:pPr>
        <w:pStyle w:val="Retraitcorpsdetexte2"/>
        <w:jc w:val="both"/>
        <w:rPr>
          <w:szCs w:val="24"/>
        </w:rPr>
      </w:pPr>
      <w:r w:rsidRPr="00FE4453">
        <w:rPr>
          <w:szCs w:val="24"/>
        </w:rPr>
        <w:t xml:space="preserve">Lorsque la requête a été déclarée recevable, la chambre à laquelle elle est soumise peut se désister au profit de la grande chambre, dans des cas qui restent également </w:t>
      </w:r>
      <w:r w:rsidRPr="008D4511">
        <w:rPr>
          <w:szCs w:val="24"/>
        </w:rPr>
        <w:t>exceptionnels</w:t>
      </w:r>
      <w:r w:rsidR="00022B6D" w:rsidRPr="008D4511">
        <w:rPr>
          <w:szCs w:val="24"/>
        </w:rPr>
        <w:t xml:space="preserve"> : </w:t>
      </w:r>
      <w:r w:rsidR="008D4511" w:rsidRPr="008D4511">
        <w:rPr>
          <w:szCs w:val="24"/>
        </w:rPr>
        <w:t>si l’affaire soulève une question grave relative à l’interprétation de la Convention ou s’il y a un risque de contradiction avec un arrêt rendu antérieurement par la Cour. Ce renvoi par la chambre à la grande chambre est obligatoire lorsque la chambre a l'intention de s'écarter d'une jurisprudence établie.</w:t>
      </w:r>
    </w:p>
    <w:p w14:paraId="724B630D" w14:textId="6579A63A" w:rsidR="003A6B8B" w:rsidRPr="00FE4453" w:rsidRDefault="00482D4B" w:rsidP="000061B5">
      <w:pPr>
        <w:pStyle w:val="Retraitcorpsdetexte2"/>
        <w:jc w:val="both"/>
        <w:rPr>
          <w:szCs w:val="24"/>
        </w:rPr>
      </w:pPr>
      <w:r w:rsidRPr="00FE4453">
        <w:rPr>
          <w:szCs w:val="24"/>
        </w:rPr>
        <w:t>L</w:t>
      </w:r>
      <w:r w:rsidR="00D82FD8" w:rsidRPr="00FE4453">
        <w:rPr>
          <w:szCs w:val="24"/>
        </w:rPr>
        <w:t xml:space="preserve">orsque la requête a été déclarée recevable, la chambre à laquelle elle est soumise doit établir contradictoirement les faits de la cause et pour ce faire elle dispose de pouvoirs d'instruction. </w:t>
      </w:r>
      <w:r w:rsidR="003F4A2B">
        <w:rPr>
          <w:szCs w:val="24"/>
        </w:rPr>
        <w:t>La Cour</w:t>
      </w:r>
      <w:r w:rsidR="003A6B8B" w:rsidRPr="00FE4453">
        <w:rPr>
          <w:szCs w:val="24"/>
        </w:rPr>
        <w:t xml:space="preserve"> </w:t>
      </w:r>
      <w:r w:rsidR="003F4A2B">
        <w:rPr>
          <w:szCs w:val="24"/>
        </w:rPr>
        <w:t>peut imposer</w:t>
      </w:r>
      <w:r w:rsidR="003A6B8B" w:rsidRPr="00FE4453">
        <w:rPr>
          <w:szCs w:val="24"/>
        </w:rPr>
        <w:t xml:space="preserve"> à l’Etat incriminé des mesures conservatoires notamment en lui demandant de sursoir à l’exécution d’une décision litigieuse (extradition, destruction d’embryon). </w:t>
      </w:r>
      <w:r w:rsidR="00386A52" w:rsidRPr="00FE4453">
        <w:rPr>
          <w:szCs w:val="24"/>
        </w:rPr>
        <w:t>D</w:t>
      </w:r>
      <w:r w:rsidR="003A6B8B" w:rsidRPr="00FE4453">
        <w:rPr>
          <w:szCs w:val="24"/>
        </w:rPr>
        <w:t xml:space="preserve">ans un arrêt de grande chambre du 4 février 2005, </w:t>
      </w:r>
      <w:proofErr w:type="spellStart"/>
      <w:r w:rsidR="003A6B8B" w:rsidRPr="00FE4453">
        <w:rPr>
          <w:szCs w:val="24"/>
        </w:rPr>
        <w:t>Mamatkulov</w:t>
      </w:r>
      <w:proofErr w:type="spellEnd"/>
      <w:r w:rsidR="003A6B8B" w:rsidRPr="00FE4453">
        <w:rPr>
          <w:szCs w:val="24"/>
        </w:rPr>
        <w:t xml:space="preserve"> et </w:t>
      </w:r>
      <w:proofErr w:type="spellStart"/>
      <w:r w:rsidR="003A6B8B" w:rsidRPr="00FE4453">
        <w:rPr>
          <w:szCs w:val="24"/>
        </w:rPr>
        <w:t>Askarov</w:t>
      </w:r>
      <w:proofErr w:type="spellEnd"/>
      <w:r w:rsidR="003A6B8B" w:rsidRPr="00FE4453">
        <w:rPr>
          <w:szCs w:val="24"/>
        </w:rPr>
        <w:t xml:space="preserve"> c/ Turquie, la cour a jugé que les mesures provisoires qu’elle indique à l’Etat pour éviter qu’un préjudice irréparable ne soit causé à la victime de la violation alléguée, ont un caractère obligatoire et que leur </w:t>
      </w:r>
      <w:r w:rsidR="007A768F" w:rsidRPr="00FE4453">
        <w:rPr>
          <w:szCs w:val="24"/>
        </w:rPr>
        <w:t>non-respect</w:t>
      </w:r>
      <w:r w:rsidR="003A6B8B" w:rsidRPr="00FE4453">
        <w:rPr>
          <w:szCs w:val="24"/>
        </w:rPr>
        <w:t xml:space="preserve"> s’analyse comme une entrave à l’exercice efficace du recours individuel et une violation de l’article 34 de la convention.</w:t>
      </w:r>
    </w:p>
    <w:p w14:paraId="724B630E" w14:textId="6C36C290" w:rsidR="00482D4B" w:rsidRPr="00FE4453" w:rsidRDefault="00837D1A" w:rsidP="000061B5">
      <w:pPr>
        <w:pStyle w:val="Retraitcorpsdetexte2"/>
        <w:jc w:val="both"/>
        <w:rPr>
          <w:szCs w:val="24"/>
        </w:rPr>
      </w:pPr>
      <w:r>
        <w:rPr>
          <w:szCs w:val="24"/>
        </w:rPr>
        <w:t>A</w:t>
      </w:r>
      <w:r w:rsidR="00D82FD8" w:rsidRPr="00FE4453">
        <w:rPr>
          <w:szCs w:val="24"/>
        </w:rPr>
        <w:t xml:space="preserve"> ce stade de la procédure </w:t>
      </w:r>
      <w:r>
        <w:rPr>
          <w:szCs w:val="24"/>
        </w:rPr>
        <w:t>un règlement amiable entre les parties est possible ; il</w:t>
      </w:r>
      <w:r w:rsidR="00D82FD8" w:rsidRPr="00FE4453">
        <w:rPr>
          <w:szCs w:val="24"/>
        </w:rPr>
        <w:t xml:space="preserve"> entraîne le cas échéant une radiation du rôl</w:t>
      </w:r>
      <w:r w:rsidR="0038426C" w:rsidRPr="00FE4453">
        <w:rPr>
          <w:szCs w:val="24"/>
        </w:rPr>
        <w:t xml:space="preserve">e. La cour doit en effet simultanément établir les faits et faciliter un règlement amiable entre les intéressés selon l’article 38 de la Convention. </w:t>
      </w:r>
    </w:p>
    <w:p w14:paraId="73C5D1A3" w14:textId="06EAFF3D" w:rsidR="00422E01" w:rsidRDefault="0038426C" w:rsidP="000061B5">
      <w:pPr>
        <w:pStyle w:val="Retraitcorpsdetexte2"/>
        <w:jc w:val="both"/>
        <w:rPr>
          <w:szCs w:val="24"/>
        </w:rPr>
      </w:pPr>
      <w:r w:rsidRPr="00FE4453">
        <w:rPr>
          <w:szCs w:val="24"/>
        </w:rPr>
        <w:t>La chambre dispose de larges pouvoirs d’instruction pour établir les faits. Une fois la requête déclarée recevable, l’Etat défendeur a l’obligation de coopérer avec la chambre et de faciliter la conduite efficace de l’enquête.</w:t>
      </w:r>
    </w:p>
    <w:p w14:paraId="004E8235" w14:textId="77777777" w:rsidR="003F4A2B" w:rsidRPr="00FE4453" w:rsidRDefault="003F4A2B" w:rsidP="000061B5">
      <w:pPr>
        <w:pStyle w:val="Retraitcorpsdetexte2"/>
        <w:jc w:val="both"/>
        <w:rPr>
          <w:szCs w:val="24"/>
        </w:rPr>
      </w:pPr>
    </w:p>
    <w:p w14:paraId="724B6310" w14:textId="67D00BA8" w:rsidR="00845D8C" w:rsidRDefault="00845D8C" w:rsidP="000061B5">
      <w:pPr>
        <w:pStyle w:val="Retraitcorpsdetexte2"/>
        <w:jc w:val="both"/>
        <w:rPr>
          <w:szCs w:val="24"/>
        </w:rPr>
      </w:pPr>
      <w:r w:rsidRPr="00FE4453">
        <w:rPr>
          <w:szCs w:val="24"/>
        </w:rPr>
        <w:t xml:space="preserve">Dans l'intérêt d'une bonne administration de la justice, le président de la Cour peut inviter </w:t>
      </w:r>
      <w:r w:rsidR="003F4A2B">
        <w:rPr>
          <w:szCs w:val="24"/>
        </w:rPr>
        <w:t>tout Etat</w:t>
      </w:r>
      <w:r w:rsidRPr="00FE4453">
        <w:rPr>
          <w:szCs w:val="24"/>
        </w:rPr>
        <w:t xml:space="preserve"> qui n'est pas partie à l'instance ou toute personne intéressée autre que le requérant à présenter des observations écrites ou à prendre part aux audiences. Dans toute affaire devant une chambre ou la Grande Chambre, le Commissaire aux droits de l’homme du Conseil de l’Europe peut présenter des observations écrites et prendre part aux audiences.</w:t>
      </w:r>
      <w:r w:rsidR="00422E01">
        <w:rPr>
          <w:szCs w:val="24"/>
        </w:rPr>
        <w:t xml:space="preserve"> Par ailleurs d</w:t>
      </w:r>
      <w:r w:rsidR="00422E01" w:rsidRPr="00FE4453">
        <w:rPr>
          <w:szCs w:val="24"/>
        </w:rPr>
        <w:t xml:space="preserve">ans </w:t>
      </w:r>
      <w:r w:rsidR="00422E01" w:rsidRPr="00FE4453">
        <w:rPr>
          <w:szCs w:val="24"/>
        </w:rPr>
        <w:lastRenderedPageBreak/>
        <w:t xml:space="preserve">toute affaire devant une chambre ou la Grande Chambre, </w:t>
      </w:r>
      <w:r w:rsidR="003F4A2B">
        <w:rPr>
          <w:szCs w:val="24"/>
        </w:rPr>
        <w:t>l’Etat</w:t>
      </w:r>
      <w:r w:rsidR="00422E01" w:rsidRPr="00FE4453">
        <w:rPr>
          <w:szCs w:val="24"/>
        </w:rPr>
        <w:t xml:space="preserve"> dont un ressortissant est requérant a le droit de présenter des observations écrites et de prendre part aux audiences.</w:t>
      </w:r>
    </w:p>
    <w:p w14:paraId="0156538D" w14:textId="77777777" w:rsidR="003F4A2B" w:rsidRPr="00FE4453" w:rsidRDefault="003F4A2B" w:rsidP="000061B5">
      <w:pPr>
        <w:pStyle w:val="Retraitcorpsdetexte2"/>
        <w:jc w:val="both"/>
        <w:rPr>
          <w:szCs w:val="24"/>
        </w:rPr>
      </w:pPr>
    </w:p>
    <w:p w14:paraId="39F2E87E" w14:textId="175F3BDE" w:rsidR="00326647" w:rsidRPr="00FE4453" w:rsidRDefault="00845D8C" w:rsidP="00326647">
      <w:pPr>
        <w:pStyle w:val="Retraitcorpsdetexte2"/>
        <w:jc w:val="both"/>
        <w:rPr>
          <w:szCs w:val="24"/>
        </w:rPr>
      </w:pPr>
      <w:r w:rsidRPr="00FE4453">
        <w:rPr>
          <w:szCs w:val="24"/>
        </w:rPr>
        <w:t xml:space="preserve">Pour les arrêts de chambre, la tenue d’une audience n’est pas de droit. Elle n’a lieu que de manière exceptionnelle à la demande des parties ou si la chambre l’est nécessaire à l’accomplissement de ses fonctions au titre de la convention. </w:t>
      </w:r>
      <w:r w:rsidR="002969A5" w:rsidRPr="00FE4453">
        <w:rPr>
          <w:szCs w:val="24"/>
        </w:rPr>
        <w:t>La tenue d’une audience est plus fréquente devant la grande chambre.</w:t>
      </w:r>
      <w:r w:rsidR="00326647">
        <w:rPr>
          <w:szCs w:val="24"/>
        </w:rPr>
        <w:t xml:space="preserve"> </w:t>
      </w:r>
      <w:r w:rsidR="00326647" w:rsidRPr="00FE4453">
        <w:rPr>
          <w:szCs w:val="24"/>
        </w:rPr>
        <w:t>Les audiences, qui ne sont tenues que dans une minorité de cas, sont publiques, à moins que la chambre/Grande Chambre n’en décide autrement en raison de circonstances exceptionnelles.</w:t>
      </w:r>
    </w:p>
    <w:p w14:paraId="724B6311" w14:textId="36CDFC92" w:rsidR="00845D8C" w:rsidRPr="00FE4453" w:rsidRDefault="00845D8C" w:rsidP="000061B5">
      <w:pPr>
        <w:pStyle w:val="Retraitcorpsdetexte2"/>
        <w:jc w:val="both"/>
        <w:rPr>
          <w:szCs w:val="24"/>
        </w:rPr>
      </w:pPr>
    </w:p>
    <w:p w14:paraId="724B6312" w14:textId="45A9AC12" w:rsidR="00D82FD8" w:rsidRPr="00FE4453" w:rsidRDefault="00845D8C" w:rsidP="000061B5">
      <w:pPr>
        <w:pStyle w:val="Retraitcorpsdetexte2"/>
        <w:jc w:val="both"/>
        <w:rPr>
          <w:szCs w:val="24"/>
        </w:rPr>
      </w:pPr>
      <w:r w:rsidRPr="00FE4453">
        <w:rPr>
          <w:szCs w:val="24"/>
        </w:rPr>
        <w:t>La</w:t>
      </w:r>
      <w:r w:rsidR="00D82FD8" w:rsidRPr="00FE4453">
        <w:rPr>
          <w:szCs w:val="24"/>
        </w:rPr>
        <w:t xml:space="preserve"> Cour rend un arrêt dans lequel elle se prononce d'une part sur le point de savoir s'il y a eu ou non violation de la convention et dans l'affirmative accord</w:t>
      </w:r>
      <w:r w:rsidR="0038426C" w:rsidRPr="00FE4453">
        <w:rPr>
          <w:szCs w:val="24"/>
        </w:rPr>
        <w:t>e</w:t>
      </w:r>
      <w:r w:rsidR="00D82FD8" w:rsidRPr="00FE4453">
        <w:rPr>
          <w:szCs w:val="24"/>
        </w:rPr>
        <w:t xml:space="preserve"> une satisfaction équitable à la victime, c'est </w:t>
      </w:r>
      <w:r w:rsidR="0038426C" w:rsidRPr="00FE4453">
        <w:rPr>
          <w:szCs w:val="24"/>
        </w:rPr>
        <w:t>à dire des dommages et intérêts sur le fondement de l’article 41 de la convention ; la satisfaction équitable n’est octroyée que si le droit interne ne permet pas ou imparfaitement d’effacer les conséquences de la mesure incriminée. En effet les Etats ont l’obligation de mettre un terme à la violation et d’en effacer les conséquences de manière à rétablir dans la mesure du possible la situation antérieure à celle-ci.</w:t>
      </w:r>
      <w:r w:rsidR="005F6C92" w:rsidRPr="00FE4453">
        <w:rPr>
          <w:szCs w:val="24"/>
        </w:rPr>
        <w:t xml:space="preserve"> En raison du caractère déclaratoire de l’arrêt constant une violation l’Etat défendeur reste en principe libre de choisir les moyens pour s’acquitter de son obligation de réparation.</w:t>
      </w:r>
    </w:p>
    <w:p w14:paraId="724B6313" w14:textId="10DF5F56" w:rsidR="00F34334" w:rsidRPr="00FE4453" w:rsidRDefault="002969A5" w:rsidP="000061B5">
      <w:pPr>
        <w:pStyle w:val="Retraitcorpsdetexte2"/>
        <w:jc w:val="both"/>
        <w:rPr>
          <w:szCs w:val="24"/>
        </w:rPr>
      </w:pPr>
      <w:r w:rsidRPr="00FE4453">
        <w:rPr>
          <w:szCs w:val="24"/>
        </w:rPr>
        <w:t xml:space="preserve">Un arrêt ne devient définitif que passé un délai de trois mois suivant sa publication – qui intervient elle-même deux à trois semaine après le délibéré et vote de l’arrêt - délai pendant lequel il peut être renvoyé en grande chambre. </w:t>
      </w:r>
      <w:r w:rsidR="00D82FD8" w:rsidRPr="00FE4453">
        <w:rPr>
          <w:szCs w:val="24"/>
        </w:rPr>
        <w:t xml:space="preserve">Il est </w:t>
      </w:r>
      <w:r w:rsidRPr="00FE4453">
        <w:rPr>
          <w:szCs w:val="24"/>
        </w:rPr>
        <w:t>en effet</w:t>
      </w:r>
      <w:r w:rsidR="00D82FD8" w:rsidRPr="00FE4453">
        <w:rPr>
          <w:szCs w:val="24"/>
        </w:rPr>
        <w:t xml:space="preserve"> possible que l'affaire soit renvoyée à la grande chambre pour un nouvel examen si une partie le demande et si ce renvoi est accepté par un collège de cinq juges qui ne doit accepter la demande de renvoi </w:t>
      </w:r>
      <w:r w:rsidR="008D4511">
        <w:rPr>
          <w:szCs w:val="24"/>
        </w:rPr>
        <w:t>que</w:t>
      </w:r>
      <w:r w:rsidR="00D82FD8" w:rsidRPr="00FE4453">
        <w:rPr>
          <w:szCs w:val="24"/>
        </w:rPr>
        <w:t xml:space="preserve"> si l'affaire soulève des questions graves d'interprétation ou de caractère général. </w:t>
      </w:r>
    </w:p>
    <w:p w14:paraId="6EC05FBD" w14:textId="2BCC3663" w:rsidR="003E783E" w:rsidRDefault="003E783E">
      <w:r>
        <w:br w:type="page"/>
      </w:r>
    </w:p>
    <w:p w14:paraId="544F2B56" w14:textId="77777777" w:rsidR="00712A10" w:rsidRPr="00FE4453" w:rsidRDefault="00712A10" w:rsidP="000061B5">
      <w:pPr>
        <w:pStyle w:val="Retraitcorpsdetexte2"/>
        <w:jc w:val="both"/>
        <w:rPr>
          <w:szCs w:val="24"/>
        </w:rPr>
      </w:pPr>
    </w:p>
    <w:p w14:paraId="564B8FCE" w14:textId="7286C9EE" w:rsidR="00880C20" w:rsidRPr="00FE4453" w:rsidRDefault="00880C20" w:rsidP="000061B5">
      <w:pPr>
        <w:jc w:val="both"/>
        <w:rPr>
          <w:b/>
          <w:bCs/>
        </w:rPr>
      </w:pPr>
      <w:r w:rsidRPr="00FE4453">
        <w:rPr>
          <w:b/>
          <w:bCs/>
        </w:rPr>
        <w:t xml:space="preserve">Analyse guidée </w:t>
      </w:r>
      <w:r w:rsidR="003E783E">
        <w:rPr>
          <w:b/>
          <w:bCs/>
        </w:rPr>
        <w:t xml:space="preserve">d’un </w:t>
      </w:r>
      <w:r w:rsidRPr="00FE4453">
        <w:rPr>
          <w:b/>
          <w:bCs/>
        </w:rPr>
        <w:t xml:space="preserve">arrêt </w:t>
      </w:r>
    </w:p>
    <w:p w14:paraId="6D90E82E" w14:textId="77777777" w:rsidR="003E783E" w:rsidRDefault="003E783E" w:rsidP="000061B5">
      <w:pPr>
        <w:jc w:val="both"/>
      </w:pPr>
      <w:r w:rsidRPr="003E783E">
        <w:rPr>
          <w:highlight w:val="yellow"/>
        </w:rPr>
        <w:t>Après une lecture attentive de l’arrêt préparer la réponse aux questions</w:t>
      </w:r>
    </w:p>
    <w:p w14:paraId="79E9B155" w14:textId="05998506" w:rsidR="005D77CB" w:rsidRPr="00FE4453" w:rsidRDefault="005D77CB" w:rsidP="000061B5">
      <w:pPr>
        <w:jc w:val="both"/>
      </w:pPr>
      <w:r w:rsidRPr="00FE4453">
        <w:t>AFFAIRE A.P., GARÇON ET NICOT c. France (Requêtes nos 79885/12, 52471/13 et 52596/13) du 6 avril 2017 (extrait</w:t>
      </w:r>
      <w:r w:rsidR="000046FB">
        <w:t>s</w:t>
      </w:r>
      <w:r w:rsidRPr="00FE4453">
        <w:t>)</w:t>
      </w:r>
    </w:p>
    <w:p w14:paraId="7312EC12" w14:textId="3A7D5C4B" w:rsidR="005D77CB" w:rsidRPr="00FE4453" w:rsidRDefault="005D77CB" w:rsidP="000061B5">
      <w:pPr>
        <w:ind w:firstLine="284"/>
        <w:jc w:val="both"/>
        <w:rPr>
          <w:rFonts w:eastAsia="MS Mincho"/>
        </w:rPr>
      </w:pPr>
      <w:r w:rsidRPr="00FE4453">
        <w:rPr>
          <w:rFonts w:eastAsia="MS Mincho"/>
        </w:rPr>
        <w:fldChar w:fldCharType="begin"/>
      </w:r>
      <w:r w:rsidRPr="00FE4453">
        <w:rPr>
          <w:rFonts w:eastAsia="MS Mincho"/>
        </w:rPr>
        <w:instrText xml:space="preserve"> SEQ level0 \*arabic </w:instrText>
      </w:r>
      <w:r w:rsidRPr="00FE4453">
        <w:rPr>
          <w:rFonts w:eastAsia="MS Mincho"/>
        </w:rPr>
        <w:fldChar w:fldCharType="separate"/>
      </w:r>
      <w:r w:rsidRPr="00FE4453">
        <w:rPr>
          <w:rFonts w:eastAsia="MS Mincho"/>
          <w:noProof/>
        </w:rPr>
        <w:t>120</w:t>
      </w:r>
      <w:r w:rsidRPr="00FE4453">
        <w:rPr>
          <w:rFonts w:eastAsia="MS Mincho"/>
        </w:rPr>
        <w:fldChar w:fldCharType="end"/>
      </w:r>
      <w:r w:rsidRPr="00FE4453">
        <w:rPr>
          <w:rFonts w:eastAsia="MS Mincho"/>
        </w:rPr>
        <w:t>.  La Cour part du principe qu’à l’époque des circonstances de la cause des requérants, le droit positif français assujettissait la reconnaissance de l’identité sexuelle des personnes transgenres à la réalisation d’une opération stérilisante ou d’un traitement qui, par sa nature et son intensité, entraînait une très forte probabilité de stérilité.</w:t>
      </w:r>
    </w:p>
    <w:p w14:paraId="1105C8C4" w14:textId="09354C5D" w:rsidR="005D77CB" w:rsidRPr="00FE4453" w:rsidRDefault="005D77CB" w:rsidP="000061B5">
      <w:pPr>
        <w:ind w:firstLine="284"/>
        <w:jc w:val="both"/>
        <w:rPr>
          <w:rFonts w:eastAsia="MS Mincho"/>
        </w:rPr>
      </w:pPr>
      <w:r w:rsidRPr="00FE4453">
        <w:rPr>
          <w:rFonts w:eastAsia="MS Mincho"/>
        </w:rPr>
        <w:fldChar w:fldCharType="begin"/>
      </w:r>
      <w:r w:rsidRPr="00FE4453">
        <w:rPr>
          <w:rFonts w:eastAsia="MS Mincho"/>
        </w:rPr>
        <w:instrText xml:space="preserve"> SEQ level0 \*arabic </w:instrText>
      </w:r>
      <w:r w:rsidRPr="00FE4453">
        <w:rPr>
          <w:rFonts w:eastAsia="MS Mincho"/>
        </w:rPr>
        <w:fldChar w:fldCharType="separate"/>
      </w:r>
      <w:r w:rsidRPr="00FE4453">
        <w:rPr>
          <w:rFonts w:eastAsia="MS Mincho"/>
          <w:noProof/>
        </w:rPr>
        <w:t>123</w:t>
      </w:r>
      <w:r w:rsidRPr="00FE4453">
        <w:rPr>
          <w:rFonts w:eastAsia="MS Mincho"/>
        </w:rPr>
        <w:fldChar w:fldCharType="end"/>
      </w:r>
      <w:r w:rsidRPr="00FE4453">
        <w:rPr>
          <w:rFonts w:eastAsia="MS Mincho"/>
        </w:rPr>
        <w:t xml:space="preserve">.  Elle constate toutefois également qu’un aspect essentiel de l’identité intime des personnes, si ce n’est de leur existence, se trouve au cœur-même des présentes requêtes. D’abord parce que l’intégrité physique des individus est directement en cause dès lors qu’il est question de stérilisation. Ensuite, parce que les requêtes ont trait </w:t>
      </w:r>
      <w:r w:rsidRPr="00FE4453">
        <w:t xml:space="preserve">à l’identité sexuelle des individus, la Cour ayant déjà eu l’occasion de souligner que </w:t>
      </w:r>
      <w:r w:rsidR="00B2495B" w:rsidRPr="00FE4453">
        <w:t>« la</w:t>
      </w:r>
      <w:r w:rsidRPr="00FE4453">
        <w:t xml:space="preserve"> notion d’autonomie personnelle reflète un principe important qui sous-tend l’interprétation des garanties de l’article 8 » (voir, précités, </w:t>
      </w:r>
      <w:proofErr w:type="spellStart"/>
      <w:r w:rsidRPr="00FE4453">
        <w:rPr>
          <w:rFonts w:eastAsia="MS Mincho"/>
          <w:i/>
        </w:rPr>
        <w:t>Pretty</w:t>
      </w:r>
      <w:proofErr w:type="spellEnd"/>
      <w:r w:rsidRPr="00FE4453">
        <w:rPr>
          <w:rFonts w:eastAsia="MS Mincho"/>
        </w:rPr>
        <w:t xml:space="preserve">, § 61, </w:t>
      </w:r>
      <w:r w:rsidRPr="00FE4453">
        <w:rPr>
          <w:rFonts w:eastAsia="MS Mincho"/>
          <w:i/>
        </w:rPr>
        <w:t>Van </w:t>
      </w:r>
      <w:proofErr w:type="spellStart"/>
      <w:r w:rsidRPr="00FE4453">
        <w:rPr>
          <w:rFonts w:eastAsia="MS Mincho"/>
          <w:i/>
        </w:rPr>
        <w:t>Kück</w:t>
      </w:r>
      <w:proofErr w:type="spellEnd"/>
      <w:r w:rsidRPr="00FE4453">
        <w:rPr>
          <w:rFonts w:eastAsia="MS Mincho"/>
        </w:rPr>
        <w:t xml:space="preserve">, § 69, et </w:t>
      </w:r>
      <w:proofErr w:type="spellStart"/>
      <w:r w:rsidRPr="00FE4453">
        <w:rPr>
          <w:rFonts w:eastAsia="MS Mincho"/>
          <w:i/>
        </w:rPr>
        <w:t>Schlumpf</w:t>
      </w:r>
      <w:proofErr w:type="spellEnd"/>
      <w:r w:rsidRPr="00FE4453">
        <w:rPr>
          <w:rFonts w:eastAsia="MS Mincho"/>
        </w:rPr>
        <w:t xml:space="preserve">, § 100) et que le droit à l’identité sexuelle et à l’épanouissement personnel est un aspect fondamental du droit au respect de la vie privée (voir </w:t>
      </w:r>
      <w:r w:rsidRPr="00FE4453">
        <w:rPr>
          <w:rFonts w:eastAsia="MS Mincho"/>
          <w:i/>
        </w:rPr>
        <w:t xml:space="preserve">Van </w:t>
      </w:r>
      <w:proofErr w:type="spellStart"/>
      <w:r w:rsidRPr="00FE4453">
        <w:rPr>
          <w:rFonts w:eastAsia="MS Mincho"/>
          <w:i/>
        </w:rPr>
        <w:t>Kück</w:t>
      </w:r>
      <w:proofErr w:type="spellEnd"/>
      <w:r w:rsidRPr="00FE4453">
        <w:rPr>
          <w:rFonts w:eastAsia="MS Mincho"/>
        </w:rPr>
        <w:t xml:space="preserve">, précité, § 75). </w:t>
      </w:r>
    </w:p>
    <w:p w14:paraId="25F3D43B" w14:textId="77777777" w:rsidR="005D77CB" w:rsidRPr="00FE4453" w:rsidRDefault="005D77CB" w:rsidP="000061B5">
      <w:pPr>
        <w:ind w:firstLine="284"/>
        <w:jc w:val="both"/>
        <w:rPr>
          <w:rFonts w:eastAsia="MS Mincho"/>
        </w:rPr>
      </w:pPr>
      <w:r w:rsidRPr="00FE4453">
        <w:rPr>
          <w:rFonts w:eastAsia="MS Mincho"/>
        </w:rPr>
        <w:fldChar w:fldCharType="begin"/>
      </w:r>
      <w:r w:rsidRPr="00FE4453">
        <w:rPr>
          <w:rFonts w:eastAsia="MS Mincho"/>
        </w:rPr>
        <w:instrText xml:space="preserve"> SEQ level0 \*arabic </w:instrText>
      </w:r>
      <w:r w:rsidRPr="00FE4453">
        <w:rPr>
          <w:rFonts w:eastAsia="MS Mincho"/>
        </w:rPr>
        <w:fldChar w:fldCharType="separate"/>
      </w:r>
      <w:r w:rsidRPr="00FE4453">
        <w:rPr>
          <w:rFonts w:eastAsia="MS Mincho"/>
          <w:noProof/>
        </w:rPr>
        <w:t>124</w:t>
      </w:r>
      <w:r w:rsidRPr="00FE4453">
        <w:rPr>
          <w:rFonts w:eastAsia="MS Mincho"/>
        </w:rPr>
        <w:fldChar w:fldCharType="end"/>
      </w:r>
      <w:r w:rsidRPr="00FE4453">
        <w:rPr>
          <w:rFonts w:eastAsia="MS Mincho"/>
        </w:rPr>
        <w:t>.  Surabondamment, la Cour relève que cette condition a disparu du droit positif de onze États parties entre 2009 et 2016, dont la France, et que des réformes dans ce sens sont débattues dans d’autres États parties (paragraphe 71 ci-dessus). Cela montre qu’une tendance vers son abandon, basée sur une évolution de la compréhension du transsexualisme, se dessine en Europe ces dernières années.</w:t>
      </w:r>
    </w:p>
    <w:p w14:paraId="67D8A624" w14:textId="5B1BF0E6" w:rsidR="005D77CB" w:rsidRPr="00FE4453" w:rsidRDefault="005D77CB" w:rsidP="000061B5">
      <w:pPr>
        <w:ind w:firstLine="284"/>
        <w:jc w:val="both"/>
        <w:rPr>
          <w:rFonts w:eastAsia="MS Mincho"/>
        </w:rPr>
      </w:pPr>
      <w:r w:rsidRPr="00FE4453">
        <w:rPr>
          <w:rFonts w:eastAsia="MS Mincho"/>
        </w:rPr>
        <w:fldChar w:fldCharType="begin"/>
      </w:r>
      <w:r w:rsidRPr="00FE4453">
        <w:rPr>
          <w:rFonts w:eastAsia="MS Mincho"/>
        </w:rPr>
        <w:instrText xml:space="preserve"> SEQ level0 \*arabic </w:instrText>
      </w:r>
      <w:r w:rsidRPr="00FE4453">
        <w:rPr>
          <w:rFonts w:eastAsia="MS Mincho"/>
        </w:rPr>
        <w:fldChar w:fldCharType="separate"/>
      </w:r>
      <w:r w:rsidRPr="00FE4453">
        <w:rPr>
          <w:rFonts w:eastAsia="MS Mincho"/>
          <w:noProof/>
        </w:rPr>
        <w:t>126</w:t>
      </w:r>
      <w:r w:rsidRPr="00FE4453">
        <w:rPr>
          <w:rFonts w:eastAsia="MS Mincho"/>
        </w:rPr>
        <w:fldChar w:fldCharType="end"/>
      </w:r>
      <w:r w:rsidRPr="00FE4453">
        <w:rPr>
          <w:rFonts w:eastAsia="MS Mincho"/>
        </w:rPr>
        <w:t xml:space="preserve">.  La Cour constate que, pour obtenir la reconnaissance de leur identité, les personnes qui se trouvent dans la situation des requérants n’avaient d’autre choix que de subir préalablement un lourd traitement médical ou une opération chirurgicale qui devait avoir pour conséquence, selon le droit positif français à l’époque des faits des présentes affaires, une transformation irréversible de leur apparence. Comme la Cour l’a indiqué précédemment, cela conduisait, selon un très fort taux de probabilité, à exiger leur stérilité. Toutes les personnes transgenres ne veulent – ou ne peuvent – pourtant pas subir un traitement ou une opération ayant de telles conséquences, ce qu’illustre du reste le cas des deuxième et troisième requérants dans les présentes affaires. </w:t>
      </w:r>
    </w:p>
    <w:p w14:paraId="7D6A9994" w14:textId="77777777" w:rsidR="005D77CB" w:rsidRPr="00FE4453" w:rsidRDefault="005D77CB" w:rsidP="000061B5">
      <w:pPr>
        <w:ind w:firstLine="284"/>
        <w:jc w:val="both"/>
        <w:rPr>
          <w:rFonts w:eastAsia="MS Mincho"/>
        </w:rPr>
      </w:pPr>
      <w:r w:rsidRPr="00FE4453">
        <w:rPr>
          <w:rFonts w:eastAsia="MS Mincho"/>
        </w:rPr>
        <w:fldChar w:fldCharType="begin"/>
      </w:r>
      <w:r w:rsidRPr="00FE4453">
        <w:rPr>
          <w:rFonts w:eastAsia="MS Mincho"/>
        </w:rPr>
        <w:instrText xml:space="preserve"> SEQ level0 \*arabic </w:instrText>
      </w:r>
      <w:r w:rsidRPr="00FE4453">
        <w:rPr>
          <w:rFonts w:eastAsia="MS Mincho"/>
        </w:rPr>
        <w:fldChar w:fldCharType="separate"/>
      </w:r>
      <w:r w:rsidRPr="00FE4453">
        <w:rPr>
          <w:rFonts w:eastAsia="MS Mincho"/>
          <w:noProof/>
        </w:rPr>
        <w:t>127</w:t>
      </w:r>
      <w:r w:rsidRPr="00FE4453">
        <w:rPr>
          <w:rFonts w:eastAsia="MS Mincho"/>
        </w:rPr>
        <w:fldChar w:fldCharType="end"/>
      </w:r>
      <w:r w:rsidRPr="00FE4453">
        <w:rPr>
          <w:rFonts w:eastAsia="MS Mincho"/>
        </w:rPr>
        <w:t>.  Or de tels traitements et opérations médicaux touchent à l’intégrité physique de la personne, laquelle est protégée par l’article 3 de la Convention (que les deuxième et troisième requérants n’invoquent toutefois pas) ainsi que par l’article 8 de la Convention.</w:t>
      </w:r>
    </w:p>
    <w:p w14:paraId="30B726C3" w14:textId="77777777" w:rsidR="005D77CB" w:rsidRPr="00FE4453" w:rsidRDefault="005D77CB" w:rsidP="000061B5">
      <w:pPr>
        <w:ind w:firstLine="284"/>
        <w:jc w:val="both"/>
        <w:rPr>
          <w:rFonts w:eastAsia="MS Mincho"/>
        </w:rPr>
      </w:pPr>
      <w:r w:rsidRPr="00FE4453">
        <w:rPr>
          <w:rFonts w:eastAsia="MS Mincho"/>
        </w:rPr>
        <w:fldChar w:fldCharType="begin"/>
      </w:r>
      <w:r w:rsidRPr="00FE4453">
        <w:rPr>
          <w:rFonts w:eastAsia="MS Mincho"/>
        </w:rPr>
        <w:instrText xml:space="preserve"> SEQ level0 \*arabic </w:instrText>
      </w:r>
      <w:r w:rsidRPr="00FE4453">
        <w:rPr>
          <w:rFonts w:eastAsia="MS Mincho"/>
        </w:rPr>
        <w:fldChar w:fldCharType="separate"/>
      </w:r>
      <w:r w:rsidRPr="00FE4453">
        <w:rPr>
          <w:rFonts w:eastAsia="MS Mincho"/>
          <w:noProof/>
        </w:rPr>
        <w:t>135</w:t>
      </w:r>
      <w:r w:rsidRPr="00FE4453">
        <w:rPr>
          <w:rFonts w:eastAsia="MS Mincho"/>
        </w:rPr>
        <w:fldChar w:fldCharType="end"/>
      </w:r>
      <w:r w:rsidRPr="00FE4453">
        <w:rPr>
          <w:rFonts w:eastAsia="MS Mincho"/>
        </w:rPr>
        <w:t>.  Partant, le rejet de la demande des deuxième et troisième requérants tendant à la modification de leur état civil au motif qu’ils n’avaient pas établi le caractère irréversible de la transformation de leur apparence, c’est-à-dire démontré avoir subi une opération stérilisante ou un traitement médical entrainant une très forte probabilité de stérilité, s’analyse en un manquement par l’État défendeur à son obligation positive de garantir le droit de ces derniers au respect de leur vie privée. Il y a donc, de ce chef, violation de l’article 8 de la Convention à leur égard.</w:t>
      </w:r>
    </w:p>
    <w:p w14:paraId="31D1A26F" w14:textId="77777777" w:rsidR="00880C20" w:rsidRPr="00FE4453" w:rsidRDefault="00880C20" w:rsidP="000061B5">
      <w:pPr>
        <w:jc w:val="both"/>
      </w:pPr>
    </w:p>
    <w:p w14:paraId="15CAD647" w14:textId="77777777" w:rsidR="00880C20" w:rsidRPr="00562C76" w:rsidRDefault="00880C20" w:rsidP="000061B5">
      <w:pPr>
        <w:pStyle w:val="Paragraphedeliste"/>
        <w:numPr>
          <w:ilvl w:val="0"/>
          <w:numId w:val="15"/>
        </w:numPr>
        <w:spacing w:after="160" w:line="259" w:lineRule="auto"/>
        <w:rPr>
          <w:color w:val="auto"/>
          <w:highlight w:val="yellow"/>
        </w:rPr>
      </w:pPr>
      <w:r w:rsidRPr="00562C76">
        <w:rPr>
          <w:color w:val="auto"/>
          <w:highlight w:val="yellow"/>
        </w:rPr>
        <w:t>Quels sont les faits qui ont donné lieu à la décision ?</w:t>
      </w:r>
    </w:p>
    <w:p w14:paraId="218B19EB" w14:textId="213B0CDB" w:rsidR="00880C20" w:rsidRPr="00562C76" w:rsidRDefault="00880C20" w:rsidP="000061B5">
      <w:pPr>
        <w:pStyle w:val="Paragraphedeliste"/>
        <w:numPr>
          <w:ilvl w:val="0"/>
          <w:numId w:val="15"/>
        </w:numPr>
        <w:spacing w:after="160" w:line="259" w:lineRule="auto"/>
        <w:rPr>
          <w:color w:val="auto"/>
          <w:highlight w:val="yellow"/>
        </w:rPr>
      </w:pPr>
      <w:r w:rsidRPr="00562C76">
        <w:rPr>
          <w:color w:val="auto"/>
          <w:highlight w:val="yellow"/>
        </w:rPr>
        <w:t>Quelles sont les parties ?</w:t>
      </w:r>
      <w:r w:rsidR="003974BF" w:rsidRPr="00562C76">
        <w:rPr>
          <w:color w:val="auto"/>
          <w:highlight w:val="yellow"/>
        </w:rPr>
        <w:t xml:space="preserve"> sont-elles victimes directes ? </w:t>
      </w:r>
    </w:p>
    <w:p w14:paraId="36DCFA98" w14:textId="4E152BF1" w:rsidR="00880C20" w:rsidRPr="00562C76" w:rsidRDefault="00880C20" w:rsidP="000061B5">
      <w:pPr>
        <w:pStyle w:val="Paragraphedeliste"/>
        <w:numPr>
          <w:ilvl w:val="0"/>
          <w:numId w:val="15"/>
        </w:numPr>
        <w:spacing w:after="160" w:line="259" w:lineRule="auto"/>
        <w:rPr>
          <w:color w:val="auto"/>
          <w:highlight w:val="yellow"/>
        </w:rPr>
      </w:pPr>
      <w:r w:rsidRPr="00562C76">
        <w:rPr>
          <w:color w:val="auto"/>
          <w:highlight w:val="yellow"/>
        </w:rPr>
        <w:t>Quels sont les fondements de la requête </w:t>
      </w:r>
      <w:r w:rsidR="003D20D3" w:rsidRPr="00562C76">
        <w:rPr>
          <w:color w:val="auto"/>
          <w:highlight w:val="yellow"/>
        </w:rPr>
        <w:t>(article</w:t>
      </w:r>
      <w:r w:rsidR="00876792" w:rsidRPr="00562C76">
        <w:rPr>
          <w:color w:val="auto"/>
          <w:highlight w:val="yellow"/>
        </w:rPr>
        <w:t xml:space="preserve">s, </w:t>
      </w:r>
      <w:r w:rsidR="003D20D3" w:rsidRPr="00562C76">
        <w:rPr>
          <w:color w:val="auto"/>
          <w:highlight w:val="yellow"/>
        </w:rPr>
        <w:t>contenu</w:t>
      </w:r>
      <w:r w:rsidR="00876792" w:rsidRPr="00562C76">
        <w:rPr>
          <w:color w:val="auto"/>
          <w:highlight w:val="yellow"/>
        </w:rPr>
        <w:t xml:space="preserve"> </w:t>
      </w:r>
      <w:r w:rsidR="00AA028B" w:rsidRPr="00562C76">
        <w:rPr>
          <w:color w:val="auto"/>
          <w:highlight w:val="yellow"/>
        </w:rPr>
        <w:t xml:space="preserve">et application aux </w:t>
      </w:r>
      <w:proofErr w:type="gramStart"/>
      <w:r w:rsidR="00AA028B" w:rsidRPr="00562C76">
        <w:rPr>
          <w:color w:val="auto"/>
          <w:highlight w:val="yellow"/>
        </w:rPr>
        <w:t>faits</w:t>
      </w:r>
      <w:r w:rsidR="003D20D3" w:rsidRPr="00562C76">
        <w:rPr>
          <w:color w:val="auto"/>
          <w:highlight w:val="yellow"/>
        </w:rPr>
        <w:t xml:space="preserve"> )</w:t>
      </w:r>
      <w:proofErr w:type="gramEnd"/>
      <w:r w:rsidR="003D20D3" w:rsidRPr="00562C76">
        <w:rPr>
          <w:color w:val="auto"/>
          <w:highlight w:val="yellow"/>
        </w:rPr>
        <w:t xml:space="preserve"> </w:t>
      </w:r>
      <w:r w:rsidRPr="00562C76">
        <w:rPr>
          <w:color w:val="auto"/>
          <w:highlight w:val="yellow"/>
        </w:rPr>
        <w:t xml:space="preserve">? </w:t>
      </w:r>
      <w:r w:rsidR="003D20D3" w:rsidRPr="00562C76">
        <w:rPr>
          <w:color w:val="auto"/>
          <w:highlight w:val="yellow"/>
        </w:rPr>
        <w:t xml:space="preserve">et </w:t>
      </w:r>
      <w:r w:rsidRPr="00562C76">
        <w:rPr>
          <w:color w:val="auto"/>
          <w:highlight w:val="yellow"/>
        </w:rPr>
        <w:t>de la décision ?</w:t>
      </w:r>
    </w:p>
    <w:p w14:paraId="6B2DEE11" w14:textId="239F2DA9" w:rsidR="009971DF" w:rsidRPr="00562C76" w:rsidRDefault="00E40D48" w:rsidP="000061B5">
      <w:pPr>
        <w:pStyle w:val="Paragraphedeliste"/>
        <w:numPr>
          <w:ilvl w:val="0"/>
          <w:numId w:val="15"/>
        </w:numPr>
        <w:spacing w:after="160" w:line="259" w:lineRule="auto"/>
        <w:rPr>
          <w:color w:val="auto"/>
          <w:highlight w:val="yellow"/>
        </w:rPr>
      </w:pPr>
      <w:r w:rsidRPr="00562C76">
        <w:rPr>
          <w:color w:val="auto"/>
          <w:highlight w:val="yellow"/>
        </w:rPr>
        <w:t>Pourquoi une telle décision ne pourrait pas être rendue aujourd’hui ?</w:t>
      </w:r>
    </w:p>
    <w:p w14:paraId="7F01E178" w14:textId="77777777" w:rsidR="000061B5" w:rsidRPr="00FE4453" w:rsidRDefault="000061B5" w:rsidP="003E783E">
      <w:pPr>
        <w:pStyle w:val="Retraitcorpsdetexte2"/>
        <w:ind w:firstLine="0"/>
        <w:jc w:val="both"/>
        <w:rPr>
          <w:szCs w:val="24"/>
        </w:rPr>
      </w:pPr>
    </w:p>
    <w:sectPr w:rsidR="000061B5" w:rsidRPr="00FE4453" w:rsidSect="00B95DD7">
      <w:headerReference w:type="even" r:id="rId24"/>
      <w:head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4AD9A" w14:textId="77777777" w:rsidR="00C0360C" w:rsidRDefault="00C0360C">
      <w:r>
        <w:separator/>
      </w:r>
    </w:p>
  </w:endnote>
  <w:endnote w:type="continuationSeparator" w:id="0">
    <w:p w14:paraId="01A92F65" w14:textId="77777777" w:rsidR="00C0360C" w:rsidRDefault="00C03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F6771" w14:textId="77777777" w:rsidR="00C0360C" w:rsidRDefault="00C0360C">
      <w:r>
        <w:separator/>
      </w:r>
    </w:p>
  </w:footnote>
  <w:footnote w:type="continuationSeparator" w:id="0">
    <w:p w14:paraId="5CE938D6" w14:textId="77777777" w:rsidR="00C0360C" w:rsidRDefault="00C03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63F0" w14:textId="77777777" w:rsidR="00EB6F3A" w:rsidRDefault="00EB6F3A" w:rsidP="00DC4F9E">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24B63F1" w14:textId="77777777" w:rsidR="00EB6F3A" w:rsidRDefault="00EB6F3A" w:rsidP="00CA3530">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63F2" w14:textId="77777777" w:rsidR="00EB6F3A" w:rsidRDefault="00EB6F3A" w:rsidP="00DC4F9E">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068F0">
      <w:rPr>
        <w:rStyle w:val="Numrodepage"/>
        <w:noProof/>
      </w:rPr>
      <w:t>25</w:t>
    </w:r>
    <w:r>
      <w:rPr>
        <w:rStyle w:val="Numrodepage"/>
      </w:rPr>
      <w:fldChar w:fldCharType="end"/>
    </w:r>
  </w:p>
  <w:p w14:paraId="724B63F3" w14:textId="77777777" w:rsidR="00EB6F3A" w:rsidRDefault="00EB6F3A" w:rsidP="00CA3530">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552A83EC"/>
    <w:lvl w:ilvl="0">
      <w:start w:val="1"/>
      <w:numFmt w:val="bullet"/>
      <w:pStyle w:val="Listepuces5"/>
      <w:lvlText w:val=""/>
      <w:lvlJc w:val="left"/>
      <w:pPr>
        <w:tabs>
          <w:tab w:val="num" w:pos="1492"/>
        </w:tabs>
        <w:ind w:left="1492" w:hanging="360"/>
      </w:pPr>
      <w:rPr>
        <w:rFonts w:ascii="Symbol" w:hAnsi="Symbol" w:hint="default"/>
      </w:rPr>
    </w:lvl>
  </w:abstractNum>
  <w:abstractNum w:abstractNumId="1" w15:restartNumberingAfterBreak="0">
    <w:nsid w:val="012B0163"/>
    <w:multiLevelType w:val="hybridMultilevel"/>
    <w:tmpl w:val="35068500"/>
    <w:lvl w:ilvl="0" w:tplc="6960E2C4">
      <w:start w:val="1"/>
      <w:numFmt w:val="upp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0BA565F8"/>
    <w:multiLevelType w:val="hybridMultilevel"/>
    <w:tmpl w:val="33AE26EE"/>
    <w:lvl w:ilvl="0" w:tplc="C4521224">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0C0F5BFC"/>
    <w:multiLevelType w:val="multilevel"/>
    <w:tmpl w:val="89668DF0"/>
    <w:lvl w:ilvl="0">
      <w:start w:val="1"/>
      <w:numFmt w:val="none"/>
      <w:pStyle w:val="JuHHead"/>
      <w:suff w:val="nothing"/>
      <w:lvlText w:val="%1"/>
      <w:lvlJc w:val="left"/>
      <w:pPr>
        <w:ind w:left="0" w:firstLine="0"/>
      </w:pPr>
    </w:lvl>
    <w:lvl w:ilvl="1">
      <w:start w:val="1"/>
      <w:numFmt w:val="upperRoman"/>
      <w:pStyle w:val="JuHIRoman"/>
      <w:suff w:val="space"/>
      <w:lvlText w:val="%2."/>
      <w:lvlJc w:val="left"/>
      <w:pPr>
        <w:ind w:left="357" w:hanging="357"/>
      </w:pPr>
    </w:lvl>
    <w:lvl w:ilvl="2">
      <w:start w:val="1"/>
      <w:numFmt w:val="upperLetter"/>
      <w:pStyle w:val="JuHA"/>
      <w:lvlText w:val="%3."/>
      <w:lvlJc w:val="left"/>
      <w:pPr>
        <w:ind w:left="584" w:hanging="352"/>
      </w:pPr>
    </w:lvl>
    <w:lvl w:ilvl="3">
      <w:start w:val="1"/>
      <w:numFmt w:val="decimal"/>
      <w:pStyle w:val="JuH1"/>
      <w:lvlText w:val="%4."/>
      <w:lvlJc w:val="left"/>
      <w:pPr>
        <w:ind w:left="731" w:hanging="300"/>
      </w:pPr>
    </w:lvl>
    <w:lvl w:ilvl="4">
      <w:start w:val="1"/>
      <w:numFmt w:val="lowerLetter"/>
      <w:pStyle w:val="JuHa0"/>
      <w:lvlText w:val="(%5)"/>
      <w:lvlJc w:val="left"/>
      <w:pPr>
        <w:ind w:left="975" w:hanging="340"/>
      </w:pPr>
    </w:lvl>
    <w:lvl w:ilvl="5">
      <w:start w:val="1"/>
      <w:numFmt w:val="lowerRoman"/>
      <w:pStyle w:val="JuHi"/>
      <w:suff w:val="space"/>
      <w:lvlText w:val="(%6)"/>
      <w:lvlJc w:val="left"/>
      <w:pPr>
        <w:ind w:left="1191" w:hanging="358"/>
      </w:pPr>
    </w:lvl>
    <w:lvl w:ilvl="6">
      <w:start w:val="1"/>
      <w:numFmt w:val="decimal"/>
      <w:pStyle w:val="JuHalpha"/>
      <w:lvlText w:val="(%7)"/>
      <w:lvlJc w:val="left"/>
      <w:pPr>
        <w:ind w:left="1372" w:hanging="334"/>
      </w:pPr>
    </w:lvl>
    <w:lvl w:ilvl="7">
      <w:start w:val="1"/>
      <w:numFmt w:val="bullet"/>
      <w:pStyle w:val="JuH"/>
      <w:lvlText w:val="‒"/>
      <w:lvlJc w:val="left"/>
      <w:pPr>
        <w:ind w:left="1418" w:hanging="227"/>
      </w:pPr>
      <w:rPr>
        <w:rFonts w:ascii="Times New Roman" w:hAnsi="Times New Roman" w:cs="Times New Roman" w:hint="default"/>
        <w:color w:val="auto"/>
      </w:rPr>
    </w:lvl>
    <w:lvl w:ilvl="8">
      <w:start w:val="1"/>
      <w:numFmt w:val="bullet"/>
      <w:pStyle w:val="ECHRHeading9"/>
      <w:lvlText w:val="▪"/>
      <w:lvlJc w:val="left"/>
      <w:pPr>
        <w:ind w:left="1644" w:hanging="226"/>
      </w:pPr>
      <w:rPr>
        <w:rFonts w:ascii="Times New Roman" w:hAnsi="Times New Roman" w:cs="Times New Roman" w:hint="default"/>
        <w:color w:val="auto"/>
      </w:rPr>
    </w:lvl>
  </w:abstractNum>
  <w:abstractNum w:abstractNumId="4" w15:restartNumberingAfterBreak="0">
    <w:nsid w:val="11AA5560"/>
    <w:multiLevelType w:val="multilevel"/>
    <w:tmpl w:val="0A70C77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5" w15:restartNumberingAfterBreak="0">
    <w:nsid w:val="1FBD3C95"/>
    <w:multiLevelType w:val="hybridMultilevel"/>
    <w:tmpl w:val="FBF45F7C"/>
    <w:lvl w:ilvl="0" w:tplc="00287190">
      <w:start w:val="1"/>
      <w:numFmt w:val="upp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20395097"/>
    <w:multiLevelType w:val="hybridMultilevel"/>
    <w:tmpl w:val="ADD69410"/>
    <w:lvl w:ilvl="0" w:tplc="B862F8AC">
      <w:start w:val="1"/>
      <w:numFmt w:val="decimal"/>
      <w:pStyle w:val="Numro"/>
      <w:lvlText w:val="%1."/>
      <w:lvlJc w:val="left"/>
      <w:pPr>
        <w:tabs>
          <w:tab w:val="num" w:pos="360"/>
        </w:tabs>
        <w:ind w:left="0" w:firstLine="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37352D97"/>
    <w:multiLevelType w:val="hybridMultilevel"/>
    <w:tmpl w:val="8780CB42"/>
    <w:lvl w:ilvl="0" w:tplc="7CF43714">
      <w:start w:val="1"/>
      <w:numFmt w:val="upp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8" w15:restartNumberingAfterBreak="0">
    <w:nsid w:val="40A12DE5"/>
    <w:multiLevelType w:val="hybridMultilevel"/>
    <w:tmpl w:val="45565888"/>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26A30C0"/>
    <w:multiLevelType w:val="hybridMultilevel"/>
    <w:tmpl w:val="BA143EC0"/>
    <w:lvl w:ilvl="0" w:tplc="564C0E6C">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49E5253C"/>
    <w:multiLevelType w:val="hybridMultilevel"/>
    <w:tmpl w:val="4C48BBAA"/>
    <w:lvl w:ilvl="0" w:tplc="5D3C6404">
      <w:start w:val="1"/>
      <w:numFmt w:val="upp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15:restartNumberingAfterBreak="0">
    <w:nsid w:val="4ADE5D76"/>
    <w:multiLevelType w:val="multilevel"/>
    <w:tmpl w:val="8F0A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90230"/>
    <w:multiLevelType w:val="hybridMultilevel"/>
    <w:tmpl w:val="43A6CD10"/>
    <w:lvl w:ilvl="0" w:tplc="60A2B542">
      <w:start w:val="1"/>
      <w:numFmt w:val="upperRoman"/>
      <w:lvlText w:val="%1."/>
      <w:lvlJc w:val="right"/>
      <w:pPr>
        <w:tabs>
          <w:tab w:val="num" w:pos="540"/>
        </w:tabs>
        <w:ind w:left="540" w:hanging="180"/>
      </w:pPr>
      <w:rPr>
        <w:rFonts w:ascii="Arial" w:hAnsi="Arial" w:hint="default"/>
        <w:b/>
        <w:i w:val="0"/>
        <w:sz w:val="28"/>
        <w:szCs w:val="28"/>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56B9429C"/>
    <w:multiLevelType w:val="multilevel"/>
    <w:tmpl w:val="4CD28D7E"/>
    <w:lvl w:ilvl="0">
      <w:start w:val="1"/>
      <w:numFmt w:val="none"/>
      <w:suff w:val="nothing"/>
      <w:lvlText w:val=""/>
      <w:lvlJc w:val="left"/>
      <w:pPr>
        <w:ind w:left="0" w:firstLine="0"/>
      </w:pPr>
    </w:lvl>
    <w:lvl w:ilvl="1">
      <w:start w:val="1"/>
      <w:numFmt w:val="upperRoman"/>
      <w:suff w:val="space"/>
      <w:lvlText w:val="%2."/>
      <w:lvlJc w:val="left"/>
      <w:pPr>
        <w:ind w:left="499" w:hanging="357"/>
      </w:pPr>
      <w:rPr>
        <w:sz w:val="24"/>
      </w:rPr>
    </w:lvl>
    <w:lvl w:ilvl="2">
      <w:start w:val="1"/>
      <w:numFmt w:val="upperLetter"/>
      <w:lvlText w:val="%3."/>
      <w:lvlJc w:val="left"/>
      <w:pPr>
        <w:ind w:left="494" w:hanging="352"/>
      </w:pPr>
    </w:lvl>
    <w:lvl w:ilvl="3">
      <w:start w:val="1"/>
      <w:numFmt w:val="decimal"/>
      <w:lvlText w:val="%4."/>
      <w:lvlJc w:val="left"/>
      <w:pPr>
        <w:ind w:left="1010" w:hanging="300"/>
      </w:pPr>
    </w:lvl>
    <w:lvl w:ilvl="4">
      <w:start w:val="1"/>
      <w:numFmt w:val="lowerLetter"/>
      <w:lvlText w:val="%5)"/>
      <w:lvlJc w:val="left"/>
      <w:pPr>
        <w:ind w:left="340" w:hanging="340"/>
      </w:pPr>
    </w:lvl>
    <w:lvl w:ilvl="5">
      <w:start w:val="1"/>
      <w:numFmt w:val="lowerRoman"/>
      <w:suff w:val="space"/>
      <w:lvlText w:val="%6."/>
      <w:lvlJc w:val="left"/>
      <w:pPr>
        <w:ind w:left="1191" w:hanging="358"/>
      </w:p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cs="Times New Roman" w:hint="default"/>
        <w:color w:val="auto"/>
      </w:rPr>
    </w:lvl>
    <w:lvl w:ilvl="8">
      <w:start w:val="1"/>
      <w:numFmt w:val="none"/>
      <w:lvlText w:val="%9"/>
      <w:lvlJc w:val="right"/>
      <w:pPr>
        <w:ind w:left="7313" w:hanging="180"/>
      </w:pPr>
    </w:lvl>
  </w:abstractNum>
  <w:abstractNum w:abstractNumId="14" w15:restartNumberingAfterBreak="0">
    <w:nsid w:val="66940DBB"/>
    <w:multiLevelType w:val="hybridMultilevel"/>
    <w:tmpl w:val="06E274C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71F75929"/>
    <w:multiLevelType w:val="hybridMultilevel"/>
    <w:tmpl w:val="57C81824"/>
    <w:lvl w:ilvl="0" w:tplc="6B5AEED8">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 w15:restartNumberingAfterBreak="0">
    <w:nsid w:val="77B832AD"/>
    <w:multiLevelType w:val="hybridMultilevel"/>
    <w:tmpl w:val="4D4E2874"/>
    <w:lvl w:ilvl="0" w:tplc="EEA6E538">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num w:numId="1">
    <w:abstractNumId w:val="9"/>
  </w:num>
  <w:num w:numId="2">
    <w:abstractNumId w:val="7"/>
  </w:num>
  <w:num w:numId="3">
    <w:abstractNumId w:val="6"/>
  </w:num>
  <w:num w:numId="4">
    <w:abstractNumId w:val="10"/>
  </w:num>
  <w:num w:numId="5">
    <w:abstractNumId w:val="5"/>
  </w:num>
  <w:num w:numId="6">
    <w:abstractNumId w:val="2"/>
  </w:num>
  <w:num w:numId="7">
    <w:abstractNumId w:val="1"/>
  </w:num>
  <w:num w:numId="8">
    <w:abstractNumId w:val="1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1">
    <w:abstractNumId w:val="15"/>
  </w:num>
  <w:num w:numId="12">
    <w:abstractNumId w:val="8"/>
  </w:num>
  <w:num w:numId="13">
    <w:abstractNumId w:val="12"/>
  </w:num>
  <w:num w:numId="14">
    <w:abstractNumId w:val="14"/>
  </w:num>
  <w:num w:numId="15">
    <w:abstractNumId w:val="16"/>
  </w:num>
  <w:num w:numId="16">
    <w:abstractNumId w:val="0"/>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43"/>
    <w:rsid w:val="000018B0"/>
    <w:rsid w:val="000046FB"/>
    <w:rsid w:val="000061B5"/>
    <w:rsid w:val="00006D11"/>
    <w:rsid w:val="00007791"/>
    <w:rsid w:val="000105DC"/>
    <w:rsid w:val="000117C7"/>
    <w:rsid w:val="00011F0D"/>
    <w:rsid w:val="00022B6D"/>
    <w:rsid w:val="0002449F"/>
    <w:rsid w:val="0002532C"/>
    <w:rsid w:val="00031313"/>
    <w:rsid w:val="0003188B"/>
    <w:rsid w:val="00033839"/>
    <w:rsid w:val="00033E9B"/>
    <w:rsid w:val="00036210"/>
    <w:rsid w:val="00037E2E"/>
    <w:rsid w:val="000468AA"/>
    <w:rsid w:val="00046C32"/>
    <w:rsid w:val="00051723"/>
    <w:rsid w:val="000517D3"/>
    <w:rsid w:val="000534AB"/>
    <w:rsid w:val="00054C1C"/>
    <w:rsid w:val="00061FCB"/>
    <w:rsid w:val="00071193"/>
    <w:rsid w:val="000744AB"/>
    <w:rsid w:val="0007482B"/>
    <w:rsid w:val="00077764"/>
    <w:rsid w:val="00082498"/>
    <w:rsid w:val="000824A9"/>
    <w:rsid w:val="0008304F"/>
    <w:rsid w:val="000902F6"/>
    <w:rsid w:val="00091673"/>
    <w:rsid w:val="00091E53"/>
    <w:rsid w:val="00093A39"/>
    <w:rsid w:val="00096BCE"/>
    <w:rsid w:val="000A0679"/>
    <w:rsid w:val="000A284B"/>
    <w:rsid w:val="000A62B5"/>
    <w:rsid w:val="000B00D1"/>
    <w:rsid w:val="000B359E"/>
    <w:rsid w:val="000B4584"/>
    <w:rsid w:val="000B56CD"/>
    <w:rsid w:val="000C104D"/>
    <w:rsid w:val="000C6A18"/>
    <w:rsid w:val="000D4081"/>
    <w:rsid w:val="000D521B"/>
    <w:rsid w:val="000E09B2"/>
    <w:rsid w:val="000E2839"/>
    <w:rsid w:val="000F25AB"/>
    <w:rsid w:val="000F3D0E"/>
    <w:rsid w:val="00101E36"/>
    <w:rsid w:val="0011644A"/>
    <w:rsid w:val="00121E5C"/>
    <w:rsid w:val="00124972"/>
    <w:rsid w:val="001262D6"/>
    <w:rsid w:val="00137942"/>
    <w:rsid w:val="00140D63"/>
    <w:rsid w:val="0014301C"/>
    <w:rsid w:val="00144A75"/>
    <w:rsid w:val="00144C1E"/>
    <w:rsid w:val="00147FBB"/>
    <w:rsid w:val="00150D74"/>
    <w:rsid w:val="00156F3E"/>
    <w:rsid w:val="00160C52"/>
    <w:rsid w:val="001610B1"/>
    <w:rsid w:val="0016421F"/>
    <w:rsid w:val="0016748E"/>
    <w:rsid w:val="00167CA7"/>
    <w:rsid w:val="00167D7F"/>
    <w:rsid w:val="00177096"/>
    <w:rsid w:val="00185E42"/>
    <w:rsid w:val="00187012"/>
    <w:rsid w:val="00187086"/>
    <w:rsid w:val="00187D94"/>
    <w:rsid w:val="00192DDF"/>
    <w:rsid w:val="00193050"/>
    <w:rsid w:val="001934EE"/>
    <w:rsid w:val="00193FBA"/>
    <w:rsid w:val="001B2F24"/>
    <w:rsid w:val="001B5EFC"/>
    <w:rsid w:val="001B7B7C"/>
    <w:rsid w:val="001C3CCE"/>
    <w:rsid w:val="001D351E"/>
    <w:rsid w:val="001D3977"/>
    <w:rsid w:val="001D5DE4"/>
    <w:rsid w:val="001E1099"/>
    <w:rsid w:val="001E2A9D"/>
    <w:rsid w:val="001E2F66"/>
    <w:rsid w:val="001E6DF6"/>
    <w:rsid w:val="001F1FFC"/>
    <w:rsid w:val="001F3180"/>
    <w:rsid w:val="001F40C6"/>
    <w:rsid w:val="001F71AF"/>
    <w:rsid w:val="00201DB9"/>
    <w:rsid w:val="00203DDE"/>
    <w:rsid w:val="00204119"/>
    <w:rsid w:val="00204B98"/>
    <w:rsid w:val="002067BF"/>
    <w:rsid w:val="0020711F"/>
    <w:rsid w:val="00207A5A"/>
    <w:rsid w:val="00216E90"/>
    <w:rsid w:val="002263B3"/>
    <w:rsid w:val="0023438E"/>
    <w:rsid w:val="0024036F"/>
    <w:rsid w:val="00246A5D"/>
    <w:rsid w:val="002477E2"/>
    <w:rsid w:val="00247942"/>
    <w:rsid w:val="00247A35"/>
    <w:rsid w:val="00255D13"/>
    <w:rsid w:val="00256139"/>
    <w:rsid w:val="002563C4"/>
    <w:rsid w:val="00257552"/>
    <w:rsid w:val="00262A08"/>
    <w:rsid w:val="00273EF3"/>
    <w:rsid w:val="00274A3A"/>
    <w:rsid w:val="002772C2"/>
    <w:rsid w:val="00286906"/>
    <w:rsid w:val="00287951"/>
    <w:rsid w:val="00290F01"/>
    <w:rsid w:val="002969A5"/>
    <w:rsid w:val="002A029A"/>
    <w:rsid w:val="002A57E1"/>
    <w:rsid w:val="002B0791"/>
    <w:rsid w:val="002B225D"/>
    <w:rsid w:val="002B3EC6"/>
    <w:rsid w:val="002B5610"/>
    <w:rsid w:val="002B5ECD"/>
    <w:rsid w:val="002B61E6"/>
    <w:rsid w:val="002B6636"/>
    <w:rsid w:val="002C1F58"/>
    <w:rsid w:val="002C43F6"/>
    <w:rsid w:val="002C6A42"/>
    <w:rsid w:val="002C6D4E"/>
    <w:rsid w:val="002D5303"/>
    <w:rsid w:val="002D5819"/>
    <w:rsid w:val="002E0949"/>
    <w:rsid w:val="002E1150"/>
    <w:rsid w:val="002E15BF"/>
    <w:rsid w:val="002E36B2"/>
    <w:rsid w:val="002F1851"/>
    <w:rsid w:val="002F42A8"/>
    <w:rsid w:val="002F5862"/>
    <w:rsid w:val="002F7C3F"/>
    <w:rsid w:val="00300704"/>
    <w:rsid w:val="003100B4"/>
    <w:rsid w:val="00311997"/>
    <w:rsid w:val="0031577D"/>
    <w:rsid w:val="00315D82"/>
    <w:rsid w:val="00323650"/>
    <w:rsid w:val="00326647"/>
    <w:rsid w:val="0032780B"/>
    <w:rsid w:val="00337AAC"/>
    <w:rsid w:val="00341B4B"/>
    <w:rsid w:val="003543B9"/>
    <w:rsid w:val="00376770"/>
    <w:rsid w:val="003779E1"/>
    <w:rsid w:val="003808B2"/>
    <w:rsid w:val="00383159"/>
    <w:rsid w:val="0038426C"/>
    <w:rsid w:val="003862EA"/>
    <w:rsid w:val="00386A52"/>
    <w:rsid w:val="003870E8"/>
    <w:rsid w:val="00393693"/>
    <w:rsid w:val="003944E4"/>
    <w:rsid w:val="003971BA"/>
    <w:rsid w:val="003974BF"/>
    <w:rsid w:val="003A0E40"/>
    <w:rsid w:val="003A2451"/>
    <w:rsid w:val="003A2E88"/>
    <w:rsid w:val="003A52FA"/>
    <w:rsid w:val="003A6B8B"/>
    <w:rsid w:val="003B0D4C"/>
    <w:rsid w:val="003B520F"/>
    <w:rsid w:val="003C5312"/>
    <w:rsid w:val="003C7575"/>
    <w:rsid w:val="003D0D07"/>
    <w:rsid w:val="003D20D3"/>
    <w:rsid w:val="003D26F7"/>
    <w:rsid w:val="003D30FB"/>
    <w:rsid w:val="003E3A55"/>
    <w:rsid w:val="003E3CCB"/>
    <w:rsid w:val="003E6507"/>
    <w:rsid w:val="003E783E"/>
    <w:rsid w:val="003F1F4F"/>
    <w:rsid w:val="003F4A2B"/>
    <w:rsid w:val="003F524A"/>
    <w:rsid w:val="003F5402"/>
    <w:rsid w:val="003F5C0E"/>
    <w:rsid w:val="003F5EEC"/>
    <w:rsid w:val="004045ED"/>
    <w:rsid w:val="00405AEF"/>
    <w:rsid w:val="004121E1"/>
    <w:rsid w:val="0041417D"/>
    <w:rsid w:val="00414803"/>
    <w:rsid w:val="00417021"/>
    <w:rsid w:val="00420A9F"/>
    <w:rsid w:val="004218F3"/>
    <w:rsid w:val="00422E01"/>
    <w:rsid w:val="00424A56"/>
    <w:rsid w:val="00424DB6"/>
    <w:rsid w:val="004253CF"/>
    <w:rsid w:val="004320CF"/>
    <w:rsid w:val="00432C31"/>
    <w:rsid w:val="00433C27"/>
    <w:rsid w:val="004344EF"/>
    <w:rsid w:val="00434EE0"/>
    <w:rsid w:val="0043545D"/>
    <w:rsid w:val="004366E8"/>
    <w:rsid w:val="00436B73"/>
    <w:rsid w:val="0044566E"/>
    <w:rsid w:val="004456DF"/>
    <w:rsid w:val="00446E4F"/>
    <w:rsid w:val="00447CEE"/>
    <w:rsid w:val="004516A6"/>
    <w:rsid w:val="00452F9A"/>
    <w:rsid w:val="004633A5"/>
    <w:rsid w:val="00467E38"/>
    <w:rsid w:val="00471114"/>
    <w:rsid w:val="00482D4B"/>
    <w:rsid w:val="00483A29"/>
    <w:rsid w:val="00484680"/>
    <w:rsid w:val="00485339"/>
    <w:rsid w:val="00487847"/>
    <w:rsid w:val="00487D3D"/>
    <w:rsid w:val="00491941"/>
    <w:rsid w:val="00491CC1"/>
    <w:rsid w:val="00496368"/>
    <w:rsid w:val="004A1FA5"/>
    <w:rsid w:val="004A740F"/>
    <w:rsid w:val="004A7FCD"/>
    <w:rsid w:val="004B5045"/>
    <w:rsid w:val="004B5FD8"/>
    <w:rsid w:val="004B7AA1"/>
    <w:rsid w:val="004C06CA"/>
    <w:rsid w:val="004C2FB9"/>
    <w:rsid w:val="004C3C7C"/>
    <w:rsid w:val="004C4EBE"/>
    <w:rsid w:val="004D1ADF"/>
    <w:rsid w:val="004D3661"/>
    <w:rsid w:val="004D55A6"/>
    <w:rsid w:val="004D562B"/>
    <w:rsid w:val="004D7701"/>
    <w:rsid w:val="004E267B"/>
    <w:rsid w:val="004E79FE"/>
    <w:rsid w:val="004E7C17"/>
    <w:rsid w:val="004F11CE"/>
    <w:rsid w:val="004F2C5B"/>
    <w:rsid w:val="004F7E59"/>
    <w:rsid w:val="00501F8D"/>
    <w:rsid w:val="005046D6"/>
    <w:rsid w:val="00505198"/>
    <w:rsid w:val="005057E8"/>
    <w:rsid w:val="005062F3"/>
    <w:rsid w:val="00513BC8"/>
    <w:rsid w:val="0051574B"/>
    <w:rsid w:val="00515BEB"/>
    <w:rsid w:val="00522329"/>
    <w:rsid w:val="00522CC3"/>
    <w:rsid w:val="00526526"/>
    <w:rsid w:val="00532952"/>
    <w:rsid w:val="0053549A"/>
    <w:rsid w:val="005421A6"/>
    <w:rsid w:val="005422A3"/>
    <w:rsid w:val="00550768"/>
    <w:rsid w:val="005576CE"/>
    <w:rsid w:val="00562C76"/>
    <w:rsid w:val="005660E8"/>
    <w:rsid w:val="00566CE4"/>
    <w:rsid w:val="0056788D"/>
    <w:rsid w:val="00567DC5"/>
    <w:rsid w:val="00570968"/>
    <w:rsid w:val="00573279"/>
    <w:rsid w:val="00573F3C"/>
    <w:rsid w:val="005740AA"/>
    <w:rsid w:val="00581225"/>
    <w:rsid w:val="00587622"/>
    <w:rsid w:val="0059045F"/>
    <w:rsid w:val="00591C59"/>
    <w:rsid w:val="005936F7"/>
    <w:rsid w:val="005A0B1D"/>
    <w:rsid w:val="005A3D46"/>
    <w:rsid w:val="005A45BE"/>
    <w:rsid w:val="005B11DB"/>
    <w:rsid w:val="005B5FF9"/>
    <w:rsid w:val="005B6067"/>
    <w:rsid w:val="005C696B"/>
    <w:rsid w:val="005D0E2F"/>
    <w:rsid w:val="005D57BB"/>
    <w:rsid w:val="005D5800"/>
    <w:rsid w:val="005D668D"/>
    <w:rsid w:val="005D77CB"/>
    <w:rsid w:val="005D7A4F"/>
    <w:rsid w:val="005F009A"/>
    <w:rsid w:val="005F1BEC"/>
    <w:rsid w:val="005F1D48"/>
    <w:rsid w:val="005F2298"/>
    <w:rsid w:val="005F6121"/>
    <w:rsid w:val="005F6C92"/>
    <w:rsid w:val="005F72E5"/>
    <w:rsid w:val="00601D14"/>
    <w:rsid w:val="00601E53"/>
    <w:rsid w:val="00603377"/>
    <w:rsid w:val="00603F02"/>
    <w:rsid w:val="00621360"/>
    <w:rsid w:val="006227FC"/>
    <w:rsid w:val="00624463"/>
    <w:rsid w:val="00625708"/>
    <w:rsid w:val="00630160"/>
    <w:rsid w:val="0063086E"/>
    <w:rsid w:val="00632568"/>
    <w:rsid w:val="006329E4"/>
    <w:rsid w:val="0063555C"/>
    <w:rsid w:val="00635A7E"/>
    <w:rsid w:val="00642FC4"/>
    <w:rsid w:val="00645F23"/>
    <w:rsid w:val="00650F1B"/>
    <w:rsid w:val="00653FA7"/>
    <w:rsid w:val="00654782"/>
    <w:rsid w:val="00660B84"/>
    <w:rsid w:val="006645F9"/>
    <w:rsid w:val="00664AA7"/>
    <w:rsid w:val="006655FB"/>
    <w:rsid w:val="0066709E"/>
    <w:rsid w:val="0067081B"/>
    <w:rsid w:val="0067754B"/>
    <w:rsid w:val="006858EC"/>
    <w:rsid w:val="00691484"/>
    <w:rsid w:val="0069218E"/>
    <w:rsid w:val="0069495B"/>
    <w:rsid w:val="006956AF"/>
    <w:rsid w:val="00695716"/>
    <w:rsid w:val="006A19FC"/>
    <w:rsid w:val="006B043C"/>
    <w:rsid w:val="006B25F1"/>
    <w:rsid w:val="006B31A7"/>
    <w:rsid w:val="006B470E"/>
    <w:rsid w:val="006B6C86"/>
    <w:rsid w:val="006C1182"/>
    <w:rsid w:val="006C19EE"/>
    <w:rsid w:val="006C4FA5"/>
    <w:rsid w:val="006C54BD"/>
    <w:rsid w:val="006D373C"/>
    <w:rsid w:val="006D39B4"/>
    <w:rsid w:val="006D54A8"/>
    <w:rsid w:val="006E1AA9"/>
    <w:rsid w:val="006E7206"/>
    <w:rsid w:val="006F22E0"/>
    <w:rsid w:val="006F4C32"/>
    <w:rsid w:val="007006C8"/>
    <w:rsid w:val="007020A6"/>
    <w:rsid w:val="00706479"/>
    <w:rsid w:val="00706FB3"/>
    <w:rsid w:val="00707FEC"/>
    <w:rsid w:val="00712A10"/>
    <w:rsid w:val="00715101"/>
    <w:rsid w:val="0071528B"/>
    <w:rsid w:val="00716391"/>
    <w:rsid w:val="0075082F"/>
    <w:rsid w:val="0075236E"/>
    <w:rsid w:val="00753EFC"/>
    <w:rsid w:val="0075566A"/>
    <w:rsid w:val="0075742E"/>
    <w:rsid w:val="00760005"/>
    <w:rsid w:val="007636DC"/>
    <w:rsid w:val="007644FE"/>
    <w:rsid w:val="00767EA7"/>
    <w:rsid w:val="007736BC"/>
    <w:rsid w:val="00773F65"/>
    <w:rsid w:val="00780146"/>
    <w:rsid w:val="0078158A"/>
    <w:rsid w:val="00781885"/>
    <w:rsid w:val="00781E31"/>
    <w:rsid w:val="00786DF7"/>
    <w:rsid w:val="00787ABC"/>
    <w:rsid w:val="00791441"/>
    <w:rsid w:val="0079324F"/>
    <w:rsid w:val="007A0110"/>
    <w:rsid w:val="007A07C0"/>
    <w:rsid w:val="007A0DAF"/>
    <w:rsid w:val="007A5878"/>
    <w:rsid w:val="007A768F"/>
    <w:rsid w:val="007B09E1"/>
    <w:rsid w:val="007B3976"/>
    <w:rsid w:val="007B5E2E"/>
    <w:rsid w:val="007D141E"/>
    <w:rsid w:val="007D3F3C"/>
    <w:rsid w:val="007D538A"/>
    <w:rsid w:val="007D59EF"/>
    <w:rsid w:val="007E2411"/>
    <w:rsid w:val="007E3CB8"/>
    <w:rsid w:val="007E3DB2"/>
    <w:rsid w:val="007F26BB"/>
    <w:rsid w:val="007F3EFD"/>
    <w:rsid w:val="007F49E0"/>
    <w:rsid w:val="00813FBF"/>
    <w:rsid w:val="008152FC"/>
    <w:rsid w:val="008219CE"/>
    <w:rsid w:val="00824994"/>
    <w:rsid w:val="0082584C"/>
    <w:rsid w:val="00826E55"/>
    <w:rsid w:val="00826EB6"/>
    <w:rsid w:val="00827DD4"/>
    <w:rsid w:val="008353F5"/>
    <w:rsid w:val="008356DE"/>
    <w:rsid w:val="0083571A"/>
    <w:rsid w:val="00836F3F"/>
    <w:rsid w:val="0083789B"/>
    <w:rsid w:val="00837D1A"/>
    <w:rsid w:val="00841159"/>
    <w:rsid w:val="00841C1F"/>
    <w:rsid w:val="008446E8"/>
    <w:rsid w:val="0084538D"/>
    <w:rsid w:val="00845D8C"/>
    <w:rsid w:val="008470C6"/>
    <w:rsid w:val="00847913"/>
    <w:rsid w:val="00855603"/>
    <w:rsid w:val="00855834"/>
    <w:rsid w:val="00855C7F"/>
    <w:rsid w:val="00856609"/>
    <w:rsid w:val="00862842"/>
    <w:rsid w:val="00865DE8"/>
    <w:rsid w:val="008667E6"/>
    <w:rsid w:val="00870262"/>
    <w:rsid w:val="008762D2"/>
    <w:rsid w:val="00876792"/>
    <w:rsid w:val="008773B5"/>
    <w:rsid w:val="00877742"/>
    <w:rsid w:val="00880C20"/>
    <w:rsid w:val="00883AF6"/>
    <w:rsid w:val="00884591"/>
    <w:rsid w:val="008871B1"/>
    <w:rsid w:val="0089082F"/>
    <w:rsid w:val="00892DAC"/>
    <w:rsid w:val="008A17C3"/>
    <w:rsid w:val="008A1B22"/>
    <w:rsid w:val="008A4576"/>
    <w:rsid w:val="008A5CE1"/>
    <w:rsid w:val="008B23A6"/>
    <w:rsid w:val="008B23C5"/>
    <w:rsid w:val="008B42E5"/>
    <w:rsid w:val="008B48FC"/>
    <w:rsid w:val="008C1A57"/>
    <w:rsid w:val="008C4675"/>
    <w:rsid w:val="008C48BB"/>
    <w:rsid w:val="008C6131"/>
    <w:rsid w:val="008C63B2"/>
    <w:rsid w:val="008C6671"/>
    <w:rsid w:val="008C6B93"/>
    <w:rsid w:val="008D1C14"/>
    <w:rsid w:val="008D1E1E"/>
    <w:rsid w:val="008D3016"/>
    <w:rsid w:val="008D4511"/>
    <w:rsid w:val="008D51C1"/>
    <w:rsid w:val="008D739B"/>
    <w:rsid w:val="008D746F"/>
    <w:rsid w:val="008D7997"/>
    <w:rsid w:val="008E0992"/>
    <w:rsid w:val="008E249E"/>
    <w:rsid w:val="008F24A0"/>
    <w:rsid w:val="008F778D"/>
    <w:rsid w:val="00912882"/>
    <w:rsid w:val="009240E1"/>
    <w:rsid w:val="009273BB"/>
    <w:rsid w:val="00930931"/>
    <w:rsid w:val="00930C0C"/>
    <w:rsid w:val="00933CAE"/>
    <w:rsid w:val="009354C8"/>
    <w:rsid w:val="00936872"/>
    <w:rsid w:val="00936ACA"/>
    <w:rsid w:val="009415DD"/>
    <w:rsid w:val="009444D8"/>
    <w:rsid w:val="009512CF"/>
    <w:rsid w:val="00952336"/>
    <w:rsid w:val="00954132"/>
    <w:rsid w:val="0096580A"/>
    <w:rsid w:val="009677D9"/>
    <w:rsid w:val="00980A79"/>
    <w:rsid w:val="009859BE"/>
    <w:rsid w:val="00987800"/>
    <w:rsid w:val="00996BDD"/>
    <w:rsid w:val="009971DF"/>
    <w:rsid w:val="009A2B5D"/>
    <w:rsid w:val="009A5C36"/>
    <w:rsid w:val="009B3171"/>
    <w:rsid w:val="009B360E"/>
    <w:rsid w:val="009C2902"/>
    <w:rsid w:val="009C58A3"/>
    <w:rsid w:val="009C66AB"/>
    <w:rsid w:val="009C67AE"/>
    <w:rsid w:val="009E1B78"/>
    <w:rsid w:val="009E321B"/>
    <w:rsid w:val="009E3888"/>
    <w:rsid w:val="009F1C43"/>
    <w:rsid w:val="009F2715"/>
    <w:rsid w:val="009F2D26"/>
    <w:rsid w:val="009F3FEB"/>
    <w:rsid w:val="009F46BD"/>
    <w:rsid w:val="009F5192"/>
    <w:rsid w:val="009F7B2F"/>
    <w:rsid w:val="00A00C7F"/>
    <w:rsid w:val="00A0106F"/>
    <w:rsid w:val="00A02ED4"/>
    <w:rsid w:val="00A0324F"/>
    <w:rsid w:val="00A03312"/>
    <w:rsid w:val="00A033AB"/>
    <w:rsid w:val="00A03564"/>
    <w:rsid w:val="00A05607"/>
    <w:rsid w:val="00A05BAD"/>
    <w:rsid w:val="00A068F0"/>
    <w:rsid w:val="00A172BC"/>
    <w:rsid w:val="00A17916"/>
    <w:rsid w:val="00A27646"/>
    <w:rsid w:val="00A3535F"/>
    <w:rsid w:val="00A35B51"/>
    <w:rsid w:val="00A4026A"/>
    <w:rsid w:val="00A45759"/>
    <w:rsid w:val="00A46870"/>
    <w:rsid w:val="00A47CB9"/>
    <w:rsid w:val="00A50525"/>
    <w:rsid w:val="00A536A1"/>
    <w:rsid w:val="00A62833"/>
    <w:rsid w:val="00A62B8D"/>
    <w:rsid w:val="00A64B91"/>
    <w:rsid w:val="00A6526B"/>
    <w:rsid w:val="00A71F48"/>
    <w:rsid w:val="00A7270E"/>
    <w:rsid w:val="00A73B12"/>
    <w:rsid w:val="00A742E9"/>
    <w:rsid w:val="00A74643"/>
    <w:rsid w:val="00A74B05"/>
    <w:rsid w:val="00A7583F"/>
    <w:rsid w:val="00A81D3C"/>
    <w:rsid w:val="00A86E14"/>
    <w:rsid w:val="00A90B7A"/>
    <w:rsid w:val="00A9283C"/>
    <w:rsid w:val="00A970E4"/>
    <w:rsid w:val="00A97344"/>
    <w:rsid w:val="00AA028B"/>
    <w:rsid w:val="00AA4C79"/>
    <w:rsid w:val="00AB1688"/>
    <w:rsid w:val="00AB37E7"/>
    <w:rsid w:val="00AB40E2"/>
    <w:rsid w:val="00AC1A54"/>
    <w:rsid w:val="00AC298E"/>
    <w:rsid w:val="00AC40C1"/>
    <w:rsid w:val="00AC5A5A"/>
    <w:rsid w:val="00AC74D0"/>
    <w:rsid w:val="00AD3026"/>
    <w:rsid w:val="00AD5F76"/>
    <w:rsid w:val="00AD6689"/>
    <w:rsid w:val="00AF0577"/>
    <w:rsid w:val="00AF11F9"/>
    <w:rsid w:val="00B00E89"/>
    <w:rsid w:val="00B014F1"/>
    <w:rsid w:val="00B06694"/>
    <w:rsid w:val="00B074D6"/>
    <w:rsid w:val="00B126FA"/>
    <w:rsid w:val="00B13E8F"/>
    <w:rsid w:val="00B2495B"/>
    <w:rsid w:val="00B27D7D"/>
    <w:rsid w:val="00B3058C"/>
    <w:rsid w:val="00B31652"/>
    <w:rsid w:val="00B3307B"/>
    <w:rsid w:val="00B34890"/>
    <w:rsid w:val="00B41854"/>
    <w:rsid w:val="00B41E21"/>
    <w:rsid w:val="00B4618C"/>
    <w:rsid w:val="00B509A1"/>
    <w:rsid w:val="00B537E9"/>
    <w:rsid w:val="00B5643B"/>
    <w:rsid w:val="00B60BBB"/>
    <w:rsid w:val="00B6337D"/>
    <w:rsid w:val="00B6477A"/>
    <w:rsid w:val="00B66FC0"/>
    <w:rsid w:val="00B67A2E"/>
    <w:rsid w:val="00B725D4"/>
    <w:rsid w:val="00B7504D"/>
    <w:rsid w:val="00B76276"/>
    <w:rsid w:val="00B769D8"/>
    <w:rsid w:val="00B8042A"/>
    <w:rsid w:val="00B80F16"/>
    <w:rsid w:val="00B8563B"/>
    <w:rsid w:val="00B923A6"/>
    <w:rsid w:val="00B92697"/>
    <w:rsid w:val="00B95DD7"/>
    <w:rsid w:val="00BA21A1"/>
    <w:rsid w:val="00BB24BD"/>
    <w:rsid w:val="00BB46BC"/>
    <w:rsid w:val="00BC1D81"/>
    <w:rsid w:val="00BC585D"/>
    <w:rsid w:val="00BD21A0"/>
    <w:rsid w:val="00BD3CE3"/>
    <w:rsid w:val="00BD4456"/>
    <w:rsid w:val="00BD5F75"/>
    <w:rsid w:val="00BD7D3C"/>
    <w:rsid w:val="00BE0D2B"/>
    <w:rsid w:val="00BE4035"/>
    <w:rsid w:val="00BF4186"/>
    <w:rsid w:val="00BF6D66"/>
    <w:rsid w:val="00C02817"/>
    <w:rsid w:val="00C02A94"/>
    <w:rsid w:val="00C0360C"/>
    <w:rsid w:val="00C14C9D"/>
    <w:rsid w:val="00C1523D"/>
    <w:rsid w:val="00C15935"/>
    <w:rsid w:val="00C20625"/>
    <w:rsid w:val="00C21C3B"/>
    <w:rsid w:val="00C22CC7"/>
    <w:rsid w:val="00C22F63"/>
    <w:rsid w:val="00C33D59"/>
    <w:rsid w:val="00C37E65"/>
    <w:rsid w:val="00C40B7D"/>
    <w:rsid w:val="00C41E0F"/>
    <w:rsid w:val="00C45A66"/>
    <w:rsid w:val="00C4785A"/>
    <w:rsid w:val="00C64597"/>
    <w:rsid w:val="00C71E00"/>
    <w:rsid w:val="00C71E40"/>
    <w:rsid w:val="00C72E54"/>
    <w:rsid w:val="00C80AE2"/>
    <w:rsid w:val="00C82346"/>
    <w:rsid w:val="00C82DB8"/>
    <w:rsid w:val="00C85B91"/>
    <w:rsid w:val="00C96086"/>
    <w:rsid w:val="00CA12DE"/>
    <w:rsid w:val="00CA1748"/>
    <w:rsid w:val="00CA3530"/>
    <w:rsid w:val="00CA3813"/>
    <w:rsid w:val="00CA4AAC"/>
    <w:rsid w:val="00CB2210"/>
    <w:rsid w:val="00CB37DA"/>
    <w:rsid w:val="00CB6F1A"/>
    <w:rsid w:val="00CC03A3"/>
    <w:rsid w:val="00CC7873"/>
    <w:rsid w:val="00CD1034"/>
    <w:rsid w:val="00CD1335"/>
    <w:rsid w:val="00CD4D91"/>
    <w:rsid w:val="00CD6269"/>
    <w:rsid w:val="00CD6404"/>
    <w:rsid w:val="00CD6E15"/>
    <w:rsid w:val="00CE1C35"/>
    <w:rsid w:val="00CE1FDE"/>
    <w:rsid w:val="00CE2350"/>
    <w:rsid w:val="00CE2DFE"/>
    <w:rsid w:val="00CE3B23"/>
    <w:rsid w:val="00CF3147"/>
    <w:rsid w:val="00CF5331"/>
    <w:rsid w:val="00CF7468"/>
    <w:rsid w:val="00D011D4"/>
    <w:rsid w:val="00D02CE8"/>
    <w:rsid w:val="00D14A9F"/>
    <w:rsid w:val="00D31875"/>
    <w:rsid w:val="00D33C54"/>
    <w:rsid w:val="00D36F7B"/>
    <w:rsid w:val="00D449EE"/>
    <w:rsid w:val="00D44B99"/>
    <w:rsid w:val="00D45B50"/>
    <w:rsid w:val="00D45F80"/>
    <w:rsid w:val="00D46049"/>
    <w:rsid w:val="00D51671"/>
    <w:rsid w:val="00D57A92"/>
    <w:rsid w:val="00D6194C"/>
    <w:rsid w:val="00D61E5A"/>
    <w:rsid w:val="00D71D0B"/>
    <w:rsid w:val="00D725C0"/>
    <w:rsid w:val="00D72D2F"/>
    <w:rsid w:val="00D75566"/>
    <w:rsid w:val="00D76270"/>
    <w:rsid w:val="00D81758"/>
    <w:rsid w:val="00D81BC2"/>
    <w:rsid w:val="00D81E81"/>
    <w:rsid w:val="00D82FD8"/>
    <w:rsid w:val="00D83FA0"/>
    <w:rsid w:val="00D9122A"/>
    <w:rsid w:val="00D920FD"/>
    <w:rsid w:val="00D96913"/>
    <w:rsid w:val="00D97DAE"/>
    <w:rsid w:val="00DA4C94"/>
    <w:rsid w:val="00DA569B"/>
    <w:rsid w:val="00DA7A17"/>
    <w:rsid w:val="00DB0FBC"/>
    <w:rsid w:val="00DB1C7C"/>
    <w:rsid w:val="00DC153E"/>
    <w:rsid w:val="00DC3CF4"/>
    <w:rsid w:val="00DC4380"/>
    <w:rsid w:val="00DC4F9E"/>
    <w:rsid w:val="00DC5F65"/>
    <w:rsid w:val="00DC71B9"/>
    <w:rsid w:val="00DD1B9B"/>
    <w:rsid w:val="00DD338B"/>
    <w:rsid w:val="00DD3514"/>
    <w:rsid w:val="00DD36D3"/>
    <w:rsid w:val="00DE189E"/>
    <w:rsid w:val="00DE2B83"/>
    <w:rsid w:val="00DE360C"/>
    <w:rsid w:val="00DE44FB"/>
    <w:rsid w:val="00DE592D"/>
    <w:rsid w:val="00DE7C96"/>
    <w:rsid w:val="00DF0144"/>
    <w:rsid w:val="00DF0CF4"/>
    <w:rsid w:val="00DF1BF9"/>
    <w:rsid w:val="00DF535A"/>
    <w:rsid w:val="00DF5661"/>
    <w:rsid w:val="00DF72D2"/>
    <w:rsid w:val="00DF777A"/>
    <w:rsid w:val="00DF781E"/>
    <w:rsid w:val="00E034DB"/>
    <w:rsid w:val="00E03E4B"/>
    <w:rsid w:val="00E06F63"/>
    <w:rsid w:val="00E0774D"/>
    <w:rsid w:val="00E10B85"/>
    <w:rsid w:val="00E11F77"/>
    <w:rsid w:val="00E12E1E"/>
    <w:rsid w:val="00E137BD"/>
    <w:rsid w:val="00E14C63"/>
    <w:rsid w:val="00E17565"/>
    <w:rsid w:val="00E1791A"/>
    <w:rsid w:val="00E20A5B"/>
    <w:rsid w:val="00E20B13"/>
    <w:rsid w:val="00E218E1"/>
    <w:rsid w:val="00E2276F"/>
    <w:rsid w:val="00E24AF6"/>
    <w:rsid w:val="00E258E2"/>
    <w:rsid w:val="00E26957"/>
    <w:rsid w:val="00E31A8D"/>
    <w:rsid w:val="00E34938"/>
    <w:rsid w:val="00E3497F"/>
    <w:rsid w:val="00E352E5"/>
    <w:rsid w:val="00E35A93"/>
    <w:rsid w:val="00E40D48"/>
    <w:rsid w:val="00E414B7"/>
    <w:rsid w:val="00E51FA7"/>
    <w:rsid w:val="00E55708"/>
    <w:rsid w:val="00E6056E"/>
    <w:rsid w:val="00E61009"/>
    <w:rsid w:val="00E61884"/>
    <w:rsid w:val="00E647CE"/>
    <w:rsid w:val="00E649E2"/>
    <w:rsid w:val="00E671B3"/>
    <w:rsid w:val="00E70052"/>
    <w:rsid w:val="00E7171F"/>
    <w:rsid w:val="00E71C61"/>
    <w:rsid w:val="00E72EAB"/>
    <w:rsid w:val="00E74AE1"/>
    <w:rsid w:val="00E77481"/>
    <w:rsid w:val="00E81F94"/>
    <w:rsid w:val="00E8209F"/>
    <w:rsid w:val="00E82989"/>
    <w:rsid w:val="00E831A1"/>
    <w:rsid w:val="00E941A4"/>
    <w:rsid w:val="00EA14AD"/>
    <w:rsid w:val="00EA206B"/>
    <w:rsid w:val="00EA67F3"/>
    <w:rsid w:val="00EB1440"/>
    <w:rsid w:val="00EB2335"/>
    <w:rsid w:val="00EB336E"/>
    <w:rsid w:val="00EB6224"/>
    <w:rsid w:val="00EB6F3A"/>
    <w:rsid w:val="00ED1F1D"/>
    <w:rsid w:val="00ED4FF9"/>
    <w:rsid w:val="00EE18D7"/>
    <w:rsid w:val="00EE4216"/>
    <w:rsid w:val="00EE47F5"/>
    <w:rsid w:val="00EE564E"/>
    <w:rsid w:val="00EE56D8"/>
    <w:rsid w:val="00EF13C5"/>
    <w:rsid w:val="00EF6E2F"/>
    <w:rsid w:val="00EF6E5E"/>
    <w:rsid w:val="00F015E0"/>
    <w:rsid w:val="00F016D0"/>
    <w:rsid w:val="00F02AE8"/>
    <w:rsid w:val="00F03B48"/>
    <w:rsid w:val="00F03FC0"/>
    <w:rsid w:val="00F071D5"/>
    <w:rsid w:val="00F1280B"/>
    <w:rsid w:val="00F1304E"/>
    <w:rsid w:val="00F13AE3"/>
    <w:rsid w:val="00F147B3"/>
    <w:rsid w:val="00F16E9B"/>
    <w:rsid w:val="00F2130F"/>
    <w:rsid w:val="00F252AD"/>
    <w:rsid w:val="00F26B91"/>
    <w:rsid w:val="00F30E2D"/>
    <w:rsid w:val="00F333E4"/>
    <w:rsid w:val="00F34334"/>
    <w:rsid w:val="00F34D2E"/>
    <w:rsid w:val="00F37263"/>
    <w:rsid w:val="00F37FE7"/>
    <w:rsid w:val="00F41F0B"/>
    <w:rsid w:val="00F41F1B"/>
    <w:rsid w:val="00F41F56"/>
    <w:rsid w:val="00F47D0A"/>
    <w:rsid w:val="00F55592"/>
    <w:rsid w:val="00F55862"/>
    <w:rsid w:val="00F56967"/>
    <w:rsid w:val="00F56BA2"/>
    <w:rsid w:val="00F60CF3"/>
    <w:rsid w:val="00F61D28"/>
    <w:rsid w:val="00F711C5"/>
    <w:rsid w:val="00F73B80"/>
    <w:rsid w:val="00F75101"/>
    <w:rsid w:val="00F76463"/>
    <w:rsid w:val="00F824F3"/>
    <w:rsid w:val="00F82C95"/>
    <w:rsid w:val="00F8396A"/>
    <w:rsid w:val="00F864F5"/>
    <w:rsid w:val="00F9370E"/>
    <w:rsid w:val="00F94150"/>
    <w:rsid w:val="00F956E7"/>
    <w:rsid w:val="00F96A55"/>
    <w:rsid w:val="00FA324D"/>
    <w:rsid w:val="00FA7FE6"/>
    <w:rsid w:val="00FB022A"/>
    <w:rsid w:val="00FB409C"/>
    <w:rsid w:val="00FC18B9"/>
    <w:rsid w:val="00FD0E2A"/>
    <w:rsid w:val="00FD44F3"/>
    <w:rsid w:val="00FD696F"/>
    <w:rsid w:val="00FD70DF"/>
    <w:rsid w:val="00FD7D78"/>
    <w:rsid w:val="00FE0D94"/>
    <w:rsid w:val="00FE1422"/>
    <w:rsid w:val="00FE4453"/>
    <w:rsid w:val="00FE5601"/>
    <w:rsid w:val="00FF3A4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24B6256"/>
  <w15:chartTrackingRefBased/>
  <w15:docId w15:val="{10C6C754-C7F6-4170-A0A1-3EC56AD0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List Bullet 5" w:uiPriority="98"/>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fr-FR"/>
    </w:rPr>
  </w:style>
  <w:style w:type="paragraph" w:styleId="Titre1">
    <w:name w:val="heading 1"/>
    <w:basedOn w:val="Normal"/>
    <w:next w:val="Normal"/>
    <w:link w:val="Titre1Car"/>
    <w:qFormat/>
    <w:rsid w:val="002F7C3F"/>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unhideWhenUsed/>
    <w:qFormat/>
    <w:rsid w:val="002F7C3F"/>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semiHidden/>
    <w:unhideWhenUsed/>
    <w:qFormat/>
    <w:rsid w:val="002F7C3F"/>
    <w:pPr>
      <w:keepNext/>
      <w:spacing w:before="240" w:after="60"/>
      <w:outlineLvl w:val="2"/>
    </w:pPr>
    <w:rPr>
      <w:rFonts w:ascii="Calibri Light" w:hAnsi="Calibri Light"/>
      <w:b/>
      <w:bCs/>
      <w:sz w:val="26"/>
      <w:szCs w:val="26"/>
    </w:rPr>
  </w:style>
  <w:style w:type="paragraph" w:styleId="Titre4">
    <w:name w:val="heading 4"/>
    <w:basedOn w:val="Normal"/>
    <w:next w:val="Normal"/>
    <w:link w:val="Titre4Car"/>
    <w:semiHidden/>
    <w:unhideWhenUsed/>
    <w:qFormat/>
    <w:rsid w:val="002F7C3F"/>
    <w:pPr>
      <w:keepNext/>
      <w:spacing w:before="240" w:after="60"/>
      <w:outlineLvl w:val="3"/>
    </w:pPr>
    <w:rPr>
      <w:rFonts w:ascii="Calibri" w:hAnsi="Calibri"/>
      <w:b/>
      <w:bCs/>
      <w:sz w:val="28"/>
      <w:szCs w:val="28"/>
    </w:rPr>
  </w:style>
  <w:style w:type="paragraph" w:styleId="Titre5">
    <w:name w:val="heading 5"/>
    <w:basedOn w:val="Normal"/>
    <w:next w:val="Normal"/>
    <w:link w:val="Titre5Car"/>
    <w:semiHidden/>
    <w:unhideWhenUsed/>
    <w:qFormat/>
    <w:rsid w:val="002F7C3F"/>
    <w:pPr>
      <w:spacing w:before="240" w:after="60"/>
      <w:outlineLvl w:val="4"/>
    </w:pPr>
    <w:rPr>
      <w:rFonts w:ascii="Calibri" w:hAnsi="Calibri"/>
      <w:b/>
      <w:bCs/>
      <w:i/>
      <w:iCs/>
      <w:sz w:val="26"/>
      <w:szCs w:val="26"/>
    </w:rPr>
  </w:style>
  <w:style w:type="paragraph" w:styleId="Titre6">
    <w:name w:val="heading 6"/>
    <w:basedOn w:val="Normal"/>
    <w:next w:val="Normal"/>
    <w:link w:val="Titre6Car"/>
    <w:semiHidden/>
    <w:unhideWhenUsed/>
    <w:qFormat/>
    <w:rsid w:val="002F7C3F"/>
    <w:pPr>
      <w:spacing w:before="240" w:after="60"/>
      <w:outlineLvl w:val="5"/>
    </w:pPr>
    <w:rPr>
      <w:rFonts w:ascii="Calibri" w:hAnsi="Calibri"/>
      <w:b/>
      <w:bCs/>
      <w:sz w:val="22"/>
      <w:szCs w:val="22"/>
    </w:rPr>
  </w:style>
  <w:style w:type="paragraph" w:styleId="Titre7">
    <w:name w:val="heading 7"/>
    <w:basedOn w:val="Normal"/>
    <w:next w:val="Normal"/>
    <w:link w:val="Titre7Car"/>
    <w:semiHidden/>
    <w:unhideWhenUsed/>
    <w:qFormat/>
    <w:rsid w:val="002F7C3F"/>
    <w:pPr>
      <w:spacing w:before="240" w:after="60"/>
      <w:outlineLvl w:val="6"/>
    </w:pPr>
    <w:rPr>
      <w:rFonts w:ascii="Calibri" w:hAnsi="Calibri"/>
    </w:rPr>
  </w:style>
  <w:style w:type="paragraph" w:styleId="Titre8">
    <w:name w:val="heading 8"/>
    <w:basedOn w:val="Normal"/>
    <w:next w:val="Normal"/>
    <w:link w:val="Titre8Car"/>
    <w:semiHidden/>
    <w:unhideWhenUsed/>
    <w:qFormat/>
    <w:rsid w:val="002F7C3F"/>
    <w:pPr>
      <w:spacing w:before="240" w:after="60"/>
      <w:outlineLvl w:val="7"/>
    </w:pPr>
    <w:rPr>
      <w:rFonts w:ascii="Calibri" w:hAnsi="Calibri"/>
      <w:i/>
      <w:iCs/>
    </w:rPr>
  </w:style>
  <w:style w:type="paragraph" w:styleId="Titre9">
    <w:name w:val="heading 9"/>
    <w:basedOn w:val="Normal"/>
    <w:next w:val="Normal"/>
    <w:link w:val="Titre9Car"/>
    <w:semiHidden/>
    <w:unhideWhenUsed/>
    <w:qFormat/>
    <w:rsid w:val="002F7C3F"/>
    <w:pPr>
      <w:spacing w:before="240" w:after="60"/>
      <w:outlineLvl w:val="8"/>
    </w:pPr>
    <w:rPr>
      <w:rFonts w:ascii="Calibri Light" w:hAnsi="Calibri Light"/>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link w:val="Retraitcorpsdetexte2Car"/>
    <w:rsid w:val="00E06F63"/>
    <w:pPr>
      <w:spacing w:line="360" w:lineRule="auto"/>
      <w:ind w:firstLine="284"/>
    </w:pPr>
    <w:rPr>
      <w:szCs w:val="20"/>
    </w:rPr>
  </w:style>
  <w:style w:type="paragraph" w:styleId="En-tte">
    <w:name w:val="header"/>
    <w:basedOn w:val="Normal"/>
    <w:rsid w:val="00CA3530"/>
    <w:pPr>
      <w:tabs>
        <w:tab w:val="center" w:pos="4536"/>
        <w:tab w:val="right" w:pos="9072"/>
      </w:tabs>
    </w:pPr>
  </w:style>
  <w:style w:type="character" w:styleId="Numrodepage">
    <w:name w:val="page number"/>
    <w:basedOn w:val="Policepardfaut"/>
    <w:rsid w:val="00CA3530"/>
  </w:style>
  <w:style w:type="paragraph" w:customStyle="1" w:styleId="Numro">
    <w:name w:val="Numéro"/>
    <w:basedOn w:val="Normal"/>
    <w:next w:val="Normal"/>
    <w:autoRedefine/>
    <w:rsid w:val="00884591"/>
    <w:pPr>
      <w:numPr>
        <w:numId w:val="3"/>
      </w:numPr>
      <w:overflowPunct w:val="0"/>
      <w:autoSpaceDE w:val="0"/>
      <w:autoSpaceDN w:val="0"/>
      <w:adjustRightInd w:val="0"/>
      <w:spacing w:line="360" w:lineRule="auto"/>
      <w:jc w:val="both"/>
      <w:textAlignment w:val="baseline"/>
    </w:pPr>
    <w:rPr>
      <w:szCs w:val="20"/>
    </w:rPr>
  </w:style>
  <w:style w:type="paragraph" w:styleId="PrformatHTML">
    <w:name w:val="HTML Preformatted"/>
    <w:basedOn w:val="Normal"/>
    <w:rsid w:val="00D83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Notedebasdepage">
    <w:name w:val="footnote text"/>
    <w:aliases w:val="Note de bas de page Car Car"/>
    <w:basedOn w:val="Normal"/>
    <w:link w:val="NotedebasdepageCar"/>
    <w:uiPriority w:val="99"/>
    <w:rsid w:val="00D83FA0"/>
    <w:rPr>
      <w:sz w:val="20"/>
      <w:szCs w:val="20"/>
    </w:rPr>
  </w:style>
  <w:style w:type="character" w:styleId="Appelnotedebasdep">
    <w:name w:val="footnote reference"/>
    <w:aliases w:val="Footnotes refss Car Car,Appel note de bas de p Car Car,Footnotes refss Car Char Char Char Car Car,callout Car Char Char Char Car Car,Footnotes refss,Appel note de bas de p,Footnotes refss Car Char Char Char,callout"/>
    <w:uiPriority w:val="99"/>
    <w:rsid w:val="00D83FA0"/>
    <w:rPr>
      <w:vertAlign w:val="superscript"/>
    </w:rPr>
  </w:style>
  <w:style w:type="paragraph" w:customStyle="1" w:styleId="cmsh3">
    <w:name w:val="cmsh3"/>
    <w:basedOn w:val="Normal"/>
    <w:rsid w:val="00855603"/>
    <w:pPr>
      <w:spacing w:before="100" w:beforeAutospacing="1" w:after="100" w:afterAutospacing="1"/>
    </w:pPr>
  </w:style>
  <w:style w:type="paragraph" w:customStyle="1" w:styleId="cmstext">
    <w:name w:val="cmstext"/>
    <w:basedOn w:val="Normal"/>
    <w:rsid w:val="00855603"/>
    <w:pPr>
      <w:spacing w:before="100" w:beforeAutospacing="1" w:after="100" w:afterAutospacing="1"/>
    </w:pPr>
  </w:style>
  <w:style w:type="character" w:customStyle="1" w:styleId="NotedebasdepageCar">
    <w:name w:val="Note de bas de page Car"/>
    <w:aliases w:val="Note de bas de page Car Car Car"/>
    <w:basedOn w:val="Policepardfaut"/>
    <w:link w:val="Notedebasdepage"/>
    <w:uiPriority w:val="99"/>
    <w:rsid w:val="00EA14AD"/>
  </w:style>
  <w:style w:type="paragraph" w:customStyle="1" w:styleId="JuPara">
    <w:name w:val="Ju_Para"/>
    <w:aliases w:val="_Para,ECHR_Para,Para,Left,First line:  0 cm,Normal + TimesNewRomanPSMT,10 pt,Left:  1,27 cm,Line spacing:  1.5 l..."/>
    <w:basedOn w:val="Normal"/>
    <w:link w:val="JuParaCar"/>
    <w:uiPriority w:val="12"/>
    <w:qFormat/>
    <w:rsid w:val="00A068F0"/>
    <w:pPr>
      <w:suppressAutoHyphens/>
      <w:ind w:firstLine="284"/>
      <w:jc w:val="both"/>
    </w:pPr>
    <w:rPr>
      <w:szCs w:val="20"/>
      <w:lang w:eastAsia="ar-SA"/>
    </w:rPr>
  </w:style>
  <w:style w:type="paragraph" w:styleId="NormalWeb">
    <w:name w:val="Normal (Web)"/>
    <w:basedOn w:val="Normal"/>
    <w:uiPriority w:val="99"/>
    <w:rsid w:val="00E17565"/>
  </w:style>
  <w:style w:type="character" w:customStyle="1" w:styleId="clearfix">
    <w:name w:val="clearfix"/>
    <w:rsid w:val="00C71E40"/>
  </w:style>
  <w:style w:type="character" w:styleId="Marquedecommentaire">
    <w:name w:val="annotation reference"/>
    <w:rsid w:val="00C71E40"/>
    <w:rPr>
      <w:sz w:val="16"/>
      <w:szCs w:val="16"/>
    </w:rPr>
  </w:style>
  <w:style w:type="paragraph" w:styleId="Commentaire">
    <w:name w:val="annotation text"/>
    <w:basedOn w:val="Normal"/>
    <w:link w:val="CommentaireCar"/>
    <w:rsid w:val="00C71E40"/>
    <w:rPr>
      <w:sz w:val="20"/>
      <w:szCs w:val="20"/>
    </w:rPr>
  </w:style>
  <w:style w:type="character" w:customStyle="1" w:styleId="CommentaireCar">
    <w:name w:val="Commentaire Car"/>
    <w:basedOn w:val="Policepardfaut"/>
    <w:link w:val="Commentaire"/>
    <w:rsid w:val="00C71E40"/>
  </w:style>
  <w:style w:type="paragraph" w:styleId="Objetducommentaire">
    <w:name w:val="annotation subject"/>
    <w:basedOn w:val="Commentaire"/>
    <w:next w:val="Commentaire"/>
    <w:link w:val="ObjetducommentaireCar"/>
    <w:rsid w:val="00C71E40"/>
    <w:rPr>
      <w:b/>
      <w:bCs/>
    </w:rPr>
  </w:style>
  <w:style w:type="character" w:customStyle="1" w:styleId="ObjetducommentaireCar">
    <w:name w:val="Objet du commentaire Car"/>
    <w:link w:val="Objetducommentaire"/>
    <w:rsid w:val="00C71E40"/>
    <w:rPr>
      <w:b/>
      <w:bCs/>
    </w:rPr>
  </w:style>
  <w:style w:type="paragraph" w:styleId="Textedebulles">
    <w:name w:val="Balloon Text"/>
    <w:basedOn w:val="Normal"/>
    <w:link w:val="TextedebullesCar"/>
    <w:rsid w:val="00C71E40"/>
    <w:rPr>
      <w:rFonts w:ascii="Segoe UI" w:hAnsi="Segoe UI" w:cs="Segoe UI"/>
      <w:sz w:val="18"/>
      <w:szCs w:val="18"/>
    </w:rPr>
  </w:style>
  <w:style w:type="character" w:customStyle="1" w:styleId="TextedebullesCar">
    <w:name w:val="Texte de bulles Car"/>
    <w:link w:val="Textedebulles"/>
    <w:rsid w:val="00C71E40"/>
    <w:rPr>
      <w:rFonts w:ascii="Segoe UI" w:hAnsi="Segoe UI" w:cs="Segoe UI"/>
      <w:sz w:val="18"/>
      <w:szCs w:val="18"/>
    </w:rPr>
  </w:style>
  <w:style w:type="character" w:customStyle="1" w:styleId="JuParaCar">
    <w:name w:val="Ju_Para Car"/>
    <w:link w:val="JuPara"/>
    <w:uiPriority w:val="12"/>
    <w:locked/>
    <w:rsid w:val="002F7C3F"/>
    <w:rPr>
      <w:sz w:val="24"/>
      <w:lang w:eastAsia="ar-SA"/>
    </w:rPr>
  </w:style>
  <w:style w:type="paragraph" w:customStyle="1" w:styleId="JuHHead">
    <w:name w:val="Ju_H_Head"/>
    <w:aliases w:val="_Head_1"/>
    <w:basedOn w:val="Titre1"/>
    <w:next w:val="Normal"/>
    <w:uiPriority w:val="17"/>
    <w:qFormat/>
    <w:rsid w:val="002F7C3F"/>
    <w:pPr>
      <w:keepLines/>
      <w:numPr>
        <w:numId w:val="9"/>
      </w:numPr>
      <w:tabs>
        <w:tab w:val="num" w:pos="360"/>
      </w:tabs>
      <w:spacing w:before="100" w:beforeAutospacing="1" w:after="240"/>
    </w:pPr>
    <w:rPr>
      <w:rFonts w:ascii="Times New Roman" w:hAnsi="Times New Roman"/>
      <w:b w:val="0"/>
      <w:caps/>
      <w:kern w:val="0"/>
      <w:sz w:val="28"/>
      <w:szCs w:val="28"/>
      <w:lang w:val="en-GB" w:eastAsia="en-US"/>
    </w:rPr>
  </w:style>
  <w:style w:type="paragraph" w:customStyle="1" w:styleId="JuHIRoman">
    <w:name w:val="Ju_H_I_Roman"/>
    <w:aliases w:val="_Head_2,ECHR_Heading_1"/>
    <w:basedOn w:val="Titre2"/>
    <w:next w:val="Normal"/>
    <w:uiPriority w:val="17"/>
    <w:qFormat/>
    <w:rsid w:val="002F7C3F"/>
    <w:pPr>
      <w:keepLines/>
      <w:numPr>
        <w:ilvl w:val="1"/>
        <w:numId w:val="9"/>
      </w:numPr>
      <w:tabs>
        <w:tab w:val="num" w:pos="360"/>
        <w:tab w:val="num" w:pos="1440"/>
      </w:tabs>
      <w:spacing w:before="100" w:beforeAutospacing="1" w:after="240"/>
      <w:ind w:left="0" w:firstLine="0"/>
    </w:pPr>
    <w:rPr>
      <w:rFonts w:ascii="Times New Roman" w:hAnsi="Times New Roman"/>
      <w:b w:val="0"/>
      <w:i w:val="0"/>
      <w:iCs w:val="0"/>
      <w:caps/>
      <w:sz w:val="24"/>
      <w:szCs w:val="26"/>
      <w:lang w:val="en-GB" w:eastAsia="en-US"/>
    </w:rPr>
  </w:style>
  <w:style w:type="paragraph" w:customStyle="1" w:styleId="JuHA">
    <w:name w:val="Ju_H_A"/>
    <w:aliases w:val="_Head_3,ECHR_Heading_2,Head_2"/>
    <w:basedOn w:val="Titre3"/>
    <w:next w:val="Normal"/>
    <w:uiPriority w:val="17"/>
    <w:qFormat/>
    <w:rsid w:val="002F7C3F"/>
    <w:pPr>
      <w:keepLines/>
      <w:numPr>
        <w:ilvl w:val="2"/>
        <w:numId w:val="9"/>
      </w:numPr>
      <w:tabs>
        <w:tab w:val="num" w:pos="360"/>
        <w:tab w:val="num" w:pos="2160"/>
      </w:tabs>
      <w:spacing w:before="100" w:beforeAutospacing="1" w:after="240"/>
      <w:ind w:left="0" w:firstLine="0"/>
    </w:pPr>
    <w:rPr>
      <w:rFonts w:ascii="Times New Roman" w:hAnsi="Times New Roman"/>
      <w:sz w:val="24"/>
      <w:szCs w:val="22"/>
      <w:lang w:val="en-GB" w:eastAsia="en-US"/>
    </w:rPr>
  </w:style>
  <w:style w:type="paragraph" w:customStyle="1" w:styleId="JuH1">
    <w:name w:val="Ju_H_1."/>
    <w:aliases w:val="_Head_4,ECHR_Heading_3"/>
    <w:basedOn w:val="Titre4"/>
    <w:next w:val="Normal"/>
    <w:uiPriority w:val="17"/>
    <w:qFormat/>
    <w:rsid w:val="002F7C3F"/>
    <w:pPr>
      <w:keepLines/>
      <w:numPr>
        <w:ilvl w:val="3"/>
        <w:numId w:val="9"/>
      </w:numPr>
      <w:tabs>
        <w:tab w:val="num" w:pos="360"/>
        <w:tab w:val="num" w:pos="2880"/>
      </w:tabs>
      <w:spacing w:before="100" w:beforeAutospacing="1" w:after="120"/>
      <w:ind w:left="0" w:firstLine="0"/>
    </w:pPr>
    <w:rPr>
      <w:rFonts w:ascii="Times New Roman" w:hAnsi="Times New Roman"/>
      <w:b w:val="0"/>
      <w:i/>
      <w:iCs/>
      <w:sz w:val="24"/>
      <w:szCs w:val="22"/>
      <w:lang w:val="en-GB" w:eastAsia="en-US"/>
    </w:rPr>
  </w:style>
  <w:style w:type="paragraph" w:customStyle="1" w:styleId="JuHa0">
    <w:name w:val="Ju_H_a"/>
    <w:aliases w:val="_Head_5,ECHR_Heading_4"/>
    <w:basedOn w:val="Titre5"/>
    <w:next w:val="Normal"/>
    <w:uiPriority w:val="17"/>
    <w:qFormat/>
    <w:rsid w:val="002F7C3F"/>
    <w:pPr>
      <w:keepNext/>
      <w:keepLines/>
      <w:numPr>
        <w:ilvl w:val="4"/>
        <w:numId w:val="9"/>
      </w:numPr>
      <w:tabs>
        <w:tab w:val="num" w:pos="360"/>
        <w:tab w:val="num" w:pos="3600"/>
      </w:tabs>
      <w:spacing w:before="100" w:beforeAutospacing="1" w:after="120"/>
      <w:ind w:left="0" w:firstLine="0"/>
    </w:pPr>
    <w:rPr>
      <w:rFonts w:ascii="Times New Roman" w:hAnsi="Times New Roman"/>
      <w:i w:val="0"/>
      <w:iCs w:val="0"/>
      <w:sz w:val="20"/>
      <w:szCs w:val="22"/>
      <w:lang w:val="en-GB" w:eastAsia="en-US"/>
    </w:rPr>
  </w:style>
  <w:style w:type="paragraph" w:customStyle="1" w:styleId="JuHi">
    <w:name w:val="Ju_H_i"/>
    <w:aliases w:val="_Head_6,ECHR_Heading_5"/>
    <w:basedOn w:val="Titre6"/>
    <w:next w:val="Normal"/>
    <w:uiPriority w:val="17"/>
    <w:qFormat/>
    <w:rsid w:val="002F7C3F"/>
    <w:pPr>
      <w:keepNext/>
      <w:keepLines/>
      <w:numPr>
        <w:ilvl w:val="5"/>
        <w:numId w:val="9"/>
      </w:numPr>
      <w:tabs>
        <w:tab w:val="num" w:pos="360"/>
        <w:tab w:val="num" w:pos="4320"/>
      </w:tabs>
      <w:spacing w:before="100" w:beforeAutospacing="1" w:after="120" w:line="268" w:lineRule="auto"/>
      <w:ind w:left="0" w:firstLine="0"/>
    </w:pPr>
    <w:rPr>
      <w:rFonts w:ascii="Times New Roman" w:hAnsi="Times New Roman"/>
      <w:b w:val="0"/>
      <w:i/>
      <w:iCs/>
      <w:sz w:val="20"/>
      <w:lang w:val="en-GB" w:eastAsia="en-US" w:bidi="en-US"/>
    </w:rPr>
  </w:style>
  <w:style w:type="paragraph" w:customStyle="1" w:styleId="JuHalpha">
    <w:name w:val="Ju_H_alpha"/>
    <w:aliases w:val="_Head_7,ECHR_Heading_6"/>
    <w:basedOn w:val="Titre7"/>
    <w:next w:val="Normal"/>
    <w:uiPriority w:val="17"/>
    <w:qFormat/>
    <w:rsid w:val="002F7C3F"/>
    <w:pPr>
      <w:keepNext/>
      <w:keepLines/>
      <w:numPr>
        <w:ilvl w:val="6"/>
        <w:numId w:val="9"/>
      </w:numPr>
      <w:tabs>
        <w:tab w:val="num" w:pos="360"/>
        <w:tab w:val="num" w:pos="5040"/>
      </w:tabs>
      <w:spacing w:before="100" w:beforeAutospacing="1" w:after="120"/>
      <w:ind w:left="0" w:firstLine="0"/>
    </w:pPr>
    <w:rPr>
      <w:rFonts w:ascii="Times New Roman" w:hAnsi="Times New Roman"/>
      <w:iCs/>
      <w:sz w:val="20"/>
      <w:szCs w:val="22"/>
      <w:lang w:val="en-GB" w:eastAsia="en-US" w:bidi="en-US"/>
    </w:rPr>
  </w:style>
  <w:style w:type="paragraph" w:customStyle="1" w:styleId="JuH">
    <w:name w:val="Ju_H_–"/>
    <w:aliases w:val="_Head_8,ECHR_Heading_7"/>
    <w:basedOn w:val="Titre8"/>
    <w:next w:val="Normal"/>
    <w:uiPriority w:val="17"/>
    <w:qFormat/>
    <w:rsid w:val="002F7C3F"/>
    <w:pPr>
      <w:keepNext/>
      <w:keepLines/>
      <w:numPr>
        <w:ilvl w:val="7"/>
        <w:numId w:val="9"/>
      </w:numPr>
      <w:tabs>
        <w:tab w:val="num" w:pos="360"/>
        <w:tab w:val="num" w:pos="5760"/>
      </w:tabs>
      <w:spacing w:before="100" w:beforeAutospacing="1" w:after="120"/>
      <w:ind w:left="0" w:firstLine="0"/>
    </w:pPr>
    <w:rPr>
      <w:rFonts w:ascii="Times New Roman" w:hAnsi="Times New Roman"/>
      <w:iCs w:val="0"/>
      <w:sz w:val="20"/>
      <w:szCs w:val="20"/>
      <w:lang w:val="en-GB" w:eastAsia="en-US" w:bidi="en-US"/>
    </w:rPr>
  </w:style>
  <w:style w:type="paragraph" w:customStyle="1" w:styleId="ECHRHeading9">
    <w:name w:val="ECHR_Heading_9"/>
    <w:aliases w:val="_Head_9"/>
    <w:basedOn w:val="Titre9"/>
    <w:uiPriority w:val="17"/>
    <w:semiHidden/>
    <w:rsid w:val="002F7C3F"/>
    <w:pPr>
      <w:keepNext/>
      <w:keepLines/>
      <w:numPr>
        <w:ilvl w:val="8"/>
        <w:numId w:val="9"/>
      </w:numPr>
      <w:tabs>
        <w:tab w:val="num" w:pos="360"/>
        <w:tab w:val="num" w:pos="6480"/>
      </w:tabs>
      <w:spacing w:before="100" w:beforeAutospacing="1" w:after="0"/>
      <w:ind w:left="0" w:firstLine="0"/>
      <w:contextualSpacing/>
    </w:pPr>
    <w:rPr>
      <w:rFonts w:ascii="Times New Roman" w:hAnsi="Times New Roman"/>
      <w:iCs/>
      <w:spacing w:val="5"/>
      <w:sz w:val="18"/>
      <w:szCs w:val="20"/>
      <w:lang w:val="en-GB" w:eastAsia="en-US" w:bidi="en-US"/>
    </w:rPr>
  </w:style>
  <w:style w:type="character" w:customStyle="1" w:styleId="Titre1Car">
    <w:name w:val="Titre 1 Car"/>
    <w:link w:val="Titre1"/>
    <w:rsid w:val="002F7C3F"/>
    <w:rPr>
      <w:rFonts w:ascii="Calibri Light" w:eastAsia="Times New Roman" w:hAnsi="Calibri Light" w:cs="Times New Roman"/>
      <w:b/>
      <w:bCs/>
      <w:kern w:val="32"/>
      <w:sz w:val="32"/>
      <w:szCs w:val="32"/>
    </w:rPr>
  </w:style>
  <w:style w:type="character" w:customStyle="1" w:styleId="Titre2Car">
    <w:name w:val="Titre 2 Car"/>
    <w:link w:val="Titre2"/>
    <w:rsid w:val="002F7C3F"/>
    <w:rPr>
      <w:rFonts w:ascii="Calibri Light" w:eastAsia="Times New Roman" w:hAnsi="Calibri Light" w:cs="Times New Roman"/>
      <w:b/>
      <w:bCs/>
      <w:i/>
      <w:iCs/>
      <w:sz w:val="28"/>
      <w:szCs w:val="28"/>
    </w:rPr>
  </w:style>
  <w:style w:type="character" w:customStyle="1" w:styleId="Titre3Car">
    <w:name w:val="Titre 3 Car"/>
    <w:link w:val="Titre3"/>
    <w:semiHidden/>
    <w:rsid w:val="002F7C3F"/>
    <w:rPr>
      <w:rFonts w:ascii="Calibri Light" w:eastAsia="Times New Roman" w:hAnsi="Calibri Light" w:cs="Times New Roman"/>
      <w:b/>
      <w:bCs/>
      <w:sz w:val="26"/>
      <w:szCs w:val="26"/>
    </w:rPr>
  </w:style>
  <w:style w:type="character" w:customStyle="1" w:styleId="Titre4Car">
    <w:name w:val="Titre 4 Car"/>
    <w:link w:val="Titre4"/>
    <w:semiHidden/>
    <w:rsid w:val="002F7C3F"/>
    <w:rPr>
      <w:rFonts w:ascii="Calibri" w:eastAsia="Times New Roman" w:hAnsi="Calibri" w:cs="Times New Roman"/>
      <w:b/>
      <w:bCs/>
      <w:sz w:val="28"/>
      <w:szCs w:val="28"/>
    </w:rPr>
  </w:style>
  <w:style w:type="character" w:customStyle="1" w:styleId="Titre5Car">
    <w:name w:val="Titre 5 Car"/>
    <w:link w:val="Titre5"/>
    <w:semiHidden/>
    <w:rsid w:val="002F7C3F"/>
    <w:rPr>
      <w:rFonts w:ascii="Calibri" w:eastAsia="Times New Roman" w:hAnsi="Calibri" w:cs="Times New Roman"/>
      <w:b/>
      <w:bCs/>
      <w:i/>
      <w:iCs/>
      <w:sz w:val="26"/>
      <w:szCs w:val="26"/>
    </w:rPr>
  </w:style>
  <w:style w:type="character" w:customStyle="1" w:styleId="Titre6Car">
    <w:name w:val="Titre 6 Car"/>
    <w:link w:val="Titre6"/>
    <w:semiHidden/>
    <w:rsid w:val="002F7C3F"/>
    <w:rPr>
      <w:rFonts w:ascii="Calibri" w:eastAsia="Times New Roman" w:hAnsi="Calibri" w:cs="Times New Roman"/>
      <w:b/>
      <w:bCs/>
      <w:sz w:val="22"/>
      <w:szCs w:val="22"/>
    </w:rPr>
  </w:style>
  <w:style w:type="character" w:customStyle="1" w:styleId="Titre7Car">
    <w:name w:val="Titre 7 Car"/>
    <w:link w:val="Titre7"/>
    <w:semiHidden/>
    <w:rsid w:val="002F7C3F"/>
    <w:rPr>
      <w:rFonts w:ascii="Calibri" w:eastAsia="Times New Roman" w:hAnsi="Calibri" w:cs="Times New Roman"/>
      <w:sz w:val="24"/>
      <w:szCs w:val="24"/>
    </w:rPr>
  </w:style>
  <w:style w:type="character" w:customStyle="1" w:styleId="Titre8Car">
    <w:name w:val="Titre 8 Car"/>
    <w:link w:val="Titre8"/>
    <w:semiHidden/>
    <w:rsid w:val="002F7C3F"/>
    <w:rPr>
      <w:rFonts w:ascii="Calibri" w:eastAsia="Times New Roman" w:hAnsi="Calibri" w:cs="Times New Roman"/>
      <w:i/>
      <w:iCs/>
      <w:sz w:val="24"/>
      <w:szCs w:val="24"/>
    </w:rPr>
  </w:style>
  <w:style w:type="character" w:customStyle="1" w:styleId="Titre9Car">
    <w:name w:val="Titre 9 Car"/>
    <w:link w:val="Titre9"/>
    <w:semiHidden/>
    <w:rsid w:val="002F7C3F"/>
    <w:rPr>
      <w:rFonts w:ascii="Calibri Light" w:eastAsia="Times New Roman" w:hAnsi="Calibri Light" w:cs="Times New Roman"/>
      <w:sz w:val="22"/>
      <w:szCs w:val="22"/>
    </w:rPr>
  </w:style>
  <w:style w:type="paragraph" w:styleId="Paragraphedeliste">
    <w:name w:val="List Paragraph"/>
    <w:basedOn w:val="Normal"/>
    <w:uiPriority w:val="34"/>
    <w:qFormat/>
    <w:rsid w:val="00D76270"/>
    <w:pPr>
      <w:spacing w:line="360" w:lineRule="auto"/>
      <w:ind w:left="720"/>
      <w:contextualSpacing/>
      <w:jc w:val="both"/>
    </w:pPr>
    <w:rPr>
      <w:color w:val="000080"/>
    </w:rPr>
  </w:style>
  <w:style w:type="character" w:styleId="Lienhypertexte">
    <w:name w:val="Hyperlink"/>
    <w:rsid w:val="003F524A"/>
    <w:rPr>
      <w:color w:val="0563C1"/>
      <w:u w:val="single"/>
    </w:rPr>
  </w:style>
  <w:style w:type="character" w:styleId="Mentionnonrsolue">
    <w:name w:val="Unresolved Mention"/>
    <w:uiPriority w:val="99"/>
    <w:semiHidden/>
    <w:unhideWhenUsed/>
    <w:rsid w:val="003F524A"/>
    <w:rPr>
      <w:color w:val="605E5C"/>
      <w:shd w:val="clear" w:color="auto" w:fill="E1DFDD"/>
    </w:rPr>
  </w:style>
  <w:style w:type="paragraph" w:customStyle="1" w:styleId="JuQuot">
    <w:name w:val="Ju_Quot"/>
    <w:aliases w:val="_Quote"/>
    <w:basedOn w:val="Normal"/>
    <w:uiPriority w:val="20"/>
    <w:qFormat/>
    <w:rsid w:val="007E2411"/>
    <w:pPr>
      <w:spacing w:before="120" w:after="120"/>
      <w:ind w:left="425" w:firstLine="142"/>
      <w:jc w:val="both"/>
    </w:pPr>
    <w:rPr>
      <w:rFonts w:asciiTheme="minorHAnsi" w:eastAsiaTheme="minorHAnsi" w:hAnsiTheme="minorHAnsi" w:cstheme="minorBidi"/>
      <w:sz w:val="20"/>
      <w:lang w:eastAsia="en-US"/>
    </w:rPr>
  </w:style>
  <w:style w:type="paragraph" w:styleId="Listepuces5">
    <w:name w:val="List Bullet 5"/>
    <w:basedOn w:val="Normal"/>
    <w:uiPriority w:val="98"/>
    <w:rsid w:val="007E2411"/>
    <w:pPr>
      <w:numPr>
        <w:numId w:val="16"/>
      </w:numPr>
      <w:contextualSpacing/>
    </w:pPr>
    <w:rPr>
      <w:rFonts w:asciiTheme="minorHAnsi" w:eastAsiaTheme="minorHAnsi" w:hAnsiTheme="minorHAnsi" w:cstheme="minorBidi"/>
      <w:lang w:eastAsia="en-US"/>
    </w:rPr>
  </w:style>
  <w:style w:type="character" w:customStyle="1" w:styleId="srvrlnk">
    <w:name w:val="srvrlnk"/>
    <w:basedOn w:val="Policepardfaut"/>
    <w:rsid w:val="009C66AB"/>
  </w:style>
  <w:style w:type="character" w:customStyle="1" w:styleId="highlight-phrase">
    <w:name w:val="highlight-phrase"/>
    <w:basedOn w:val="Policepardfaut"/>
    <w:rsid w:val="009C66AB"/>
  </w:style>
  <w:style w:type="character" w:customStyle="1" w:styleId="selected">
    <w:name w:val="selected"/>
    <w:basedOn w:val="Policepardfaut"/>
    <w:rsid w:val="009C66AB"/>
  </w:style>
  <w:style w:type="paragraph" w:customStyle="1" w:styleId="margintopbottom14">
    <w:name w:val="margintopbottom14"/>
    <w:basedOn w:val="Normal"/>
    <w:rsid w:val="00DF781E"/>
    <w:pPr>
      <w:spacing w:before="100" w:beforeAutospacing="1" w:after="100" w:afterAutospacing="1"/>
    </w:pPr>
  </w:style>
  <w:style w:type="character" w:customStyle="1" w:styleId="link">
    <w:name w:val="link"/>
    <w:basedOn w:val="Policepardfaut"/>
    <w:rsid w:val="00DF781E"/>
  </w:style>
  <w:style w:type="character" w:customStyle="1" w:styleId="margintop14">
    <w:name w:val="margintop14"/>
    <w:basedOn w:val="Policepardfaut"/>
    <w:rsid w:val="00C45A66"/>
  </w:style>
  <w:style w:type="character" w:customStyle="1" w:styleId="bold">
    <w:name w:val="bold"/>
    <w:basedOn w:val="Policepardfaut"/>
    <w:rsid w:val="00C45A66"/>
  </w:style>
  <w:style w:type="character" w:customStyle="1" w:styleId="Retraitcorpsdetexte2Car">
    <w:name w:val="Retrait corps de texte 2 Car"/>
    <w:basedOn w:val="Policepardfaut"/>
    <w:link w:val="Retraitcorpsdetexte2"/>
    <w:rsid w:val="007006C8"/>
    <w:rPr>
      <w:sz w:val="24"/>
      <w:lang w:eastAsia="fr-FR"/>
    </w:rPr>
  </w:style>
  <w:style w:type="paragraph" w:styleId="Pieddepage">
    <w:name w:val="footer"/>
    <w:basedOn w:val="Normal"/>
    <w:link w:val="PieddepageCar"/>
    <w:rsid w:val="00A05BAD"/>
    <w:pPr>
      <w:tabs>
        <w:tab w:val="center" w:pos="4536"/>
        <w:tab w:val="right" w:pos="9072"/>
      </w:tabs>
    </w:pPr>
  </w:style>
  <w:style w:type="character" w:customStyle="1" w:styleId="PieddepageCar">
    <w:name w:val="Pied de page Car"/>
    <w:basedOn w:val="Policepardfaut"/>
    <w:link w:val="Pieddepage"/>
    <w:rsid w:val="00A05BAD"/>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3462">
      <w:bodyDiv w:val="1"/>
      <w:marLeft w:val="0"/>
      <w:marRight w:val="0"/>
      <w:marTop w:val="0"/>
      <w:marBottom w:val="0"/>
      <w:divBdr>
        <w:top w:val="none" w:sz="0" w:space="0" w:color="auto"/>
        <w:left w:val="none" w:sz="0" w:space="0" w:color="auto"/>
        <w:bottom w:val="none" w:sz="0" w:space="0" w:color="auto"/>
        <w:right w:val="none" w:sz="0" w:space="0" w:color="auto"/>
      </w:divBdr>
      <w:divsChild>
        <w:div w:id="187371396">
          <w:marLeft w:val="0"/>
          <w:marRight w:val="0"/>
          <w:marTop w:val="0"/>
          <w:marBottom w:val="0"/>
          <w:divBdr>
            <w:top w:val="none" w:sz="0" w:space="0" w:color="auto"/>
            <w:left w:val="none" w:sz="0" w:space="0" w:color="auto"/>
            <w:bottom w:val="none" w:sz="0" w:space="0" w:color="auto"/>
            <w:right w:val="none" w:sz="0" w:space="0" w:color="auto"/>
          </w:divBdr>
        </w:div>
        <w:div w:id="770317449">
          <w:marLeft w:val="0"/>
          <w:marRight w:val="0"/>
          <w:marTop w:val="0"/>
          <w:marBottom w:val="0"/>
          <w:divBdr>
            <w:top w:val="none" w:sz="0" w:space="0" w:color="auto"/>
            <w:left w:val="none" w:sz="0" w:space="0" w:color="auto"/>
            <w:bottom w:val="none" w:sz="0" w:space="0" w:color="auto"/>
            <w:right w:val="none" w:sz="0" w:space="0" w:color="auto"/>
          </w:divBdr>
        </w:div>
        <w:div w:id="1120685906">
          <w:marLeft w:val="0"/>
          <w:marRight w:val="0"/>
          <w:marTop w:val="0"/>
          <w:marBottom w:val="0"/>
          <w:divBdr>
            <w:top w:val="none" w:sz="0" w:space="0" w:color="auto"/>
            <w:left w:val="none" w:sz="0" w:space="0" w:color="auto"/>
            <w:bottom w:val="none" w:sz="0" w:space="0" w:color="auto"/>
            <w:right w:val="none" w:sz="0" w:space="0" w:color="auto"/>
          </w:divBdr>
        </w:div>
        <w:div w:id="1165390346">
          <w:marLeft w:val="0"/>
          <w:marRight w:val="0"/>
          <w:marTop w:val="0"/>
          <w:marBottom w:val="0"/>
          <w:divBdr>
            <w:top w:val="none" w:sz="0" w:space="0" w:color="auto"/>
            <w:left w:val="none" w:sz="0" w:space="0" w:color="auto"/>
            <w:bottom w:val="none" w:sz="0" w:space="0" w:color="auto"/>
            <w:right w:val="none" w:sz="0" w:space="0" w:color="auto"/>
          </w:divBdr>
        </w:div>
        <w:div w:id="1738429247">
          <w:marLeft w:val="0"/>
          <w:marRight w:val="0"/>
          <w:marTop w:val="0"/>
          <w:marBottom w:val="0"/>
          <w:divBdr>
            <w:top w:val="none" w:sz="0" w:space="0" w:color="auto"/>
            <w:left w:val="none" w:sz="0" w:space="0" w:color="auto"/>
            <w:bottom w:val="none" w:sz="0" w:space="0" w:color="auto"/>
            <w:right w:val="none" w:sz="0" w:space="0" w:color="auto"/>
          </w:divBdr>
        </w:div>
      </w:divsChild>
    </w:div>
    <w:div w:id="127939729">
      <w:bodyDiv w:val="1"/>
      <w:marLeft w:val="0"/>
      <w:marRight w:val="0"/>
      <w:marTop w:val="0"/>
      <w:marBottom w:val="0"/>
      <w:divBdr>
        <w:top w:val="none" w:sz="0" w:space="0" w:color="auto"/>
        <w:left w:val="none" w:sz="0" w:space="0" w:color="auto"/>
        <w:bottom w:val="none" w:sz="0" w:space="0" w:color="auto"/>
        <w:right w:val="none" w:sz="0" w:space="0" w:color="auto"/>
      </w:divBdr>
    </w:div>
    <w:div w:id="184368394">
      <w:bodyDiv w:val="1"/>
      <w:marLeft w:val="0"/>
      <w:marRight w:val="0"/>
      <w:marTop w:val="0"/>
      <w:marBottom w:val="0"/>
      <w:divBdr>
        <w:top w:val="none" w:sz="0" w:space="0" w:color="auto"/>
        <w:left w:val="none" w:sz="0" w:space="0" w:color="auto"/>
        <w:bottom w:val="none" w:sz="0" w:space="0" w:color="auto"/>
        <w:right w:val="none" w:sz="0" w:space="0" w:color="auto"/>
      </w:divBdr>
    </w:div>
    <w:div w:id="195972878">
      <w:bodyDiv w:val="1"/>
      <w:marLeft w:val="0"/>
      <w:marRight w:val="0"/>
      <w:marTop w:val="0"/>
      <w:marBottom w:val="0"/>
      <w:divBdr>
        <w:top w:val="none" w:sz="0" w:space="0" w:color="auto"/>
        <w:left w:val="none" w:sz="0" w:space="0" w:color="auto"/>
        <w:bottom w:val="none" w:sz="0" w:space="0" w:color="auto"/>
        <w:right w:val="none" w:sz="0" w:space="0" w:color="auto"/>
      </w:divBdr>
    </w:div>
    <w:div w:id="392390077">
      <w:bodyDiv w:val="1"/>
      <w:marLeft w:val="0"/>
      <w:marRight w:val="0"/>
      <w:marTop w:val="0"/>
      <w:marBottom w:val="0"/>
      <w:divBdr>
        <w:top w:val="none" w:sz="0" w:space="0" w:color="auto"/>
        <w:left w:val="none" w:sz="0" w:space="0" w:color="auto"/>
        <w:bottom w:val="none" w:sz="0" w:space="0" w:color="auto"/>
        <w:right w:val="none" w:sz="0" w:space="0" w:color="auto"/>
      </w:divBdr>
    </w:div>
    <w:div w:id="580677812">
      <w:bodyDiv w:val="1"/>
      <w:marLeft w:val="0"/>
      <w:marRight w:val="0"/>
      <w:marTop w:val="0"/>
      <w:marBottom w:val="0"/>
      <w:divBdr>
        <w:top w:val="none" w:sz="0" w:space="0" w:color="auto"/>
        <w:left w:val="none" w:sz="0" w:space="0" w:color="auto"/>
        <w:bottom w:val="none" w:sz="0" w:space="0" w:color="auto"/>
        <w:right w:val="none" w:sz="0" w:space="0" w:color="auto"/>
      </w:divBdr>
    </w:div>
    <w:div w:id="671181338">
      <w:bodyDiv w:val="1"/>
      <w:marLeft w:val="0"/>
      <w:marRight w:val="0"/>
      <w:marTop w:val="0"/>
      <w:marBottom w:val="0"/>
      <w:divBdr>
        <w:top w:val="none" w:sz="0" w:space="0" w:color="auto"/>
        <w:left w:val="none" w:sz="0" w:space="0" w:color="auto"/>
        <w:bottom w:val="none" w:sz="0" w:space="0" w:color="auto"/>
        <w:right w:val="none" w:sz="0" w:space="0" w:color="auto"/>
      </w:divBdr>
    </w:div>
    <w:div w:id="681467646">
      <w:bodyDiv w:val="1"/>
      <w:marLeft w:val="0"/>
      <w:marRight w:val="0"/>
      <w:marTop w:val="0"/>
      <w:marBottom w:val="0"/>
      <w:divBdr>
        <w:top w:val="none" w:sz="0" w:space="0" w:color="auto"/>
        <w:left w:val="none" w:sz="0" w:space="0" w:color="auto"/>
        <w:bottom w:val="none" w:sz="0" w:space="0" w:color="auto"/>
        <w:right w:val="none" w:sz="0" w:space="0" w:color="auto"/>
      </w:divBdr>
    </w:div>
    <w:div w:id="702219014">
      <w:bodyDiv w:val="1"/>
      <w:marLeft w:val="0"/>
      <w:marRight w:val="0"/>
      <w:marTop w:val="0"/>
      <w:marBottom w:val="0"/>
      <w:divBdr>
        <w:top w:val="none" w:sz="0" w:space="0" w:color="auto"/>
        <w:left w:val="none" w:sz="0" w:space="0" w:color="auto"/>
        <w:bottom w:val="none" w:sz="0" w:space="0" w:color="auto"/>
        <w:right w:val="none" w:sz="0" w:space="0" w:color="auto"/>
      </w:divBdr>
      <w:divsChild>
        <w:div w:id="1776359647">
          <w:marLeft w:val="0"/>
          <w:marRight w:val="0"/>
          <w:marTop w:val="0"/>
          <w:marBottom w:val="0"/>
          <w:divBdr>
            <w:top w:val="none" w:sz="0" w:space="0" w:color="auto"/>
            <w:left w:val="none" w:sz="0" w:space="0" w:color="auto"/>
            <w:bottom w:val="none" w:sz="0" w:space="0" w:color="auto"/>
            <w:right w:val="none" w:sz="0" w:space="0" w:color="auto"/>
          </w:divBdr>
        </w:div>
        <w:div w:id="673342088">
          <w:marLeft w:val="0"/>
          <w:marRight w:val="0"/>
          <w:marTop w:val="240"/>
          <w:marBottom w:val="0"/>
          <w:divBdr>
            <w:top w:val="none" w:sz="0" w:space="0" w:color="auto"/>
            <w:left w:val="none" w:sz="0" w:space="0" w:color="auto"/>
            <w:bottom w:val="none" w:sz="0" w:space="0" w:color="auto"/>
            <w:right w:val="none" w:sz="0" w:space="0" w:color="auto"/>
          </w:divBdr>
        </w:div>
        <w:div w:id="1096756755">
          <w:marLeft w:val="0"/>
          <w:marRight w:val="0"/>
          <w:marTop w:val="240"/>
          <w:marBottom w:val="0"/>
          <w:divBdr>
            <w:top w:val="none" w:sz="0" w:space="0" w:color="auto"/>
            <w:left w:val="none" w:sz="0" w:space="0" w:color="auto"/>
            <w:bottom w:val="none" w:sz="0" w:space="0" w:color="auto"/>
            <w:right w:val="none" w:sz="0" w:space="0" w:color="auto"/>
          </w:divBdr>
          <w:divsChild>
            <w:div w:id="876509851">
              <w:marLeft w:val="0"/>
              <w:marRight w:val="0"/>
              <w:marTop w:val="240"/>
              <w:marBottom w:val="0"/>
              <w:divBdr>
                <w:top w:val="none" w:sz="0" w:space="0" w:color="auto"/>
                <w:left w:val="none" w:sz="0" w:space="0" w:color="auto"/>
                <w:bottom w:val="none" w:sz="0" w:space="0" w:color="auto"/>
                <w:right w:val="none" w:sz="0" w:space="0" w:color="auto"/>
              </w:divBdr>
              <w:divsChild>
                <w:div w:id="756484575">
                  <w:marLeft w:val="0"/>
                  <w:marRight w:val="0"/>
                  <w:marTop w:val="240"/>
                  <w:marBottom w:val="0"/>
                  <w:divBdr>
                    <w:top w:val="none" w:sz="0" w:space="0" w:color="auto"/>
                    <w:left w:val="none" w:sz="0" w:space="0" w:color="auto"/>
                    <w:bottom w:val="none" w:sz="0" w:space="0" w:color="auto"/>
                    <w:right w:val="none" w:sz="0" w:space="0" w:color="auto"/>
                  </w:divBdr>
                </w:div>
                <w:div w:id="240529277">
                  <w:marLeft w:val="0"/>
                  <w:marRight w:val="0"/>
                  <w:marTop w:val="240"/>
                  <w:marBottom w:val="0"/>
                  <w:divBdr>
                    <w:top w:val="none" w:sz="0" w:space="0" w:color="auto"/>
                    <w:left w:val="none" w:sz="0" w:space="0" w:color="auto"/>
                    <w:bottom w:val="none" w:sz="0" w:space="0" w:color="auto"/>
                    <w:right w:val="none" w:sz="0" w:space="0" w:color="auto"/>
                  </w:divBdr>
                  <w:divsChild>
                    <w:div w:id="841314068">
                      <w:marLeft w:val="0"/>
                      <w:marRight w:val="0"/>
                      <w:marTop w:val="240"/>
                      <w:marBottom w:val="0"/>
                      <w:divBdr>
                        <w:top w:val="none" w:sz="0" w:space="0" w:color="auto"/>
                        <w:left w:val="none" w:sz="0" w:space="0" w:color="auto"/>
                        <w:bottom w:val="none" w:sz="0" w:space="0" w:color="auto"/>
                        <w:right w:val="none" w:sz="0" w:space="0" w:color="auto"/>
                      </w:divBdr>
                    </w:div>
                  </w:divsChild>
                </w:div>
                <w:div w:id="842815896">
                  <w:marLeft w:val="0"/>
                  <w:marRight w:val="0"/>
                  <w:marTop w:val="240"/>
                  <w:marBottom w:val="0"/>
                  <w:divBdr>
                    <w:top w:val="none" w:sz="0" w:space="0" w:color="auto"/>
                    <w:left w:val="none" w:sz="0" w:space="0" w:color="auto"/>
                    <w:bottom w:val="none" w:sz="0" w:space="0" w:color="auto"/>
                    <w:right w:val="none" w:sz="0" w:space="0" w:color="auto"/>
                  </w:divBdr>
                  <w:divsChild>
                    <w:div w:id="164137940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845830614">
      <w:bodyDiv w:val="1"/>
      <w:marLeft w:val="0"/>
      <w:marRight w:val="0"/>
      <w:marTop w:val="0"/>
      <w:marBottom w:val="0"/>
      <w:divBdr>
        <w:top w:val="none" w:sz="0" w:space="0" w:color="auto"/>
        <w:left w:val="none" w:sz="0" w:space="0" w:color="auto"/>
        <w:bottom w:val="none" w:sz="0" w:space="0" w:color="auto"/>
        <w:right w:val="none" w:sz="0" w:space="0" w:color="auto"/>
      </w:divBdr>
    </w:div>
    <w:div w:id="882132971">
      <w:bodyDiv w:val="1"/>
      <w:marLeft w:val="0"/>
      <w:marRight w:val="0"/>
      <w:marTop w:val="0"/>
      <w:marBottom w:val="0"/>
      <w:divBdr>
        <w:top w:val="none" w:sz="0" w:space="0" w:color="auto"/>
        <w:left w:val="none" w:sz="0" w:space="0" w:color="auto"/>
        <w:bottom w:val="none" w:sz="0" w:space="0" w:color="auto"/>
        <w:right w:val="none" w:sz="0" w:space="0" w:color="auto"/>
      </w:divBdr>
    </w:div>
    <w:div w:id="904293246">
      <w:bodyDiv w:val="1"/>
      <w:marLeft w:val="0"/>
      <w:marRight w:val="0"/>
      <w:marTop w:val="0"/>
      <w:marBottom w:val="0"/>
      <w:divBdr>
        <w:top w:val="none" w:sz="0" w:space="0" w:color="auto"/>
        <w:left w:val="none" w:sz="0" w:space="0" w:color="auto"/>
        <w:bottom w:val="none" w:sz="0" w:space="0" w:color="auto"/>
        <w:right w:val="none" w:sz="0" w:space="0" w:color="auto"/>
      </w:divBdr>
    </w:div>
    <w:div w:id="914359495">
      <w:bodyDiv w:val="1"/>
      <w:marLeft w:val="0"/>
      <w:marRight w:val="0"/>
      <w:marTop w:val="0"/>
      <w:marBottom w:val="0"/>
      <w:divBdr>
        <w:top w:val="none" w:sz="0" w:space="0" w:color="auto"/>
        <w:left w:val="none" w:sz="0" w:space="0" w:color="auto"/>
        <w:bottom w:val="none" w:sz="0" w:space="0" w:color="auto"/>
        <w:right w:val="none" w:sz="0" w:space="0" w:color="auto"/>
      </w:divBdr>
    </w:div>
    <w:div w:id="958141734">
      <w:bodyDiv w:val="1"/>
      <w:marLeft w:val="0"/>
      <w:marRight w:val="0"/>
      <w:marTop w:val="0"/>
      <w:marBottom w:val="0"/>
      <w:divBdr>
        <w:top w:val="none" w:sz="0" w:space="0" w:color="auto"/>
        <w:left w:val="none" w:sz="0" w:space="0" w:color="auto"/>
        <w:bottom w:val="none" w:sz="0" w:space="0" w:color="auto"/>
        <w:right w:val="none" w:sz="0" w:space="0" w:color="auto"/>
      </w:divBdr>
    </w:div>
    <w:div w:id="1004867547">
      <w:bodyDiv w:val="1"/>
      <w:marLeft w:val="0"/>
      <w:marRight w:val="0"/>
      <w:marTop w:val="0"/>
      <w:marBottom w:val="0"/>
      <w:divBdr>
        <w:top w:val="none" w:sz="0" w:space="0" w:color="auto"/>
        <w:left w:val="none" w:sz="0" w:space="0" w:color="auto"/>
        <w:bottom w:val="none" w:sz="0" w:space="0" w:color="auto"/>
        <w:right w:val="none" w:sz="0" w:space="0" w:color="auto"/>
      </w:divBdr>
    </w:div>
    <w:div w:id="1010376803">
      <w:bodyDiv w:val="1"/>
      <w:marLeft w:val="0"/>
      <w:marRight w:val="0"/>
      <w:marTop w:val="0"/>
      <w:marBottom w:val="0"/>
      <w:divBdr>
        <w:top w:val="none" w:sz="0" w:space="0" w:color="auto"/>
        <w:left w:val="none" w:sz="0" w:space="0" w:color="auto"/>
        <w:bottom w:val="none" w:sz="0" w:space="0" w:color="auto"/>
        <w:right w:val="none" w:sz="0" w:space="0" w:color="auto"/>
      </w:divBdr>
    </w:div>
    <w:div w:id="1035736686">
      <w:bodyDiv w:val="1"/>
      <w:marLeft w:val="0"/>
      <w:marRight w:val="0"/>
      <w:marTop w:val="0"/>
      <w:marBottom w:val="0"/>
      <w:divBdr>
        <w:top w:val="none" w:sz="0" w:space="0" w:color="auto"/>
        <w:left w:val="none" w:sz="0" w:space="0" w:color="auto"/>
        <w:bottom w:val="none" w:sz="0" w:space="0" w:color="auto"/>
        <w:right w:val="none" w:sz="0" w:space="0" w:color="auto"/>
      </w:divBdr>
    </w:div>
    <w:div w:id="1095175455">
      <w:bodyDiv w:val="1"/>
      <w:marLeft w:val="0"/>
      <w:marRight w:val="0"/>
      <w:marTop w:val="0"/>
      <w:marBottom w:val="0"/>
      <w:divBdr>
        <w:top w:val="none" w:sz="0" w:space="0" w:color="auto"/>
        <w:left w:val="none" w:sz="0" w:space="0" w:color="auto"/>
        <w:bottom w:val="none" w:sz="0" w:space="0" w:color="auto"/>
        <w:right w:val="none" w:sz="0" w:space="0" w:color="auto"/>
      </w:divBdr>
    </w:div>
    <w:div w:id="1239368113">
      <w:bodyDiv w:val="1"/>
      <w:marLeft w:val="0"/>
      <w:marRight w:val="0"/>
      <w:marTop w:val="0"/>
      <w:marBottom w:val="0"/>
      <w:divBdr>
        <w:top w:val="none" w:sz="0" w:space="0" w:color="auto"/>
        <w:left w:val="none" w:sz="0" w:space="0" w:color="auto"/>
        <w:bottom w:val="none" w:sz="0" w:space="0" w:color="auto"/>
        <w:right w:val="none" w:sz="0" w:space="0" w:color="auto"/>
      </w:divBdr>
    </w:div>
    <w:div w:id="1250459457">
      <w:bodyDiv w:val="1"/>
      <w:marLeft w:val="0"/>
      <w:marRight w:val="0"/>
      <w:marTop w:val="0"/>
      <w:marBottom w:val="0"/>
      <w:divBdr>
        <w:top w:val="none" w:sz="0" w:space="0" w:color="auto"/>
        <w:left w:val="none" w:sz="0" w:space="0" w:color="auto"/>
        <w:bottom w:val="none" w:sz="0" w:space="0" w:color="auto"/>
        <w:right w:val="none" w:sz="0" w:space="0" w:color="auto"/>
      </w:divBdr>
    </w:div>
    <w:div w:id="1266890395">
      <w:bodyDiv w:val="1"/>
      <w:marLeft w:val="0"/>
      <w:marRight w:val="0"/>
      <w:marTop w:val="0"/>
      <w:marBottom w:val="0"/>
      <w:divBdr>
        <w:top w:val="none" w:sz="0" w:space="0" w:color="auto"/>
        <w:left w:val="none" w:sz="0" w:space="0" w:color="auto"/>
        <w:bottom w:val="none" w:sz="0" w:space="0" w:color="auto"/>
        <w:right w:val="none" w:sz="0" w:space="0" w:color="auto"/>
      </w:divBdr>
      <w:divsChild>
        <w:div w:id="181938915">
          <w:marLeft w:val="0"/>
          <w:marRight w:val="0"/>
          <w:marTop w:val="0"/>
          <w:marBottom w:val="0"/>
          <w:divBdr>
            <w:top w:val="none" w:sz="0" w:space="0" w:color="auto"/>
            <w:left w:val="none" w:sz="0" w:space="0" w:color="auto"/>
            <w:bottom w:val="none" w:sz="0" w:space="0" w:color="auto"/>
            <w:right w:val="none" w:sz="0" w:space="0" w:color="auto"/>
          </w:divBdr>
        </w:div>
        <w:div w:id="623002043">
          <w:marLeft w:val="0"/>
          <w:marRight w:val="0"/>
          <w:marTop w:val="0"/>
          <w:marBottom w:val="0"/>
          <w:divBdr>
            <w:top w:val="none" w:sz="0" w:space="0" w:color="auto"/>
            <w:left w:val="none" w:sz="0" w:space="0" w:color="auto"/>
            <w:bottom w:val="none" w:sz="0" w:space="0" w:color="auto"/>
            <w:right w:val="none" w:sz="0" w:space="0" w:color="auto"/>
          </w:divBdr>
        </w:div>
        <w:div w:id="769158776">
          <w:marLeft w:val="0"/>
          <w:marRight w:val="0"/>
          <w:marTop w:val="0"/>
          <w:marBottom w:val="0"/>
          <w:divBdr>
            <w:top w:val="none" w:sz="0" w:space="0" w:color="auto"/>
            <w:left w:val="none" w:sz="0" w:space="0" w:color="auto"/>
            <w:bottom w:val="none" w:sz="0" w:space="0" w:color="auto"/>
            <w:right w:val="none" w:sz="0" w:space="0" w:color="auto"/>
          </w:divBdr>
        </w:div>
        <w:div w:id="1248342040">
          <w:marLeft w:val="0"/>
          <w:marRight w:val="0"/>
          <w:marTop w:val="0"/>
          <w:marBottom w:val="0"/>
          <w:divBdr>
            <w:top w:val="none" w:sz="0" w:space="0" w:color="auto"/>
            <w:left w:val="none" w:sz="0" w:space="0" w:color="auto"/>
            <w:bottom w:val="none" w:sz="0" w:space="0" w:color="auto"/>
            <w:right w:val="none" w:sz="0" w:space="0" w:color="auto"/>
          </w:divBdr>
        </w:div>
        <w:div w:id="1290894193">
          <w:marLeft w:val="0"/>
          <w:marRight w:val="0"/>
          <w:marTop w:val="0"/>
          <w:marBottom w:val="0"/>
          <w:divBdr>
            <w:top w:val="none" w:sz="0" w:space="0" w:color="auto"/>
            <w:left w:val="none" w:sz="0" w:space="0" w:color="auto"/>
            <w:bottom w:val="none" w:sz="0" w:space="0" w:color="auto"/>
            <w:right w:val="none" w:sz="0" w:space="0" w:color="auto"/>
          </w:divBdr>
        </w:div>
        <w:div w:id="1299720275">
          <w:marLeft w:val="0"/>
          <w:marRight w:val="0"/>
          <w:marTop w:val="0"/>
          <w:marBottom w:val="0"/>
          <w:divBdr>
            <w:top w:val="none" w:sz="0" w:space="0" w:color="auto"/>
            <w:left w:val="none" w:sz="0" w:space="0" w:color="auto"/>
            <w:bottom w:val="none" w:sz="0" w:space="0" w:color="auto"/>
            <w:right w:val="none" w:sz="0" w:space="0" w:color="auto"/>
          </w:divBdr>
        </w:div>
      </w:divsChild>
    </w:div>
    <w:div w:id="1299192152">
      <w:bodyDiv w:val="1"/>
      <w:marLeft w:val="0"/>
      <w:marRight w:val="0"/>
      <w:marTop w:val="0"/>
      <w:marBottom w:val="0"/>
      <w:divBdr>
        <w:top w:val="none" w:sz="0" w:space="0" w:color="auto"/>
        <w:left w:val="none" w:sz="0" w:space="0" w:color="auto"/>
        <w:bottom w:val="none" w:sz="0" w:space="0" w:color="auto"/>
        <w:right w:val="none" w:sz="0" w:space="0" w:color="auto"/>
      </w:divBdr>
      <w:divsChild>
        <w:div w:id="164244708">
          <w:marLeft w:val="0"/>
          <w:marRight w:val="0"/>
          <w:marTop w:val="0"/>
          <w:marBottom w:val="0"/>
          <w:divBdr>
            <w:top w:val="none" w:sz="0" w:space="0" w:color="auto"/>
            <w:left w:val="none" w:sz="0" w:space="0" w:color="auto"/>
            <w:bottom w:val="none" w:sz="0" w:space="0" w:color="auto"/>
            <w:right w:val="none" w:sz="0" w:space="0" w:color="auto"/>
          </w:divBdr>
        </w:div>
        <w:div w:id="247807033">
          <w:marLeft w:val="0"/>
          <w:marRight w:val="0"/>
          <w:marTop w:val="0"/>
          <w:marBottom w:val="0"/>
          <w:divBdr>
            <w:top w:val="none" w:sz="0" w:space="0" w:color="auto"/>
            <w:left w:val="none" w:sz="0" w:space="0" w:color="auto"/>
            <w:bottom w:val="none" w:sz="0" w:space="0" w:color="auto"/>
            <w:right w:val="none" w:sz="0" w:space="0" w:color="auto"/>
          </w:divBdr>
        </w:div>
        <w:div w:id="929581543">
          <w:marLeft w:val="0"/>
          <w:marRight w:val="0"/>
          <w:marTop w:val="0"/>
          <w:marBottom w:val="0"/>
          <w:divBdr>
            <w:top w:val="none" w:sz="0" w:space="0" w:color="auto"/>
            <w:left w:val="none" w:sz="0" w:space="0" w:color="auto"/>
            <w:bottom w:val="none" w:sz="0" w:space="0" w:color="auto"/>
            <w:right w:val="none" w:sz="0" w:space="0" w:color="auto"/>
          </w:divBdr>
        </w:div>
        <w:div w:id="1260065957">
          <w:marLeft w:val="0"/>
          <w:marRight w:val="0"/>
          <w:marTop w:val="0"/>
          <w:marBottom w:val="0"/>
          <w:divBdr>
            <w:top w:val="none" w:sz="0" w:space="0" w:color="auto"/>
            <w:left w:val="none" w:sz="0" w:space="0" w:color="auto"/>
            <w:bottom w:val="none" w:sz="0" w:space="0" w:color="auto"/>
            <w:right w:val="none" w:sz="0" w:space="0" w:color="auto"/>
          </w:divBdr>
        </w:div>
        <w:div w:id="1979527397">
          <w:marLeft w:val="0"/>
          <w:marRight w:val="0"/>
          <w:marTop w:val="0"/>
          <w:marBottom w:val="0"/>
          <w:divBdr>
            <w:top w:val="none" w:sz="0" w:space="0" w:color="auto"/>
            <w:left w:val="none" w:sz="0" w:space="0" w:color="auto"/>
            <w:bottom w:val="none" w:sz="0" w:space="0" w:color="auto"/>
            <w:right w:val="none" w:sz="0" w:space="0" w:color="auto"/>
          </w:divBdr>
        </w:div>
        <w:div w:id="2051564111">
          <w:marLeft w:val="0"/>
          <w:marRight w:val="0"/>
          <w:marTop w:val="0"/>
          <w:marBottom w:val="0"/>
          <w:divBdr>
            <w:top w:val="none" w:sz="0" w:space="0" w:color="auto"/>
            <w:left w:val="none" w:sz="0" w:space="0" w:color="auto"/>
            <w:bottom w:val="none" w:sz="0" w:space="0" w:color="auto"/>
            <w:right w:val="none" w:sz="0" w:space="0" w:color="auto"/>
          </w:divBdr>
        </w:div>
      </w:divsChild>
    </w:div>
    <w:div w:id="1416440311">
      <w:bodyDiv w:val="1"/>
      <w:marLeft w:val="0"/>
      <w:marRight w:val="0"/>
      <w:marTop w:val="0"/>
      <w:marBottom w:val="0"/>
      <w:divBdr>
        <w:top w:val="none" w:sz="0" w:space="0" w:color="auto"/>
        <w:left w:val="none" w:sz="0" w:space="0" w:color="auto"/>
        <w:bottom w:val="none" w:sz="0" w:space="0" w:color="auto"/>
        <w:right w:val="none" w:sz="0" w:space="0" w:color="auto"/>
      </w:divBdr>
    </w:div>
    <w:div w:id="1423523439">
      <w:bodyDiv w:val="1"/>
      <w:marLeft w:val="0"/>
      <w:marRight w:val="0"/>
      <w:marTop w:val="0"/>
      <w:marBottom w:val="0"/>
      <w:divBdr>
        <w:top w:val="none" w:sz="0" w:space="0" w:color="auto"/>
        <w:left w:val="none" w:sz="0" w:space="0" w:color="auto"/>
        <w:bottom w:val="none" w:sz="0" w:space="0" w:color="auto"/>
        <w:right w:val="none" w:sz="0" w:space="0" w:color="auto"/>
      </w:divBdr>
      <w:divsChild>
        <w:div w:id="39937497">
          <w:marLeft w:val="0"/>
          <w:marRight w:val="0"/>
          <w:marTop w:val="0"/>
          <w:marBottom w:val="0"/>
          <w:divBdr>
            <w:top w:val="none" w:sz="0" w:space="0" w:color="auto"/>
            <w:left w:val="none" w:sz="0" w:space="0" w:color="auto"/>
            <w:bottom w:val="none" w:sz="0" w:space="0" w:color="auto"/>
            <w:right w:val="none" w:sz="0" w:space="0" w:color="auto"/>
          </w:divBdr>
        </w:div>
        <w:div w:id="771049644">
          <w:marLeft w:val="0"/>
          <w:marRight w:val="0"/>
          <w:marTop w:val="0"/>
          <w:marBottom w:val="0"/>
          <w:divBdr>
            <w:top w:val="none" w:sz="0" w:space="0" w:color="auto"/>
            <w:left w:val="none" w:sz="0" w:space="0" w:color="auto"/>
            <w:bottom w:val="none" w:sz="0" w:space="0" w:color="auto"/>
            <w:right w:val="none" w:sz="0" w:space="0" w:color="auto"/>
          </w:divBdr>
        </w:div>
        <w:div w:id="1419015492">
          <w:marLeft w:val="0"/>
          <w:marRight w:val="0"/>
          <w:marTop w:val="0"/>
          <w:marBottom w:val="0"/>
          <w:divBdr>
            <w:top w:val="none" w:sz="0" w:space="0" w:color="auto"/>
            <w:left w:val="none" w:sz="0" w:space="0" w:color="auto"/>
            <w:bottom w:val="none" w:sz="0" w:space="0" w:color="auto"/>
            <w:right w:val="none" w:sz="0" w:space="0" w:color="auto"/>
          </w:divBdr>
        </w:div>
        <w:div w:id="1676609408">
          <w:marLeft w:val="0"/>
          <w:marRight w:val="0"/>
          <w:marTop w:val="0"/>
          <w:marBottom w:val="0"/>
          <w:divBdr>
            <w:top w:val="none" w:sz="0" w:space="0" w:color="auto"/>
            <w:left w:val="none" w:sz="0" w:space="0" w:color="auto"/>
            <w:bottom w:val="none" w:sz="0" w:space="0" w:color="auto"/>
            <w:right w:val="none" w:sz="0" w:space="0" w:color="auto"/>
          </w:divBdr>
        </w:div>
        <w:div w:id="2086566387">
          <w:marLeft w:val="0"/>
          <w:marRight w:val="0"/>
          <w:marTop w:val="0"/>
          <w:marBottom w:val="0"/>
          <w:divBdr>
            <w:top w:val="none" w:sz="0" w:space="0" w:color="auto"/>
            <w:left w:val="none" w:sz="0" w:space="0" w:color="auto"/>
            <w:bottom w:val="none" w:sz="0" w:space="0" w:color="auto"/>
            <w:right w:val="none" w:sz="0" w:space="0" w:color="auto"/>
          </w:divBdr>
        </w:div>
      </w:divsChild>
    </w:div>
    <w:div w:id="1539197621">
      <w:bodyDiv w:val="1"/>
      <w:marLeft w:val="0"/>
      <w:marRight w:val="0"/>
      <w:marTop w:val="0"/>
      <w:marBottom w:val="0"/>
      <w:divBdr>
        <w:top w:val="none" w:sz="0" w:space="0" w:color="auto"/>
        <w:left w:val="none" w:sz="0" w:space="0" w:color="auto"/>
        <w:bottom w:val="none" w:sz="0" w:space="0" w:color="auto"/>
        <w:right w:val="none" w:sz="0" w:space="0" w:color="auto"/>
      </w:divBdr>
    </w:div>
    <w:div w:id="1548491060">
      <w:bodyDiv w:val="1"/>
      <w:marLeft w:val="0"/>
      <w:marRight w:val="0"/>
      <w:marTop w:val="0"/>
      <w:marBottom w:val="0"/>
      <w:divBdr>
        <w:top w:val="none" w:sz="0" w:space="0" w:color="auto"/>
        <w:left w:val="none" w:sz="0" w:space="0" w:color="auto"/>
        <w:bottom w:val="none" w:sz="0" w:space="0" w:color="auto"/>
        <w:right w:val="none" w:sz="0" w:space="0" w:color="auto"/>
      </w:divBdr>
    </w:div>
    <w:div w:id="1582830927">
      <w:bodyDiv w:val="1"/>
      <w:marLeft w:val="0"/>
      <w:marRight w:val="0"/>
      <w:marTop w:val="0"/>
      <w:marBottom w:val="0"/>
      <w:divBdr>
        <w:top w:val="none" w:sz="0" w:space="0" w:color="auto"/>
        <w:left w:val="none" w:sz="0" w:space="0" w:color="auto"/>
        <w:bottom w:val="none" w:sz="0" w:space="0" w:color="auto"/>
        <w:right w:val="none" w:sz="0" w:space="0" w:color="auto"/>
      </w:divBdr>
    </w:div>
    <w:div w:id="1602253002">
      <w:bodyDiv w:val="1"/>
      <w:marLeft w:val="0"/>
      <w:marRight w:val="0"/>
      <w:marTop w:val="0"/>
      <w:marBottom w:val="0"/>
      <w:divBdr>
        <w:top w:val="none" w:sz="0" w:space="0" w:color="auto"/>
        <w:left w:val="none" w:sz="0" w:space="0" w:color="auto"/>
        <w:bottom w:val="none" w:sz="0" w:space="0" w:color="auto"/>
        <w:right w:val="none" w:sz="0" w:space="0" w:color="auto"/>
      </w:divBdr>
    </w:div>
    <w:div w:id="1653485944">
      <w:bodyDiv w:val="1"/>
      <w:marLeft w:val="0"/>
      <w:marRight w:val="0"/>
      <w:marTop w:val="0"/>
      <w:marBottom w:val="0"/>
      <w:divBdr>
        <w:top w:val="none" w:sz="0" w:space="0" w:color="auto"/>
        <w:left w:val="none" w:sz="0" w:space="0" w:color="auto"/>
        <w:bottom w:val="none" w:sz="0" w:space="0" w:color="auto"/>
        <w:right w:val="none" w:sz="0" w:space="0" w:color="auto"/>
      </w:divBdr>
    </w:div>
    <w:div w:id="1710883908">
      <w:bodyDiv w:val="1"/>
      <w:marLeft w:val="0"/>
      <w:marRight w:val="0"/>
      <w:marTop w:val="0"/>
      <w:marBottom w:val="0"/>
      <w:divBdr>
        <w:top w:val="none" w:sz="0" w:space="0" w:color="auto"/>
        <w:left w:val="none" w:sz="0" w:space="0" w:color="auto"/>
        <w:bottom w:val="none" w:sz="0" w:space="0" w:color="auto"/>
        <w:right w:val="none" w:sz="0" w:space="0" w:color="auto"/>
      </w:divBdr>
    </w:div>
    <w:div w:id="1752506044">
      <w:bodyDiv w:val="1"/>
      <w:marLeft w:val="0"/>
      <w:marRight w:val="0"/>
      <w:marTop w:val="0"/>
      <w:marBottom w:val="0"/>
      <w:divBdr>
        <w:top w:val="none" w:sz="0" w:space="0" w:color="auto"/>
        <w:left w:val="none" w:sz="0" w:space="0" w:color="auto"/>
        <w:bottom w:val="none" w:sz="0" w:space="0" w:color="auto"/>
        <w:right w:val="none" w:sz="0" w:space="0" w:color="auto"/>
      </w:divBdr>
    </w:div>
    <w:div w:id="1763141962">
      <w:bodyDiv w:val="1"/>
      <w:marLeft w:val="0"/>
      <w:marRight w:val="0"/>
      <w:marTop w:val="0"/>
      <w:marBottom w:val="0"/>
      <w:divBdr>
        <w:top w:val="none" w:sz="0" w:space="0" w:color="auto"/>
        <w:left w:val="none" w:sz="0" w:space="0" w:color="auto"/>
        <w:bottom w:val="none" w:sz="0" w:space="0" w:color="auto"/>
        <w:right w:val="none" w:sz="0" w:space="0" w:color="auto"/>
      </w:divBdr>
    </w:div>
    <w:div w:id="1817258577">
      <w:bodyDiv w:val="1"/>
      <w:marLeft w:val="0"/>
      <w:marRight w:val="0"/>
      <w:marTop w:val="0"/>
      <w:marBottom w:val="0"/>
      <w:divBdr>
        <w:top w:val="none" w:sz="0" w:space="0" w:color="auto"/>
        <w:left w:val="none" w:sz="0" w:space="0" w:color="auto"/>
        <w:bottom w:val="none" w:sz="0" w:space="0" w:color="auto"/>
        <w:right w:val="none" w:sz="0" w:space="0" w:color="auto"/>
      </w:divBdr>
    </w:div>
    <w:div w:id="1928881933">
      <w:bodyDiv w:val="1"/>
      <w:marLeft w:val="0"/>
      <w:marRight w:val="0"/>
      <w:marTop w:val="0"/>
      <w:marBottom w:val="0"/>
      <w:divBdr>
        <w:top w:val="none" w:sz="0" w:space="0" w:color="auto"/>
        <w:left w:val="none" w:sz="0" w:space="0" w:color="auto"/>
        <w:bottom w:val="none" w:sz="0" w:space="0" w:color="auto"/>
        <w:right w:val="none" w:sz="0" w:space="0" w:color="auto"/>
      </w:divBdr>
    </w:div>
    <w:div w:id="1988237401">
      <w:bodyDiv w:val="1"/>
      <w:marLeft w:val="0"/>
      <w:marRight w:val="0"/>
      <w:marTop w:val="0"/>
      <w:marBottom w:val="0"/>
      <w:divBdr>
        <w:top w:val="none" w:sz="0" w:space="0" w:color="auto"/>
        <w:left w:val="none" w:sz="0" w:space="0" w:color="auto"/>
        <w:bottom w:val="none" w:sz="0" w:space="0" w:color="auto"/>
        <w:right w:val="none" w:sz="0" w:space="0" w:color="auto"/>
      </w:divBdr>
    </w:div>
    <w:div w:id="1990204297">
      <w:bodyDiv w:val="1"/>
      <w:marLeft w:val="0"/>
      <w:marRight w:val="0"/>
      <w:marTop w:val="0"/>
      <w:marBottom w:val="0"/>
      <w:divBdr>
        <w:top w:val="none" w:sz="0" w:space="0" w:color="auto"/>
        <w:left w:val="none" w:sz="0" w:space="0" w:color="auto"/>
        <w:bottom w:val="none" w:sz="0" w:space="0" w:color="auto"/>
        <w:right w:val="none" w:sz="0" w:space="0" w:color="auto"/>
      </w:divBdr>
    </w:div>
    <w:div w:id="202212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d-echr.coe.int/documents/d/echr/Convention_FRA" TargetMode="External"/><Relationship Id="rId13" Type="http://schemas.openxmlformats.org/officeDocument/2006/relationships/hyperlink" Target="https://www.coe.int/fr/web/conventions/full-list?module=treaty-detail&amp;treatynum=001" TargetMode="External"/><Relationship Id="rId18" Type="http://schemas.openxmlformats.org/officeDocument/2006/relationships/hyperlink" Target="https://hudoc.echr.coe.int/e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hudoc.echr.coe.int/eng" TargetMode="External"/><Relationship Id="rId7" Type="http://schemas.openxmlformats.org/officeDocument/2006/relationships/endnotes" Target="endnotes.xml"/><Relationship Id="rId12" Type="http://schemas.openxmlformats.org/officeDocument/2006/relationships/hyperlink" Target="https://pace.coe.int/fr/files/29885/html" TargetMode="External"/><Relationship Id="rId17" Type="http://schemas.openxmlformats.org/officeDocument/2006/relationships/image" Target="media/image1.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search.coe.int/cm/pages/result_details.aspx?ObjectId=0900001680a5dcfa" TargetMode="External"/><Relationship Id="rId20" Type="http://schemas.openxmlformats.org/officeDocument/2006/relationships/hyperlink" Target="https://hudoc.echr.coe.int/e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rch.coe.int/cm/Pages/result_details.aspx?ObjectId=0900001680a5c61a"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earch.coe.int/cm/Pages/result_details.aspx?ObjectId=0900001680a5da52" TargetMode="External"/><Relationship Id="rId23" Type="http://schemas.openxmlformats.org/officeDocument/2006/relationships/hyperlink" Target="https://hudoc.echr.coe.int/eng" TargetMode="External"/><Relationship Id="rId10" Type="http://schemas.openxmlformats.org/officeDocument/2006/relationships/hyperlink" Target="https://search.coe.int/cm/pages/result_details.aspx?ObjectId=0900001680a5b12e" TargetMode="External"/><Relationship Id="rId19" Type="http://schemas.openxmlformats.org/officeDocument/2006/relationships/hyperlink" Target="https://hudoc.echr.coe.int/eng" TargetMode="External"/><Relationship Id="rId4" Type="http://schemas.openxmlformats.org/officeDocument/2006/relationships/settings" Target="settings.xml"/><Relationship Id="rId9" Type="http://schemas.openxmlformats.org/officeDocument/2006/relationships/hyperlink" Target="https://search.coe.int/cm/Pages/result_details.aspx?ObjectId=0900001680a5a361" TargetMode="External"/><Relationship Id="rId14" Type="http://schemas.openxmlformats.org/officeDocument/2006/relationships/hyperlink" Target="https://search.coe.int/cm/pages/result_details.aspx?ObjectId=0900001680a5d7d8" TargetMode="External"/><Relationship Id="rId22" Type="http://schemas.openxmlformats.org/officeDocument/2006/relationships/hyperlink" Target="https://hudoc.echr.coe.int/e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4DE10-0EB6-438B-9979-DFB2D4490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28</Pages>
  <Words>11282</Words>
  <Characters>62056</Characters>
  <Application>Microsoft Office Word</Application>
  <DocSecurity>0</DocSecurity>
  <Lines>517</Lines>
  <Paragraphs>146</Paragraphs>
  <ScaleCrop>false</ScaleCrop>
  <HeadingPairs>
    <vt:vector size="2" baseType="variant">
      <vt:variant>
        <vt:lpstr>Titre</vt:lpstr>
      </vt:variant>
      <vt:variant>
        <vt:i4>1</vt:i4>
      </vt:variant>
    </vt:vector>
  </HeadingPairs>
  <TitlesOfParts>
    <vt:vector size="1" baseType="lpstr">
      <vt:lpstr>DROIT EUROPEEN DES DROITS DE L’HOMME</vt:lpstr>
    </vt:vector>
  </TitlesOfParts>
  <Company/>
  <LinksUpToDate>false</LinksUpToDate>
  <CharactersWithSpaces>73192</CharactersWithSpaces>
  <SharedDoc>false</SharedDoc>
  <HLinks>
    <vt:vector size="18" baseType="variant">
      <vt:variant>
        <vt:i4>786505</vt:i4>
      </vt:variant>
      <vt:variant>
        <vt:i4>48</vt:i4>
      </vt:variant>
      <vt:variant>
        <vt:i4>0</vt:i4>
      </vt:variant>
      <vt:variant>
        <vt:i4>5</vt:i4>
      </vt:variant>
      <vt:variant>
        <vt:lpwstr>https://www-lexbase-fr.docelec.u-bordeaux.fr/index/source/1896888-constitution-04-10-1958-art-55</vt:lpwstr>
      </vt:variant>
      <vt:variant>
        <vt:lpwstr/>
      </vt:variant>
      <vt:variant>
        <vt:i4>6029388</vt:i4>
      </vt:variant>
      <vt:variant>
        <vt:i4>45</vt:i4>
      </vt:variant>
      <vt:variant>
        <vt:i4>0</vt:i4>
      </vt:variant>
      <vt:variant>
        <vt:i4>5</vt:i4>
      </vt:variant>
      <vt:variant>
        <vt:lpwstr>http://revdh.revues.org/2039</vt:lpwstr>
      </vt:variant>
      <vt:variant>
        <vt:lpwstr/>
      </vt:variant>
      <vt:variant>
        <vt:i4>721001</vt:i4>
      </vt:variant>
      <vt:variant>
        <vt:i4>0</vt:i4>
      </vt:variant>
      <vt:variant>
        <vt:i4>0</vt:i4>
      </vt:variant>
      <vt:variant>
        <vt:i4>5</vt:i4>
      </vt:variant>
      <vt:variant>
        <vt:lpwstr>http://newip.doctrinalplus.fr.docelec.u-bordeaux.fr/doc/fr/jurisprudence/judiciaire/cour_de_cassation/11701238?search_id=96c46ca06590cec46cce20200e7f8dbd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DROIT EUROPEEN DES DROITS DE L’HOMME</dc:title>
  <dc:subject/>
  <dc:creator>Adeline</dc:creator>
  <cp:keywords/>
  <cp:lastModifiedBy>Adeline Gouttenoire</cp:lastModifiedBy>
  <cp:revision>5</cp:revision>
  <cp:lastPrinted>2013-10-11T05:45:00Z</cp:lastPrinted>
  <dcterms:created xsi:type="dcterms:W3CDTF">2025-09-01T15:41:00Z</dcterms:created>
  <dcterms:modified xsi:type="dcterms:W3CDTF">2025-09-09T08:16:00Z</dcterms:modified>
</cp:coreProperties>
</file>