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C7DDA" w14:textId="77777777" w:rsidR="00D57F63" w:rsidRPr="00D3487F" w:rsidRDefault="00D57F63" w:rsidP="00D57F63">
      <w:pPr>
        <w:jc w:val="center"/>
        <w:rPr>
          <w:rFonts w:ascii="Times New Roman" w:hAnsi="Times New Roman" w:cs="Times New Roman"/>
          <w:b/>
          <w:bCs/>
          <w:sz w:val="24"/>
          <w:szCs w:val="24"/>
        </w:rPr>
      </w:pPr>
      <w:r w:rsidRPr="00D3487F">
        <w:rPr>
          <w:rFonts w:ascii="Times New Roman" w:hAnsi="Times New Roman" w:cs="Times New Roman"/>
          <w:b/>
          <w:bCs/>
          <w:sz w:val="24"/>
          <w:szCs w:val="24"/>
        </w:rPr>
        <w:t>Droit de la Convention européenne des droits de l’homme</w:t>
      </w:r>
    </w:p>
    <w:p w14:paraId="5E651106" w14:textId="77777777" w:rsidR="00D57F63" w:rsidRPr="00D3487F" w:rsidRDefault="00D57F63" w:rsidP="00D57F63">
      <w:pPr>
        <w:jc w:val="center"/>
        <w:rPr>
          <w:rFonts w:ascii="Times New Roman" w:hAnsi="Times New Roman" w:cs="Times New Roman"/>
          <w:b/>
          <w:bCs/>
          <w:sz w:val="24"/>
          <w:szCs w:val="24"/>
        </w:rPr>
      </w:pPr>
      <w:r w:rsidRPr="00D3487F">
        <w:rPr>
          <w:rFonts w:ascii="Times New Roman" w:hAnsi="Times New Roman" w:cs="Times New Roman"/>
          <w:b/>
          <w:bCs/>
          <w:sz w:val="24"/>
          <w:szCs w:val="24"/>
        </w:rPr>
        <w:t>Travaux dirigés</w:t>
      </w:r>
    </w:p>
    <w:p w14:paraId="36675744" w14:textId="14FD0ABD" w:rsidR="00813FA6" w:rsidRPr="00D3487F" w:rsidRDefault="00813FA6">
      <w:pPr>
        <w:rPr>
          <w:rFonts w:ascii="Times New Roman" w:hAnsi="Times New Roman" w:cs="Times New Roman"/>
          <w:sz w:val="24"/>
          <w:szCs w:val="24"/>
        </w:rPr>
      </w:pPr>
    </w:p>
    <w:p w14:paraId="4A91B639" w14:textId="678FCCFF" w:rsidR="00D57F63" w:rsidRPr="00D3487F" w:rsidRDefault="00D57F63" w:rsidP="00D57F63">
      <w:pPr>
        <w:jc w:val="center"/>
        <w:rPr>
          <w:rFonts w:ascii="Times New Roman" w:hAnsi="Times New Roman" w:cs="Times New Roman"/>
          <w:b/>
          <w:bCs/>
          <w:sz w:val="24"/>
          <w:szCs w:val="24"/>
        </w:rPr>
      </w:pPr>
      <w:r w:rsidRPr="00D3487F">
        <w:rPr>
          <w:rFonts w:ascii="Times New Roman" w:hAnsi="Times New Roman" w:cs="Times New Roman"/>
          <w:b/>
          <w:bCs/>
          <w:sz w:val="24"/>
          <w:szCs w:val="24"/>
        </w:rPr>
        <w:t>Séance 3 : Le contrôle de proportionnalité</w:t>
      </w:r>
    </w:p>
    <w:p w14:paraId="12B82F67" w14:textId="0FEF994C" w:rsidR="00D57F63" w:rsidRPr="00D3487F" w:rsidRDefault="00D57F63">
      <w:pPr>
        <w:rPr>
          <w:rFonts w:ascii="Times New Roman" w:hAnsi="Times New Roman" w:cs="Times New Roman"/>
          <w:sz w:val="24"/>
          <w:szCs w:val="24"/>
        </w:rPr>
      </w:pPr>
    </w:p>
    <w:p w14:paraId="75D8C290" w14:textId="0BF5E9B6" w:rsidR="0051735C" w:rsidRPr="00D3487F" w:rsidRDefault="0051735C">
      <w:pPr>
        <w:rPr>
          <w:rFonts w:ascii="Times New Roman" w:hAnsi="Times New Roman" w:cs="Times New Roman"/>
          <w:b/>
          <w:bCs/>
          <w:sz w:val="24"/>
          <w:szCs w:val="24"/>
        </w:rPr>
      </w:pPr>
      <w:r w:rsidRPr="00D3487F">
        <w:rPr>
          <w:rFonts w:ascii="Times New Roman" w:hAnsi="Times New Roman" w:cs="Times New Roman"/>
          <w:b/>
          <w:bCs/>
          <w:sz w:val="24"/>
          <w:szCs w:val="24"/>
        </w:rPr>
        <w:t>Commentaire de l’arrêt F.B. c/Belgique</w:t>
      </w:r>
    </w:p>
    <w:p w14:paraId="51579711" w14:textId="46762C3A" w:rsidR="00D57F63" w:rsidRPr="00D3487F" w:rsidRDefault="00D57F63" w:rsidP="0051735C">
      <w:pPr>
        <w:pStyle w:val="Paragraphedeliste"/>
        <w:numPr>
          <w:ilvl w:val="0"/>
          <w:numId w:val="5"/>
        </w:numPr>
        <w:spacing w:after="0" w:line="276" w:lineRule="auto"/>
        <w:jc w:val="both"/>
        <w:rPr>
          <w:rFonts w:ascii="Times New Roman" w:hAnsi="Times New Roman" w:cs="Times New Roman"/>
          <w:b/>
          <w:bCs/>
          <w:sz w:val="24"/>
          <w:szCs w:val="24"/>
        </w:rPr>
      </w:pPr>
      <w:r w:rsidRPr="00D3487F">
        <w:rPr>
          <w:rFonts w:ascii="Times New Roman" w:hAnsi="Times New Roman" w:cs="Times New Roman"/>
          <w:b/>
          <w:bCs/>
          <w:sz w:val="24"/>
          <w:szCs w:val="24"/>
        </w:rPr>
        <w:t xml:space="preserve">Présenter l’arrêt F.B. c/ Belgique </w:t>
      </w:r>
      <w:r w:rsidR="0051735C" w:rsidRPr="00D3487F">
        <w:rPr>
          <w:rFonts w:ascii="Times New Roman" w:hAnsi="Times New Roman" w:cs="Times New Roman"/>
          <w:b/>
          <w:bCs/>
          <w:sz w:val="24"/>
          <w:szCs w:val="24"/>
        </w:rPr>
        <w:t xml:space="preserve">à partir des questions </w:t>
      </w:r>
    </w:p>
    <w:p w14:paraId="6320C900" w14:textId="7C919B55"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Quels sont les faits qui ont donné lieu à la décision ?</w:t>
      </w:r>
    </w:p>
    <w:p w14:paraId="7BCBE0A2" w14:textId="77777777"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Quelles sont les parties ?</w:t>
      </w:r>
    </w:p>
    <w:p w14:paraId="586E2C35" w14:textId="174CE701"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Quels sont les fondements de la requête ? de la décision ?</w:t>
      </w:r>
      <w:r w:rsidRPr="00D3487F">
        <w:rPr>
          <w:rFonts w:ascii="Times New Roman" w:hAnsi="Times New Roman" w:cs="Times New Roman"/>
          <w:sz w:val="24"/>
          <w:szCs w:val="24"/>
        </w:rPr>
        <w:t xml:space="preserve"> </w:t>
      </w:r>
      <w:r w:rsidRPr="00D3487F">
        <w:rPr>
          <w:rFonts w:ascii="Times New Roman" w:hAnsi="Times New Roman" w:cs="Times New Roman"/>
          <w:sz w:val="24"/>
          <w:szCs w:val="24"/>
        </w:rPr>
        <w:t>qu’est ce qui est précisément reproché à l’Etat défendeur ?</w:t>
      </w:r>
    </w:p>
    <w:p w14:paraId="15A2D269" w14:textId="549E5F1B"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Quelles sont les techniques d’interprétation mises en œuvre dans cet arrêt ?</w:t>
      </w:r>
      <w:r w:rsidRPr="00D3487F">
        <w:rPr>
          <w:rFonts w:ascii="Times New Roman" w:hAnsi="Times New Roman" w:cs="Times New Roman"/>
          <w:sz w:val="24"/>
          <w:szCs w:val="24"/>
        </w:rPr>
        <w:t xml:space="preserve"> </w:t>
      </w:r>
    </w:p>
    <w:p w14:paraId="799CA645" w14:textId="6EC6ABE3"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 contrôle la Cour européenne exerce-t-elle (quelle est la question qu’elle se pose ?)</w:t>
      </w:r>
    </w:p>
    <w:p w14:paraId="4926D42E" w14:textId="42537CA1" w:rsidR="00D57F63"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Quelle réponse apporte-t-elle à ce contrôle</w:t>
      </w:r>
      <w:r w:rsidRPr="00D3487F">
        <w:rPr>
          <w:rFonts w:ascii="Times New Roman" w:hAnsi="Times New Roman" w:cs="Times New Roman"/>
          <w:sz w:val="24"/>
          <w:szCs w:val="24"/>
        </w:rPr>
        <w:t>, selon quelle analyse</w:t>
      </w:r>
    </w:p>
    <w:p w14:paraId="17E115EA" w14:textId="6C1400B3" w:rsidR="0051735C" w:rsidRPr="00D3487F" w:rsidRDefault="0051735C" w:rsidP="0051735C">
      <w:pPr>
        <w:pStyle w:val="Paragraphedeliste"/>
        <w:numPr>
          <w:ilvl w:val="0"/>
          <w:numId w:val="7"/>
        </w:numPr>
        <w:spacing w:after="0" w:line="276" w:lineRule="auto"/>
        <w:jc w:val="both"/>
        <w:rPr>
          <w:rFonts w:ascii="Times New Roman" w:hAnsi="Times New Roman" w:cs="Times New Roman"/>
          <w:sz w:val="24"/>
          <w:szCs w:val="24"/>
        </w:rPr>
      </w:pPr>
      <w:r w:rsidRPr="00D3487F">
        <w:rPr>
          <w:rFonts w:ascii="Times New Roman" w:hAnsi="Times New Roman" w:cs="Times New Roman"/>
          <w:sz w:val="24"/>
          <w:szCs w:val="24"/>
        </w:rPr>
        <w:t xml:space="preserve">Comment l’arrêt s’inscrit-il dans la jurisprudence de la Cour </w:t>
      </w:r>
    </w:p>
    <w:p w14:paraId="01ED9117" w14:textId="77777777" w:rsidR="0051735C" w:rsidRPr="00D3487F" w:rsidRDefault="0051735C" w:rsidP="0051735C">
      <w:pPr>
        <w:pStyle w:val="Paragraphedeliste"/>
        <w:spacing w:after="0" w:line="276" w:lineRule="auto"/>
        <w:ind w:left="765"/>
        <w:jc w:val="both"/>
        <w:rPr>
          <w:rFonts w:ascii="Times New Roman" w:hAnsi="Times New Roman" w:cs="Times New Roman"/>
          <w:sz w:val="24"/>
          <w:szCs w:val="24"/>
        </w:rPr>
      </w:pPr>
    </w:p>
    <w:p w14:paraId="230A9B93" w14:textId="7E16CDA7" w:rsidR="0051735C" w:rsidRDefault="0051735C" w:rsidP="0051735C">
      <w:pPr>
        <w:pStyle w:val="Paragraphedeliste"/>
        <w:numPr>
          <w:ilvl w:val="0"/>
          <w:numId w:val="5"/>
        </w:numPr>
        <w:spacing w:after="0" w:line="276" w:lineRule="auto"/>
        <w:jc w:val="both"/>
        <w:rPr>
          <w:rFonts w:ascii="Times New Roman" w:hAnsi="Times New Roman" w:cs="Times New Roman"/>
          <w:b/>
          <w:bCs/>
          <w:sz w:val="24"/>
          <w:szCs w:val="24"/>
        </w:rPr>
      </w:pPr>
      <w:r w:rsidRPr="00D3487F">
        <w:rPr>
          <w:rFonts w:ascii="Times New Roman" w:hAnsi="Times New Roman" w:cs="Times New Roman"/>
          <w:b/>
          <w:bCs/>
          <w:sz w:val="24"/>
          <w:szCs w:val="24"/>
        </w:rPr>
        <w:t xml:space="preserve">Proposez un plan du commentaire </w:t>
      </w:r>
    </w:p>
    <w:p w14:paraId="4BDC8005" w14:textId="77777777" w:rsidR="00D3487F" w:rsidRPr="00D3487F" w:rsidRDefault="00D3487F" w:rsidP="00D3487F">
      <w:pPr>
        <w:pStyle w:val="Paragraphedeliste"/>
        <w:spacing w:after="0" w:line="276" w:lineRule="auto"/>
        <w:ind w:left="405"/>
        <w:jc w:val="both"/>
        <w:rPr>
          <w:rFonts w:ascii="Times New Roman" w:hAnsi="Times New Roman" w:cs="Times New Roman"/>
          <w:b/>
          <w:bCs/>
          <w:sz w:val="24"/>
          <w:szCs w:val="24"/>
        </w:rPr>
      </w:pPr>
    </w:p>
    <w:p w14:paraId="7ECA84BB" w14:textId="6C26B2A1" w:rsidR="0051735C" w:rsidRPr="00D3487F" w:rsidRDefault="0051735C" w:rsidP="0051735C">
      <w:pPr>
        <w:pStyle w:val="Paragraphedeliste"/>
        <w:numPr>
          <w:ilvl w:val="0"/>
          <w:numId w:val="5"/>
        </w:numPr>
        <w:spacing w:after="0" w:line="276" w:lineRule="auto"/>
        <w:jc w:val="both"/>
        <w:rPr>
          <w:rFonts w:ascii="Times New Roman" w:hAnsi="Times New Roman" w:cs="Times New Roman"/>
          <w:b/>
          <w:bCs/>
          <w:sz w:val="24"/>
          <w:szCs w:val="24"/>
        </w:rPr>
      </w:pPr>
      <w:r w:rsidRPr="00D3487F">
        <w:rPr>
          <w:rFonts w:ascii="Times New Roman" w:hAnsi="Times New Roman" w:cs="Times New Roman"/>
          <w:b/>
          <w:bCs/>
          <w:sz w:val="24"/>
          <w:szCs w:val="24"/>
        </w:rPr>
        <w:t>Rédigez l’introduction du commentaire</w:t>
      </w:r>
    </w:p>
    <w:p w14:paraId="239FB197" w14:textId="77777777" w:rsidR="0028617C" w:rsidRPr="00D3487F" w:rsidRDefault="0028617C" w:rsidP="0028617C">
      <w:pPr>
        <w:pStyle w:val="Paragraphedeliste"/>
        <w:spacing w:after="0" w:line="276" w:lineRule="auto"/>
        <w:ind w:left="405"/>
        <w:jc w:val="both"/>
        <w:rPr>
          <w:rFonts w:ascii="Times New Roman" w:hAnsi="Times New Roman" w:cs="Times New Roman"/>
          <w:b/>
          <w:bCs/>
          <w:sz w:val="24"/>
          <w:szCs w:val="24"/>
        </w:rPr>
      </w:pPr>
    </w:p>
    <w:p w14:paraId="3260B94F" w14:textId="0D9523B0" w:rsidR="00D57F63" w:rsidRPr="00D3487F" w:rsidRDefault="00D57F63" w:rsidP="0051735C">
      <w:pPr>
        <w:pStyle w:val="JuTitle"/>
        <w:spacing w:before="600"/>
        <w:jc w:val="left"/>
        <w:rPr>
          <w:rFonts w:ascii="Times New Roman" w:hAnsi="Times New Roman" w:cs="Times New Roman"/>
        </w:rPr>
      </w:pPr>
      <w:r w:rsidRPr="00D3487F">
        <w:rPr>
          <w:rFonts w:ascii="Times New Roman" w:hAnsi="Times New Roman" w:cs="Times New Roman"/>
        </w:rPr>
        <w:t xml:space="preserve">F.B. c. </w:t>
      </w:r>
      <w:r w:rsidR="0051735C" w:rsidRPr="00D3487F">
        <w:rPr>
          <w:rFonts w:ascii="Times New Roman" w:hAnsi="Times New Roman" w:cs="Times New Roman"/>
        </w:rPr>
        <w:t xml:space="preserve">Belgique </w:t>
      </w:r>
      <w:r w:rsidRPr="00D3487F">
        <w:rPr>
          <w:rFonts w:ascii="Times New Roman" w:hAnsi="Times New Roman" w:cs="Times New Roman"/>
        </w:rPr>
        <w:t>(Requête n</w:t>
      </w:r>
      <w:r w:rsidRPr="00D3487F">
        <w:rPr>
          <w:rFonts w:ascii="Times New Roman" w:hAnsi="Times New Roman" w:cs="Times New Roman"/>
          <w:vertAlign w:val="superscript"/>
        </w:rPr>
        <w:t>o</w:t>
      </w:r>
      <w:r w:rsidRPr="00D3487F">
        <w:rPr>
          <w:rFonts w:ascii="Times New Roman" w:hAnsi="Times New Roman" w:cs="Times New Roman"/>
        </w:rPr>
        <w:t xml:space="preserve"> 47836/21)</w:t>
      </w:r>
      <w:r w:rsidR="0051735C" w:rsidRPr="00D3487F">
        <w:rPr>
          <w:rFonts w:ascii="Times New Roman" w:hAnsi="Times New Roman" w:cs="Times New Roman"/>
        </w:rPr>
        <w:t xml:space="preserve"> </w:t>
      </w:r>
      <w:r w:rsidRPr="00D3487F">
        <w:rPr>
          <w:rFonts w:ascii="Times New Roman" w:hAnsi="Times New Roman" w:cs="Times New Roman"/>
        </w:rPr>
        <w:t>6 mars 2025</w:t>
      </w:r>
      <w:bookmarkStart w:id="0" w:name="_Hlk172909186"/>
      <w:bookmarkStart w:id="1" w:name="_Hlk174111181"/>
    </w:p>
    <w:bookmarkEnd w:id="0"/>
    <w:bookmarkEnd w:id="1"/>
    <w:p w14:paraId="35A255E1" w14:textId="77777777" w:rsidR="00D57F63" w:rsidRPr="00D3487F" w:rsidRDefault="00D57F63" w:rsidP="00D57F63">
      <w:pPr>
        <w:pStyle w:val="JuHIRoman"/>
        <w:rPr>
          <w:rFonts w:ascii="Times New Roman" w:hAnsi="Times New Roman" w:cs="Times New Roman"/>
          <w:szCs w:val="24"/>
        </w:rPr>
      </w:pPr>
      <w:r w:rsidRPr="00D3487F">
        <w:rPr>
          <w:rFonts w:ascii="Times New Roman" w:hAnsi="Times New Roman" w:cs="Times New Roman"/>
          <w:szCs w:val="24"/>
        </w:rPr>
        <w:t>SUR LA VIOLATION ALLÉGUÉE DE L’ARTICLE 8 DE LA CONVENTION</w:t>
      </w:r>
    </w:p>
    <w:p w14:paraId="2FC556C8" w14:textId="77777777" w:rsidR="00D57F63" w:rsidRPr="00D3487F" w:rsidRDefault="00D57F63" w:rsidP="00D57F63">
      <w:pPr>
        <w:pStyle w:val="JuHA"/>
        <w:numPr>
          <w:ilvl w:val="2"/>
          <w:numId w:val="1"/>
        </w:numPr>
        <w:ind w:left="510" w:hanging="340"/>
        <w:rPr>
          <w:rFonts w:ascii="Times New Roman" w:hAnsi="Times New Roman" w:cs="Times New Roman"/>
          <w:szCs w:val="24"/>
        </w:rPr>
      </w:pPr>
      <w:r w:rsidRPr="00D3487F">
        <w:rPr>
          <w:rFonts w:ascii="Times New Roman" w:hAnsi="Times New Roman" w:cs="Times New Roman"/>
          <w:szCs w:val="24"/>
        </w:rPr>
        <w:t>Sur le fond</w:t>
      </w:r>
    </w:p>
    <w:p w14:paraId="409EF96B" w14:textId="77777777" w:rsidR="00D57F63" w:rsidRPr="00D3487F" w:rsidRDefault="00D57F63" w:rsidP="00D57F63">
      <w:pPr>
        <w:pStyle w:val="JuH1"/>
        <w:rPr>
          <w:rFonts w:ascii="Times New Roman" w:hAnsi="Times New Roman" w:cs="Times New Roman"/>
          <w:szCs w:val="24"/>
        </w:rPr>
      </w:pPr>
      <w:r w:rsidRPr="00D3487F">
        <w:rPr>
          <w:rFonts w:ascii="Times New Roman" w:hAnsi="Times New Roman" w:cs="Times New Roman"/>
          <w:szCs w:val="24"/>
        </w:rPr>
        <w:t>Appréciation de la Cour</w:t>
      </w:r>
    </w:p>
    <w:p w14:paraId="2DD351A4" w14:textId="77777777" w:rsidR="00D57F63" w:rsidRPr="00D3487F" w:rsidRDefault="00D57F63" w:rsidP="00D57F63">
      <w:pPr>
        <w:pStyle w:val="JuHa0"/>
        <w:rPr>
          <w:rFonts w:ascii="Times New Roman" w:hAnsi="Times New Roman" w:cs="Times New Roman"/>
          <w:sz w:val="24"/>
          <w:szCs w:val="24"/>
        </w:rPr>
      </w:pPr>
      <w:r w:rsidRPr="00D3487F">
        <w:rPr>
          <w:rFonts w:ascii="Times New Roman" w:hAnsi="Times New Roman" w:cs="Times New Roman"/>
          <w:sz w:val="24"/>
          <w:szCs w:val="24"/>
        </w:rPr>
        <w:t>Principes généraux</w:t>
      </w:r>
    </w:p>
    <w:p w14:paraId="1EEFDD44"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69</w:t>
      </w:r>
      <w:r w:rsidRPr="00D3487F">
        <w:rPr>
          <w:rFonts w:ascii="Times New Roman" w:hAnsi="Times New Roman" w:cs="Times New Roman"/>
          <w:noProof/>
        </w:rPr>
        <w:fldChar w:fldCharType="end"/>
      </w:r>
      <w:r w:rsidRPr="00D3487F">
        <w:rPr>
          <w:rFonts w:ascii="Times New Roman" w:hAnsi="Times New Roman" w:cs="Times New Roman"/>
        </w:rPr>
        <w:t>.  La Cour rappelle que les États contractants ont, en vertu d’un principe de droit international bien établi et sans préjudice des engagements découlant pour eux de traités, y compris la Convention, le droit de contrôler l’entrée, le séjour et l’éloignement des non-nationaux (voir, par exemple, </w:t>
      </w:r>
      <w:bookmarkStart w:id="2" w:name="_cl7529ENDROIT"/>
      <w:proofErr w:type="spellStart"/>
      <w:r w:rsidRPr="00D3487F">
        <w:rPr>
          <w:rFonts w:ascii="Times New Roman" w:hAnsi="Times New Roman" w:cs="Times New Roman"/>
          <w:i/>
          <w:iCs/>
        </w:rPr>
        <w:t>Hirsi</w:t>
      </w:r>
      <w:proofErr w:type="spellEnd"/>
      <w:r w:rsidRPr="00D3487F">
        <w:rPr>
          <w:rFonts w:ascii="Times New Roman" w:hAnsi="Times New Roman" w:cs="Times New Roman"/>
          <w:i/>
          <w:iCs/>
        </w:rPr>
        <w:t xml:space="preserve"> </w:t>
      </w:r>
      <w:proofErr w:type="spellStart"/>
      <w:r w:rsidRPr="00D3487F">
        <w:rPr>
          <w:rFonts w:ascii="Times New Roman" w:hAnsi="Times New Roman" w:cs="Times New Roman"/>
          <w:i/>
          <w:iCs/>
        </w:rPr>
        <w:t>Jamaa</w:t>
      </w:r>
      <w:proofErr w:type="spellEnd"/>
      <w:r w:rsidRPr="00D3487F">
        <w:rPr>
          <w:rFonts w:ascii="Times New Roman" w:hAnsi="Times New Roman" w:cs="Times New Roman"/>
          <w:i/>
          <w:iCs/>
        </w:rPr>
        <w:t xml:space="preserve"> et autres c. Italie</w:t>
      </w:r>
      <w:bookmarkEnd w:id="2"/>
      <w:r w:rsidRPr="00D3487F">
        <w:rPr>
          <w:rFonts w:ascii="Times New Roman" w:hAnsi="Times New Roman" w:cs="Times New Roman"/>
        </w:rPr>
        <w:t xml:space="preserve"> [GC], n</w:t>
      </w:r>
      <w:r w:rsidRPr="00D3487F">
        <w:rPr>
          <w:rFonts w:ascii="Times New Roman" w:hAnsi="Times New Roman" w:cs="Times New Roman"/>
          <w:vertAlign w:val="superscript"/>
        </w:rPr>
        <w:t>o</w:t>
      </w:r>
      <w:r w:rsidRPr="00D3487F">
        <w:rPr>
          <w:rFonts w:ascii="Times New Roman" w:hAnsi="Times New Roman" w:cs="Times New Roman"/>
        </w:rPr>
        <w:t xml:space="preserve"> 27765/09, § 113, CEDH 2012 ; </w:t>
      </w:r>
      <w:bookmarkStart w:id="3" w:name="_cl18334ENDROIT"/>
      <w:proofErr w:type="spellStart"/>
      <w:r w:rsidRPr="00D3487F">
        <w:rPr>
          <w:rFonts w:ascii="Times New Roman" w:hAnsi="Times New Roman" w:cs="Times New Roman"/>
          <w:i/>
          <w:iCs/>
        </w:rPr>
        <w:t>Üner</w:t>
      </w:r>
      <w:proofErr w:type="spellEnd"/>
      <w:r w:rsidRPr="00D3487F">
        <w:rPr>
          <w:rFonts w:ascii="Times New Roman" w:hAnsi="Times New Roman" w:cs="Times New Roman"/>
          <w:i/>
          <w:iCs/>
        </w:rPr>
        <w:t xml:space="preserve"> c. Pays-Bas</w:t>
      </w:r>
      <w:bookmarkEnd w:id="3"/>
      <w:r w:rsidRPr="00D3487F">
        <w:rPr>
          <w:rFonts w:ascii="Times New Roman" w:hAnsi="Times New Roman" w:cs="Times New Roman"/>
        </w:rPr>
        <w:t xml:space="preserve"> [GC], n</w:t>
      </w:r>
      <w:r w:rsidRPr="00D3487F">
        <w:rPr>
          <w:rFonts w:ascii="Times New Roman" w:hAnsi="Times New Roman" w:cs="Times New Roman"/>
          <w:vertAlign w:val="superscript"/>
        </w:rPr>
        <w:t>o</w:t>
      </w:r>
      <w:r w:rsidRPr="00D3487F">
        <w:rPr>
          <w:rFonts w:ascii="Times New Roman" w:hAnsi="Times New Roman" w:cs="Times New Roman"/>
        </w:rPr>
        <w:t xml:space="preserve"> 46410/99, § 54, CEDH 2006-XII).</w:t>
      </w:r>
    </w:p>
    <w:bookmarkStart w:id="4" w:name="paragraph00066"/>
    <w:p w14:paraId="730847A0" w14:textId="77777777" w:rsidR="00D57F63" w:rsidRPr="00D3487F" w:rsidRDefault="00D57F63" w:rsidP="00D57F63">
      <w:pPr>
        <w:pStyle w:val="JuPara"/>
        <w:rPr>
          <w:rFonts w:ascii="Times New Roman" w:hAnsi="Times New Roman" w:cs="Times New Roman"/>
          <w:color w:val="000000"/>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70</w:t>
      </w:r>
      <w:r w:rsidRPr="00D3487F">
        <w:rPr>
          <w:rFonts w:ascii="Times New Roman" w:hAnsi="Times New Roman" w:cs="Times New Roman"/>
        </w:rPr>
        <w:fldChar w:fldCharType="end"/>
      </w:r>
      <w:bookmarkEnd w:id="4"/>
      <w:r w:rsidRPr="00D3487F">
        <w:rPr>
          <w:rFonts w:ascii="Times New Roman" w:hAnsi="Times New Roman" w:cs="Times New Roman"/>
        </w:rPr>
        <w:t xml:space="preserve">.  Elle </w:t>
      </w:r>
      <w:bookmarkStart w:id="5" w:name="lt_pId1078"/>
      <w:r w:rsidRPr="00D3487F">
        <w:rPr>
          <w:rFonts w:ascii="Times New Roman" w:hAnsi="Times New Roman" w:cs="Times New Roman"/>
        </w:rPr>
        <w:t xml:space="preserve">souligne l’importance des procédures d’évaluation de l’âge dans le contexte migratoire. Les législations interne, européenne et internationale protectrices des droits des enfants ne deviennent applicables qu’à partir du moment où </w:t>
      </w:r>
      <w:r w:rsidRPr="00D3487F">
        <w:rPr>
          <w:rFonts w:ascii="Times New Roman" w:hAnsi="Times New Roman" w:cs="Times New Roman"/>
          <w:color w:val="000000"/>
        </w:rPr>
        <w:t>ceux-ci sont reconnus comme tels. L’établissement de la minorité d’une personne est donc la première étape vers une reconnaissance de ses droits et la mise en place de tous les dispositifs de prise en charge nécessaires.</w:t>
      </w:r>
      <w:r w:rsidRPr="00D3487F">
        <w:rPr>
          <w:rFonts w:ascii="Times New Roman" w:hAnsi="Times New Roman" w:cs="Times New Roman"/>
        </w:rPr>
        <w:t xml:space="preserve"> En effet, s</w:t>
      </w:r>
      <w:r w:rsidRPr="00D3487F">
        <w:rPr>
          <w:rFonts w:ascii="Times New Roman" w:hAnsi="Times New Roman" w:cs="Times New Roman"/>
          <w:color w:val="000000"/>
        </w:rPr>
        <w:t xml:space="preserve">i un mineur est reconnu à tort comme étant adulte, des mesures portant </w:t>
      </w:r>
      <w:r w:rsidRPr="00D3487F">
        <w:rPr>
          <w:rFonts w:ascii="Times New Roman" w:hAnsi="Times New Roman" w:cs="Times New Roman"/>
          <w:color w:val="000000"/>
        </w:rPr>
        <w:lastRenderedPageBreak/>
        <w:t>gravement atteinte à ses droits peuvent être prises à son égard (</w:t>
      </w:r>
      <w:proofErr w:type="spellStart"/>
      <w:r w:rsidRPr="00D3487F">
        <w:rPr>
          <w:rFonts w:ascii="Times New Roman" w:hAnsi="Times New Roman" w:cs="Times New Roman"/>
          <w:i/>
          <w:iCs/>
          <w:color w:val="000000"/>
        </w:rPr>
        <w:t>Darboe</w:t>
      </w:r>
      <w:proofErr w:type="spellEnd"/>
      <w:r w:rsidRPr="00D3487F">
        <w:rPr>
          <w:rFonts w:ascii="Times New Roman" w:hAnsi="Times New Roman" w:cs="Times New Roman"/>
          <w:i/>
          <w:iCs/>
          <w:color w:val="000000"/>
        </w:rPr>
        <w:t xml:space="preserve"> et Camara, </w:t>
      </w:r>
      <w:r w:rsidRPr="00D3487F">
        <w:rPr>
          <w:rFonts w:ascii="Times New Roman" w:hAnsi="Times New Roman" w:cs="Times New Roman"/>
          <w:color w:val="000000"/>
        </w:rPr>
        <w:t>précité, § 125).</w:t>
      </w:r>
      <w:bookmarkEnd w:id="5"/>
    </w:p>
    <w:p w14:paraId="1FB0C1BC"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71</w:t>
      </w:r>
      <w:r w:rsidRPr="00D3487F">
        <w:rPr>
          <w:rFonts w:ascii="Times New Roman" w:hAnsi="Times New Roman" w:cs="Times New Roman"/>
          <w:noProof/>
        </w:rPr>
        <w:fldChar w:fldCharType="end"/>
      </w:r>
      <w:r w:rsidRPr="00D3487F">
        <w:rPr>
          <w:rFonts w:ascii="Times New Roman" w:hAnsi="Times New Roman" w:cs="Times New Roman"/>
        </w:rPr>
        <w:t>.  La Cour réitère à ce titre que le souci légitime des États de déjouer les tentatives de contournement des restrictions à l’immigration ne doit pas priver les mineurs étrangers, de surcroît non accompagnés, de la protection liée à leur état. Il y a donc la nécessité de concilier la protection des droits fondamentaux et les impératifs de la politique d’immigration des États (</w:t>
      </w:r>
      <w:bookmarkStart w:id="6" w:name="_cl12351"/>
      <w:proofErr w:type="spellStart"/>
      <w:r w:rsidRPr="00D3487F">
        <w:rPr>
          <w:rFonts w:ascii="Times New Roman" w:hAnsi="Times New Roman" w:cs="Times New Roman"/>
          <w:i/>
          <w:iCs/>
        </w:rPr>
        <w:t>Mubilanzila</w:t>
      </w:r>
      <w:proofErr w:type="spellEnd"/>
      <w:r w:rsidRPr="00D3487F">
        <w:rPr>
          <w:rFonts w:ascii="Times New Roman" w:hAnsi="Times New Roman" w:cs="Times New Roman"/>
          <w:i/>
          <w:iCs/>
        </w:rPr>
        <w:t xml:space="preserve"> </w:t>
      </w:r>
      <w:proofErr w:type="spellStart"/>
      <w:r w:rsidRPr="00D3487F">
        <w:rPr>
          <w:rFonts w:ascii="Times New Roman" w:hAnsi="Times New Roman" w:cs="Times New Roman"/>
          <w:i/>
          <w:iCs/>
        </w:rPr>
        <w:t>Mayeka</w:t>
      </w:r>
      <w:proofErr w:type="spellEnd"/>
      <w:r w:rsidRPr="00D3487F">
        <w:rPr>
          <w:rFonts w:ascii="Times New Roman" w:hAnsi="Times New Roman" w:cs="Times New Roman"/>
          <w:i/>
          <w:iCs/>
        </w:rPr>
        <w:t xml:space="preserve"> et </w:t>
      </w:r>
      <w:proofErr w:type="spellStart"/>
      <w:r w:rsidRPr="00D3487F">
        <w:rPr>
          <w:rFonts w:ascii="Times New Roman" w:hAnsi="Times New Roman" w:cs="Times New Roman"/>
          <w:i/>
          <w:iCs/>
        </w:rPr>
        <w:t>Kaniki</w:t>
      </w:r>
      <w:proofErr w:type="spellEnd"/>
      <w:r w:rsidRPr="00D3487F">
        <w:rPr>
          <w:rFonts w:ascii="Times New Roman" w:hAnsi="Times New Roman" w:cs="Times New Roman"/>
          <w:i/>
          <w:iCs/>
        </w:rPr>
        <w:t xml:space="preserve"> </w:t>
      </w:r>
      <w:proofErr w:type="spellStart"/>
      <w:r w:rsidRPr="00D3487F">
        <w:rPr>
          <w:rFonts w:ascii="Times New Roman" w:hAnsi="Times New Roman" w:cs="Times New Roman"/>
          <w:i/>
          <w:iCs/>
        </w:rPr>
        <w:t>Mitunga</w:t>
      </w:r>
      <w:proofErr w:type="spellEnd"/>
      <w:r w:rsidRPr="00D3487F">
        <w:rPr>
          <w:rFonts w:ascii="Times New Roman" w:hAnsi="Times New Roman" w:cs="Times New Roman"/>
          <w:i/>
          <w:iCs/>
        </w:rPr>
        <w:t xml:space="preserve"> c. Belgique</w:t>
      </w:r>
      <w:bookmarkEnd w:id="6"/>
      <w:r w:rsidRPr="00D3487F">
        <w:rPr>
          <w:rFonts w:ascii="Times New Roman" w:hAnsi="Times New Roman" w:cs="Times New Roman"/>
        </w:rPr>
        <w:t>, n</w:t>
      </w:r>
      <w:r w:rsidRPr="00D3487F">
        <w:rPr>
          <w:rFonts w:ascii="Times New Roman" w:hAnsi="Times New Roman" w:cs="Times New Roman"/>
          <w:vertAlign w:val="superscript"/>
        </w:rPr>
        <w:t>o</w:t>
      </w:r>
      <w:r w:rsidRPr="00D3487F">
        <w:rPr>
          <w:rFonts w:ascii="Times New Roman" w:hAnsi="Times New Roman" w:cs="Times New Roman"/>
        </w:rPr>
        <w:t xml:space="preserve"> 13178/03, § 81, CEDH 2006-XI).</w:t>
      </w:r>
    </w:p>
    <w:p w14:paraId="5B04FF78"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72</w:t>
      </w:r>
      <w:r w:rsidRPr="00D3487F">
        <w:rPr>
          <w:rFonts w:ascii="Times New Roman" w:hAnsi="Times New Roman" w:cs="Times New Roman"/>
          <w:noProof/>
        </w:rPr>
        <w:fldChar w:fldCharType="end"/>
      </w:r>
      <w:r w:rsidRPr="00D3487F">
        <w:rPr>
          <w:rFonts w:ascii="Times New Roman" w:hAnsi="Times New Roman" w:cs="Times New Roman"/>
        </w:rPr>
        <w:t>.  En même temps, la Cour admet que les autorités nationales se trouvent devant une tâche délicate lorsqu’elles doivent évaluer l’authenticité d’actes d’état civil en raison des difficultés résultant parfois du dysfonctionnement des services d’état civil de certains pays d’origine des migrants et des risques de fraude qui y sont associés. Lorsque les informations soumises donnent de bonnes raisons de douter de la véracité des déclarations du demandeur d’asile, celui-ci est tenu de fournir une explication satisfaisante pour les incohérences de son récit ou pour écarter d’éventuelles objections pertinentes quant à l’authenticité des documents par lui produits. Les autorités nationales sont en principe mieux placées pour établir les faits sur la base des preuves recueillies par elles ou produites devant elles et il faut donc leur réserver un certain pouvoir d’appréciation à cet égard. Il en est de même à l’égard de la décision de pratiquer un examen médical des enfants (</w:t>
      </w:r>
      <w:proofErr w:type="spellStart"/>
      <w:r w:rsidRPr="00D3487F">
        <w:rPr>
          <w:rFonts w:ascii="Times New Roman" w:hAnsi="Times New Roman" w:cs="Times New Roman"/>
          <w:i/>
          <w:iCs/>
        </w:rPr>
        <w:t>Mugenzi</w:t>
      </w:r>
      <w:proofErr w:type="spellEnd"/>
      <w:r w:rsidRPr="00D3487F">
        <w:rPr>
          <w:rFonts w:ascii="Times New Roman" w:hAnsi="Times New Roman" w:cs="Times New Roman"/>
          <w:i/>
          <w:iCs/>
        </w:rPr>
        <w:t xml:space="preserve"> c. France</w:t>
      </w:r>
      <w:r w:rsidRPr="00D3487F">
        <w:rPr>
          <w:rFonts w:ascii="Times New Roman" w:hAnsi="Times New Roman" w:cs="Times New Roman"/>
        </w:rPr>
        <w:t>, n</w:t>
      </w:r>
      <w:r w:rsidRPr="00D3487F">
        <w:rPr>
          <w:rFonts w:ascii="Times New Roman" w:hAnsi="Times New Roman" w:cs="Times New Roman"/>
          <w:vertAlign w:val="superscript"/>
        </w:rPr>
        <w:t>o</w:t>
      </w:r>
      <w:r w:rsidRPr="00D3487F">
        <w:rPr>
          <w:rFonts w:ascii="Times New Roman" w:hAnsi="Times New Roman" w:cs="Times New Roman"/>
        </w:rPr>
        <w:t xml:space="preserve"> 52701/09, §§ 47 et 51, 10 juillet 2014, avec d’autres références).</w:t>
      </w:r>
    </w:p>
    <w:bookmarkStart w:id="7" w:name="paragraph00069"/>
    <w:p w14:paraId="69C984F2" w14:textId="77777777" w:rsidR="00D57F63" w:rsidRPr="00D3487F" w:rsidRDefault="00D57F63" w:rsidP="00D57F63">
      <w:pPr>
        <w:pStyle w:val="JuPara"/>
        <w:rPr>
          <w:rFonts w:ascii="Times New Roman" w:hAnsi="Times New Roman" w:cs="Times New Roman"/>
          <w:color w:val="000000"/>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73</w:t>
      </w:r>
      <w:r w:rsidRPr="00D3487F">
        <w:rPr>
          <w:rFonts w:ascii="Times New Roman" w:hAnsi="Times New Roman" w:cs="Times New Roman"/>
        </w:rPr>
        <w:fldChar w:fldCharType="end"/>
      </w:r>
      <w:bookmarkEnd w:id="7"/>
      <w:r w:rsidRPr="00D3487F">
        <w:rPr>
          <w:rFonts w:ascii="Times New Roman" w:hAnsi="Times New Roman" w:cs="Times New Roman"/>
        </w:rPr>
        <w:t>.  La Cour rappelle</w:t>
      </w:r>
      <w:bookmarkStart w:id="8" w:name="lt_pId1180"/>
      <w:r w:rsidRPr="00D3487F">
        <w:rPr>
          <w:rFonts w:ascii="Times New Roman" w:hAnsi="Times New Roman" w:cs="Times New Roman"/>
          <w:color w:val="000000"/>
        </w:rPr>
        <w:t xml:space="preserve"> que si l’évaluation par les autorités nationales de l’âge d’une personne peut constituer une mesure nécessaire en cas de doute sur sa minorité, le principe de présomption de minorité implique que la procédure d’évaluation s’accompagne de garanties procédurales suffisantes</w:t>
      </w:r>
      <w:r w:rsidRPr="00D3487F">
        <w:rPr>
          <w:rFonts w:ascii="Times New Roman" w:hAnsi="Times New Roman" w:cs="Times New Roman"/>
          <w:i/>
          <w:iCs/>
          <w:color w:val="000000"/>
        </w:rPr>
        <w:t xml:space="preserve"> </w:t>
      </w:r>
      <w:r w:rsidRPr="00D3487F">
        <w:rPr>
          <w:rFonts w:ascii="Times New Roman" w:hAnsi="Times New Roman" w:cs="Times New Roman"/>
          <w:color w:val="000000"/>
        </w:rPr>
        <w:t>(</w:t>
      </w:r>
      <w:proofErr w:type="spellStart"/>
      <w:r w:rsidRPr="00D3487F">
        <w:rPr>
          <w:rFonts w:ascii="Times New Roman" w:hAnsi="Times New Roman" w:cs="Times New Roman"/>
          <w:i/>
          <w:iCs/>
          <w:color w:val="000000"/>
        </w:rPr>
        <w:t>Darboe</w:t>
      </w:r>
      <w:proofErr w:type="spellEnd"/>
      <w:r w:rsidRPr="00D3487F">
        <w:rPr>
          <w:rFonts w:ascii="Times New Roman" w:hAnsi="Times New Roman" w:cs="Times New Roman"/>
          <w:i/>
          <w:iCs/>
          <w:color w:val="000000"/>
        </w:rPr>
        <w:t xml:space="preserve"> et Camara, </w:t>
      </w:r>
      <w:r w:rsidRPr="00D3487F">
        <w:rPr>
          <w:rFonts w:ascii="Times New Roman" w:hAnsi="Times New Roman" w:cs="Times New Roman"/>
          <w:color w:val="000000"/>
        </w:rPr>
        <w:t>précité, §§ 153-154).</w:t>
      </w:r>
      <w:bookmarkEnd w:id="8"/>
    </w:p>
    <w:p w14:paraId="72FE1665" w14:textId="77777777" w:rsidR="00D57F63" w:rsidRPr="00D3487F" w:rsidRDefault="00D57F63" w:rsidP="00D57F63">
      <w:pPr>
        <w:pStyle w:val="JuHa0"/>
        <w:rPr>
          <w:rFonts w:ascii="Times New Roman" w:hAnsi="Times New Roman" w:cs="Times New Roman"/>
          <w:sz w:val="24"/>
          <w:szCs w:val="24"/>
        </w:rPr>
      </w:pPr>
      <w:r w:rsidRPr="00D3487F">
        <w:rPr>
          <w:rFonts w:ascii="Times New Roman" w:hAnsi="Times New Roman" w:cs="Times New Roman"/>
          <w:sz w:val="24"/>
          <w:szCs w:val="24"/>
        </w:rPr>
        <w:t>Application au cas d’espèce</w:t>
      </w:r>
    </w:p>
    <w:p w14:paraId="18AE22C5" w14:textId="77777777" w:rsidR="00D57F63" w:rsidRPr="00D3487F" w:rsidRDefault="00D57F63" w:rsidP="00D57F63">
      <w:pPr>
        <w:pStyle w:val="JuHi"/>
        <w:rPr>
          <w:rFonts w:ascii="Times New Roman" w:hAnsi="Times New Roman" w:cs="Times New Roman"/>
          <w:sz w:val="24"/>
          <w:szCs w:val="24"/>
        </w:rPr>
      </w:pPr>
      <w:r w:rsidRPr="00D3487F">
        <w:rPr>
          <w:rFonts w:ascii="Times New Roman" w:hAnsi="Times New Roman" w:cs="Times New Roman"/>
          <w:sz w:val="24"/>
          <w:szCs w:val="24"/>
        </w:rPr>
        <w:t>Sur l’existence d’une ingérence</w:t>
      </w:r>
    </w:p>
    <w:p w14:paraId="6B789FA1"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74</w:t>
      </w:r>
      <w:r w:rsidRPr="00D3487F">
        <w:rPr>
          <w:rFonts w:ascii="Times New Roman" w:hAnsi="Times New Roman" w:cs="Times New Roman"/>
          <w:noProof/>
        </w:rPr>
        <w:fldChar w:fldCharType="end"/>
      </w:r>
      <w:r w:rsidRPr="00D3487F">
        <w:rPr>
          <w:rFonts w:ascii="Times New Roman" w:hAnsi="Times New Roman" w:cs="Times New Roman"/>
        </w:rPr>
        <w:t>.  Le Gouvernement considère qu’il n’y a pas eu d’ingérence dans le droit au respect de la vie privée de la requérante au motif que celle-ci a valablement consenti au triple test osseux et que la décision sur sa majorité a été prise au terme d’un processus entouré de toutes les garanties nécessaires prévues par la législation.</w:t>
      </w:r>
    </w:p>
    <w:p w14:paraId="0D90C8F2"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75</w:t>
      </w:r>
      <w:r w:rsidRPr="00D3487F">
        <w:rPr>
          <w:rFonts w:ascii="Times New Roman" w:hAnsi="Times New Roman" w:cs="Times New Roman"/>
          <w:noProof/>
        </w:rPr>
        <w:fldChar w:fldCharType="end"/>
      </w:r>
      <w:r w:rsidRPr="00D3487F">
        <w:rPr>
          <w:rFonts w:ascii="Times New Roman" w:hAnsi="Times New Roman" w:cs="Times New Roman"/>
        </w:rPr>
        <w:t>.  La requérante conteste avoir disposé de toutes les facilités nécessaires lui permettant de donner son consentement libre et éclairé à la réalisation desdits tests, dont les résultats se sont révélés déterminants dans la décision entraînant la fin de sa prise en charge en tant que mineure étrangère non accompagnée.</w:t>
      </w:r>
    </w:p>
    <w:p w14:paraId="06799D4C"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76</w:t>
      </w:r>
      <w:r w:rsidRPr="00D3487F">
        <w:rPr>
          <w:rFonts w:ascii="Times New Roman" w:hAnsi="Times New Roman" w:cs="Times New Roman"/>
          <w:noProof/>
        </w:rPr>
        <w:fldChar w:fldCharType="end"/>
      </w:r>
      <w:r w:rsidRPr="00D3487F">
        <w:rPr>
          <w:rFonts w:ascii="Times New Roman" w:hAnsi="Times New Roman" w:cs="Times New Roman"/>
        </w:rPr>
        <w:t>.  La Cour relève que la question de savoir si la requérante a valablement consenti à la réalisation du triple test osseux est contestée entre les parties. Elle note en outre que les griefs de la requérante ne se limitent pas à la validité de son consentement à la réalisation de ce test mais porte sur l’ensemble de la procédure d’évaluation de l’âge qui a abouti à la décision de cessation de sa prise en charge en tant que mineure étrangère non accompagnée. La Cour observe que cette décision l’a privée de l’ensemble des droits découlant de ce statut et estime en conséquence qu’elle est constitutive d’une « ingérence » dans l’exercice du droit de la requérante au respect de sa vie privée, au sens de l’article 8 de la Convention.</w:t>
      </w:r>
    </w:p>
    <w:p w14:paraId="029414A0" w14:textId="77777777" w:rsidR="00D57F63" w:rsidRPr="00D3487F" w:rsidRDefault="00D57F63" w:rsidP="00D57F63">
      <w:pPr>
        <w:pStyle w:val="JuHi"/>
        <w:rPr>
          <w:rFonts w:ascii="Times New Roman" w:hAnsi="Times New Roman" w:cs="Times New Roman"/>
          <w:sz w:val="24"/>
          <w:szCs w:val="24"/>
        </w:rPr>
      </w:pPr>
      <w:r w:rsidRPr="00D3487F">
        <w:rPr>
          <w:rFonts w:ascii="Times New Roman" w:hAnsi="Times New Roman" w:cs="Times New Roman"/>
          <w:sz w:val="24"/>
          <w:szCs w:val="24"/>
        </w:rPr>
        <w:t>Sur la légalité de l’ingérence</w:t>
      </w:r>
    </w:p>
    <w:p w14:paraId="05E7F174" w14:textId="7C02D59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77</w:t>
      </w:r>
      <w:r w:rsidRPr="00D3487F">
        <w:rPr>
          <w:rFonts w:ascii="Times New Roman" w:hAnsi="Times New Roman" w:cs="Times New Roman"/>
          <w:noProof/>
        </w:rPr>
        <w:fldChar w:fldCharType="end"/>
      </w:r>
      <w:r w:rsidRPr="00D3487F">
        <w:rPr>
          <w:rFonts w:ascii="Times New Roman" w:hAnsi="Times New Roman" w:cs="Times New Roman"/>
        </w:rPr>
        <w:t xml:space="preserve">.  La Cour note qu’il n’est pas contesté par les parties que l’ingérence repose sur une base légale, à savoir le Chapitre 6 du Titre XIII « Tutelle des mineurs étrangers non accompagnés » de la loi-programme du 24 décembre 2002, et en particulier sur son article 7, qui prévoit qu’en cas de doutes concernant l’âge d’un étranger se déclarant mineur, il est procédé </w:t>
      </w:r>
      <w:r w:rsidRPr="00D3487F">
        <w:rPr>
          <w:rFonts w:ascii="Times New Roman" w:hAnsi="Times New Roman" w:cs="Times New Roman"/>
        </w:rPr>
        <w:lastRenderedPageBreak/>
        <w:t xml:space="preserve">« immédiatement » à un test médical, dont le résultat, s’il conclut à la majorité, entraîne de plein droit la fin de la prise en charge de la personne concernée par le service des tutelles (paragraphe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paragraph00031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31</w:t>
      </w:r>
      <w:r w:rsidRPr="00D3487F">
        <w:rPr>
          <w:rFonts w:ascii="Times New Roman" w:hAnsi="Times New Roman" w:cs="Times New Roman"/>
        </w:rPr>
        <w:fldChar w:fldCharType="end"/>
      </w:r>
      <w:r w:rsidRPr="00D3487F">
        <w:rPr>
          <w:rFonts w:ascii="Times New Roman" w:hAnsi="Times New Roman" w:cs="Times New Roman"/>
        </w:rPr>
        <w:t xml:space="preserve"> ci-dessus).</w:t>
      </w:r>
    </w:p>
    <w:p w14:paraId="2E26B2E1" w14:textId="77777777" w:rsidR="00D57F63" w:rsidRPr="00D3487F" w:rsidRDefault="00D57F63" w:rsidP="00D57F63">
      <w:pPr>
        <w:pStyle w:val="JuHi"/>
        <w:rPr>
          <w:rFonts w:ascii="Times New Roman" w:hAnsi="Times New Roman" w:cs="Times New Roman"/>
          <w:sz w:val="24"/>
          <w:szCs w:val="24"/>
        </w:rPr>
      </w:pPr>
      <w:r w:rsidRPr="00D3487F">
        <w:rPr>
          <w:rFonts w:ascii="Times New Roman" w:hAnsi="Times New Roman" w:cs="Times New Roman"/>
          <w:sz w:val="24"/>
          <w:szCs w:val="24"/>
        </w:rPr>
        <w:t>Sur l’existence d’un but légitime</w:t>
      </w:r>
    </w:p>
    <w:bookmarkStart w:id="9" w:name="paragraphe80"/>
    <w:p w14:paraId="1DA93401" w14:textId="77777777"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78</w:t>
      </w:r>
      <w:r w:rsidRPr="00D3487F">
        <w:rPr>
          <w:rFonts w:ascii="Times New Roman" w:hAnsi="Times New Roman" w:cs="Times New Roman"/>
          <w:lang w:bidi="en-US"/>
        </w:rPr>
        <w:fldChar w:fldCharType="end"/>
      </w:r>
      <w:bookmarkEnd w:id="9"/>
      <w:r w:rsidRPr="00D3487F">
        <w:rPr>
          <w:rFonts w:ascii="Times New Roman" w:hAnsi="Times New Roman" w:cs="Times New Roman"/>
          <w:lang w:bidi="en-US"/>
        </w:rPr>
        <w:t>.  Le Gouvernement soutient que l’ingérence en question poursuivait un but légitime, à savoir la nécessité de différencier les migrants mineurs des personnes majeures dans la même situation en vue de la protection spéciale des premières en leur assurant notamment un hébergement séparé des adultes.</w:t>
      </w:r>
    </w:p>
    <w:p w14:paraId="7F3CBF85"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79</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La Cour note que la mesure litigieuse a été prise dans le cadre du contrôle de l’entrée et du séjour des étrangers sur le territoire de l’État belge. Elle a déjà </w:t>
      </w:r>
      <w:r w:rsidRPr="00D3487F">
        <w:rPr>
          <w:rFonts w:ascii="Times New Roman" w:hAnsi="Times New Roman" w:cs="Times New Roman"/>
        </w:rPr>
        <w:t>reconnu l’intérêt légitime des États de déterminer l’âge d’un ressortissant étranger entrant sur leur territoire, compte tenu des conséquences que cet âge implique sur l’application du régime de protection spéciale des mineurs étrangers non accompagnés, une</w:t>
      </w:r>
      <w:r w:rsidRPr="00D3487F">
        <w:rPr>
          <w:rFonts w:ascii="Times New Roman" w:hAnsi="Times New Roman" w:cs="Times New Roman"/>
          <w:lang w:bidi="en-US"/>
        </w:rPr>
        <w:t xml:space="preserve"> catégorie des personnes les plus vulnérables de la société</w:t>
      </w:r>
      <w:r w:rsidRPr="00D3487F">
        <w:rPr>
          <w:rFonts w:ascii="Times New Roman" w:hAnsi="Times New Roman" w:cs="Times New Roman"/>
        </w:rPr>
        <w:t xml:space="preserve"> (paragraphe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paragraph00066 \h \* CharFormat  \* MERGEFORMAT </w:instrText>
      </w:r>
      <w:r w:rsidRPr="00D3487F">
        <w:rPr>
          <w:rFonts w:ascii="Times New Roman" w:hAnsi="Times New Roman" w:cs="Times New Roman"/>
        </w:rPr>
      </w:r>
      <w:r w:rsidRPr="00D3487F">
        <w:rPr>
          <w:rFonts w:ascii="Times New Roman" w:hAnsi="Times New Roman" w:cs="Times New Roman"/>
        </w:rPr>
        <w:fldChar w:fldCharType="separate"/>
      </w:r>
      <w:r w:rsidRPr="00D3487F">
        <w:rPr>
          <w:rFonts w:ascii="Times New Roman" w:hAnsi="Times New Roman" w:cs="Times New Roman"/>
        </w:rPr>
        <w:t>70</w:t>
      </w:r>
      <w:r w:rsidRPr="00D3487F">
        <w:rPr>
          <w:rFonts w:ascii="Times New Roman" w:hAnsi="Times New Roman" w:cs="Times New Roman"/>
        </w:rPr>
        <w:fldChar w:fldCharType="end"/>
      </w:r>
      <w:r w:rsidRPr="00D3487F">
        <w:rPr>
          <w:rFonts w:ascii="Times New Roman" w:hAnsi="Times New Roman" w:cs="Times New Roman"/>
        </w:rPr>
        <w:t xml:space="preserve"> ci-dessus).</w:t>
      </w:r>
    </w:p>
    <w:bookmarkStart w:id="10" w:name="paragraphe82"/>
    <w:p w14:paraId="588C5FDE" w14:textId="77777777"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80</w:t>
      </w:r>
      <w:r w:rsidRPr="00D3487F">
        <w:rPr>
          <w:rFonts w:ascii="Times New Roman" w:hAnsi="Times New Roman" w:cs="Times New Roman"/>
          <w:lang w:bidi="en-US"/>
        </w:rPr>
        <w:fldChar w:fldCharType="end"/>
      </w:r>
      <w:bookmarkEnd w:id="10"/>
      <w:r w:rsidRPr="00D3487F">
        <w:rPr>
          <w:rFonts w:ascii="Times New Roman" w:hAnsi="Times New Roman" w:cs="Times New Roman"/>
          <w:lang w:bidi="en-US"/>
        </w:rPr>
        <w:t>.  Elle accepte dès lors que l’ingérence en question relevait de l’application d’une réglementation, dont l’objectif est de garantir une protection particulière aux migrants mineurs et peut donc se rattacher à des objectifs de la défense de l’ordre et de la sûreté publique ainsi que de protection des droits et libertés d’autrui, constituant des buts légitimes, au regard du second paragraphe de l’article 8 de la Convention.</w:t>
      </w:r>
    </w:p>
    <w:p w14:paraId="1C46A456" w14:textId="77777777" w:rsidR="00D57F63" w:rsidRPr="00D3487F" w:rsidRDefault="00D57F63" w:rsidP="00D57F63">
      <w:pPr>
        <w:pStyle w:val="JuHi"/>
        <w:rPr>
          <w:rFonts w:ascii="Times New Roman" w:hAnsi="Times New Roman" w:cs="Times New Roman"/>
          <w:sz w:val="24"/>
          <w:szCs w:val="24"/>
        </w:rPr>
      </w:pPr>
      <w:r w:rsidRPr="00D3487F">
        <w:rPr>
          <w:rFonts w:ascii="Times New Roman" w:hAnsi="Times New Roman" w:cs="Times New Roman"/>
          <w:sz w:val="24"/>
          <w:szCs w:val="24"/>
        </w:rPr>
        <w:t>Sur la nécessité de l’ingérence</w:t>
      </w:r>
    </w:p>
    <w:bookmarkStart w:id="11" w:name="arreteroyal"/>
    <w:bookmarkEnd w:id="11"/>
    <w:p w14:paraId="5D1B452B"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81</w:t>
      </w:r>
      <w:r w:rsidRPr="00D3487F">
        <w:rPr>
          <w:rFonts w:ascii="Times New Roman" w:hAnsi="Times New Roman" w:cs="Times New Roman"/>
        </w:rPr>
        <w:fldChar w:fldCharType="end"/>
      </w:r>
      <w:r w:rsidRPr="00D3487F">
        <w:rPr>
          <w:rFonts w:ascii="Times New Roman" w:hAnsi="Times New Roman" w:cs="Times New Roman"/>
        </w:rPr>
        <w:t xml:space="preserve">.  En l’espèce, la Cour relève qu’à son arrivée en Belgique, la requérante a introduit une demande de protection internationale, en présentant une copie de son acte de naissance non légalisée justifiant de sa minorité. Elle a été placée, dans le respect de la présomption de minorité, dans un centre pour mineurs, où elle est restée pendant toute la procédure d’évaluation de l’âge. Ceci conduit d’emblée à distinguer sur ce point la présente affaire de l’affaire </w:t>
      </w:r>
      <w:proofErr w:type="spellStart"/>
      <w:r w:rsidRPr="00D3487F">
        <w:rPr>
          <w:rFonts w:ascii="Times New Roman" w:hAnsi="Times New Roman" w:cs="Times New Roman"/>
          <w:i/>
          <w:iCs/>
        </w:rPr>
        <w:t>Darboe</w:t>
      </w:r>
      <w:proofErr w:type="spellEnd"/>
      <w:r w:rsidRPr="00D3487F">
        <w:rPr>
          <w:rFonts w:ascii="Times New Roman" w:hAnsi="Times New Roman" w:cs="Times New Roman"/>
          <w:i/>
          <w:iCs/>
        </w:rPr>
        <w:t xml:space="preserve"> et Camara</w:t>
      </w:r>
      <w:r w:rsidRPr="00D3487F">
        <w:rPr>
          <w:rFonts w:ascii="Times New Roman" w:hAnsi="Times New Roman" w:cs="Times New Roman"/>
        </w:rPr>
        <w:t xml:space="preserve"> (précité, § 150)</w:t>
      </w:r>
      <w:r w:rsidRPr="00D3487F">
        <w:rPr>
          <w:rFonts w:ascii="Times New Roman" w:hAnsi="Times New Roman" w:cs="Times New Roman"/>
          <w:color w:val="000000"/>
        </w:rPr>
        <w:t xml:space="preserve"> où la Cour a conclu à une violation de l’article 8 de la Convention en raison du placement du requérant, s’étant présenté comme mineur à son arrivée en Italie et reconnu comme tel par la suite, dans un centre de détention pour adultes surpeuplé pendant plus de quatre mois à l’issue d’une procédure d’évaluation de l’âge exempte de garanties procédurales suffisantes.</w:t>
      </w:r>
    </w:p>
    <w:p w14:paraId="7A3958DC" w14:textId="13C8EC55"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82</w:t>
      </w:r>
      <w:r w:rsidRPr="00D3487F">
        <w:rPr>
          <w:rFonts w:ascii="Times New Roman" w:hAnsi="Times New Roman" w:cs="Times New Roman"/>
          <w:noProof/>
        </w:rPr>
        <w:fldChar w:fldCharType="end"/>
      </w:r>
      <w:r w:rsidRPr="00D3487F">
        <w:rPr>
          <w:rFonts w:ascii="Times New Roman" w:hAnsi="Times New Roman" w:cs="Times New Roman"/>
        </w:rPr>
        <w:t xml:space="preserve">.  La Cour relève ensuite qu’à la suite de l’introduction de sa demande de protection internationale, la requérante a été entendue par un agent de l’Office des étrangers. Lors de cet entretien, l’agent a émis des doutes sur la minorité de la requérante. Relevant notamment l’absence de documents d’identité originaux, il l’a immédiatement orientée vers la réalisation d’un test médical consistant en une radiographie de la main et du poignet, une radiographie de la clavicule ainsi qu’en un scanner des dents. Ce triple test, effectué à l’hôpital universitaire Saint Raphael de Louvain, a conclu que la requérante était âgée de 21,7 ans, avec un écart type de deux ans (paragraphe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paragraph00011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11</w:t>
      </w:r>
      <w:r w:rsidRPr="00D3487F">
        <w:rPr>
          <w:rFonts w:ascii="Times New Roman" w:hAnsi="Times New Roman" w:cs="Times New Roman"/>
        </w:rPr>
        <w:fldChar w:fldCharType="end"/>
      </w:r>
      <w:r w:rsidRPr="00D3487F">
        <w:rPr>
          <w:rFonts w:ascii="Times New Roman" w:hAnsi="Times New Roman" w:cs="Times New Roman"/>
        </w:rPr>
        <w:t xml:space="preserve"> ci-dessus).</w:t>
      </w:r>
    </w:p>
    <w:bookmarkStart w:id="12" w:name="paragraph00082"/>
    <w:p w14:paraId="0512F2C0" w14:textId="5AE68CFB"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83</w:t>
      </w:r>
      <w:r w:rsidRPr="00D3487F">
        <w:rPr>
          <w:rFonts w:ascii="Times New Roman" w:hAnsi="Times New Roman" w:cs="Times New Roman"/>
        </w:rPr>
        <w:fldChar w:fldCharType="end"/>
      </w:r>
      <w:bookmarkEnd w:id="12"/>
      <w:r w:rsidRPr="00D3487F">
        <w:rPr>
          <w:rFonts w:ascii="Times New Roman" w:hAnsi="Times New Roman" w:cs="Times New Roman"/>
        </w:rPr>
        <w:t xml:space="preserve">.  Ce n’est qu’après la réalisation de ce test que la requérante a été auditionnée par un agent du service des tutelles auquel elle a notamment présenté des copies d’autres documents d’identité, complétés quelques jours plus tard par l’envoi des originaux (paragraphes </w:t>
      </w:r>
      <w:r w:rsidRPr="00D3487F">
        <w:rPr>
          <w:rFonts w:ascii="Times New Roman" w:hAnsi="Times New Roman" w:cs="Times New Roman"/>
        </w:rPr>
        <w:fldChar w:fldCharType="begin"/>
      </w:r>
      <w:r w:rsidRPr="00D3487F">
        <w:rPr>
          <w:rFonts w:ascii="Times New Roman" w:hAnsi="Times New Roman" w:cs="Times New Roman"/>
        </w:rPr>
        <w:instrText xml:space="preserve"> REF paragraph00013 \h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noProof/>
        </w:rPr>
        <w:t>13</w:t>
      </w:r>
      <w:r w:rsidRPr="00D3487F">
        <w:rPr>
          <w:rFonts w:ascii="Times New Roman" w:hAnsi="Times New Roman" w:cs="Times New Roman"/>
        </w:rPr>
        <w:fldChar w:fldCharType="end"/>
      </w:r>
      <w:r w:rsidRPr="00D3487F">
        <w:rPr>
          <w:rFonts w:ascii="Times New Roman" w:hAnsi="Times New Roman" w:cs="Times New Roman"/>
        </w:rPr>
        <w:t xml:space="preserve"> et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paragraph00015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15</w:t>
      </w:r>
      <w:r w:rsidRPr="00D3487F">
        <w:rPr>
          <w:rFonts w:ascii="Times New Roman" w:hAnsi="Times New Roman" w:cs="Times New Roman"/>
        </w:rPr>
        <w:fldChar w:fldCharType="end"/>
      </w:r>
      <w:r w:rsidRPr="00D3487F">
        <w:rPr>
          <w:rFonts w:ascii="Times New Roman" w:hAnsi="Times New Roman" w:cs="Times New Roman"/>
        </w:rPr>
        <w:t xml:space="preserve"> ci</w:t>
      </w:r>
      <w:r w:rsidRPr="00D3487F">
        <w:rPr>
          <w:rFonts w:ascii="Times New Roman" w:hAnsi="Times New Roman" w:cs="Times New Roman"/>
        </w:rPr>
        <w:noBreakHyphen/>
        <w:t xml:space="preserve">dessus) et dont l’authenticité a été ultérieurement mise en doute par les autorités belges (paragraphe </w:t>
      </w:r>
      <w:r w:rsidRPr="00D3487F">
        <w:rPr>
          <w:rFonts w:ascii="Times New Roman" w:hAnsi="Times New Roman" w:cs="Times New Roman"/>
        </w:rPr>
        <w:fldChar w:fldCharType="begin"/>
      </w:r>
      <w:r w:rsidRPr="00D3487F">
        <w:rPr>
          <w:rFonts w:ascii="Times New Roman" w:hAnsi="Times New Roman" w:cs="Times New Roman"/>
        </w:rPr>
        <w:instrText xml:space="preserve"> REF paragraph00016 \h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noProof/>
          <w:lang w:bidi="en-US"/>
        </w:rPr>
        <w:t>16</w:t>
      </w:r>
      <w:r w:rsidRPr="00D3487F">
        <w:rPr>
          <w:rFonts w:ascii="Times New Roman" w:hAnsi="Times New Roman" w:cs="Times New Roman"/>
        </w:rPr>
        <w:fldChar w:fldCharType="end"/>
      </w:r>
      <w:r w:rsidRPr="00D3487F">
        <w:rPr>
          <w:rFonts w:ascii="Times New Roman" w:hAnsi="Times New Roman" w:cs="Times New Roman"/>
        </w:rPr>
        <w:t xml:space="preserve"> ci-dessus).</w:t>
      </w:r>
    </w:p>
    <w:p w14:paraId="42F768EC" w14:textId="59BB5D23"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84</w:t>
      </w:r>
      <w:r w:rsidRPr="00D3487F">
        <w:rPr>
          <w:rFonts w:ascii="Times New Roman" w:hAnsi="Times New Roman" w:cs="Times New Roman"/>
          <w:noProof/>
        </w:rPr>
        <w:fldChar w:fldCharType="end"/>
      </w:r>
      <w:r w:rsidRPr="00D3487F">
        <w:rPr>
          <w:rFonts w:ascii="Times New Roman" w:hAnsi="Times New Roman" w:cs="Times New Roman"/>
        </w:rPr>
        <w:t xml:space="preserve">.  Au terme de ces évaluations, le service des tutelles a rendu, le 11 septembre 2019, une décision de cessation de prise en charge de la requérante en tant que mineure étrangère non accompagnée (paragraphe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paragraph00017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17</w:t>
      </w:r>
      <w:r w:rsidRPr="00D3487F">
        <w:rPr>
          <w:rFonts w:ascii="Times New Roman" w:hAnsi="Times New Roman" w:cs="Times New Roman"/>
        </w:rPr>
        <w:fldChar w:fldCharType="end"/>
      </w:r>
      <w:r w:rsidRPr="00D3487F">
        <w:rPr>
          <w:rFonts w:ascii="Times New Roman" w:hAnsi="Times New Roman" w:cs="Times New Roman"/>
        </w:rPr>
        <w:t xml:space="preserve"> ci-dessus). Cette décision se fonde sur les résultats du test médical </w:t>
      </w:r>
      <w:r w:rsidRPr="00D3487F">
        <w:rPr>
          <w:rFonts w:ascii="Times New Roman" w:hAnsi="Times New Roman" w:cs="Times New Roman"/>
        </w:rPr>
        <w:lastRenderedPageBreak/>
        <w:t>ainsi que sur l’absence de documents légalisés au sens de l’article 30 du code de droit international privé. Le service des tutelles a considéré que la divergence de plus de deux ans entre la limite inférieure de l’examen médical et les documents fournis dépassait la marge raisonnable et que dans ces conditions, il y avait lieu de faire prévaloir le résultat du test d’âge sur la documentation remise par l’intéressée (</w:t>
      </w:r>
      <w:proofErr w:type="spellStart"/>
      <w:r w:rsidRPr="00D3487F">
        <w:rPr>
          <w:rFonts w:ascii="Times New Roman" w:hAnsi="Times New Roman" w:cs="Times New Roman"/>
          <w:i/>
          <w:iCs/>
        </w:rPr>
        <w:t>ibid</w:t>
      </w:r>
      <w:proofErr w:type="spellEnd"/>
      <w:r w:rsidRPr="00D3487F">
        <w:rPr>
          <w:rFonts w:ascii="Times New Roman" w:hAnsi="Times New Roman" w:cs="Times New Roman"/>
        </w:rPr>
        <w:t>).</w:t>
      </w:r>
    </w:p>
    <w:p w14:paraId="2880EFEA" w14:textId="62E2D61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85</w:t>
      </w:r>
      <w:r w:rsidRPr="00D3487F">
        <w:rPr>
          <w:rFonts w:ascii="Times New Roman" w:hAnsi="Times New Roman" w:cs="Times New Roman"/>
          <w:noProof/>
        </w:rPr>
        <w:fldChar w:fldCharType="end"/>
      </w:r>
      <w:r w:rsidRPr="00D3487F">
        <w:rPr>
          <w:rFonts w:ascii="Times New Roman" w:hAnsi="Times New Roman" w:cs="Times New Roman"/>
        </w:rPr>
        <w:t>.  Au vu de ce qui précède, il n’appartient pas à la Cour, en tant que juridiction internationale, de se prononcer sur la question de savoir si la requérante était mineure à la date de son arrivée en Belgique (</w:t>
      </w:r>
      <w:proofErr w:type="spellStart"/>
      <w:r w:rsidRPr="00D3487F">
        <w:rPr>
          <w:rFonts w:ascii="Times New Roman" w:hAnsi="Times New Roman" w:cs="Times New Roman"/>
          <w:i/>
          <w:iCs/>
        </w:rPr>
        <w:t>Darboe</w:t>
      </w:r>
      <w:proofErr w:type="spellEnd"/>
      <w:r w:rsidRPr="00D3487F">
        <w:rPr>
          <w:rFonts w:ascii="Times New Roman" w:hAnsi="Times New Roman" w:cs="Times New Roman"/>
          <w:i/>
          <w:iCs/>
        </w:rPr>
        <w:t xml:space="preserve"> et Camara</w:t>
      </w:r>
      <w:r w:rsidRPr="00D3487F">
        <w:rPr>
          <w:rFonts w:ascii="Times New Roman" w:hAnsi="Times New Roman" w:cs="Times New Roman"/>
        </w:rPr>
        <w:t xml:space="preserve">, précité, § 131). La Cour prend note à cet égard d’autres éléments invoqués par le Gouvernement qui sont apparus postérieurement à l’adoption de la décision de cessation de prise en charge du 11 septembre 2019 et qui tendent à conforter les doutes préalablement émis par les autorités. Elle relève ainsi que la requérante avait déjà été enregistrée antérieurement comme majeure auprès des instances d’asile en Allemagne (paragraphe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paragraph00019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19</w:t>
      </w:r>
      <w:r w:rsidRPr="00D3487F">
        <w:rPr>
          <w:rFonts w:ascii="Times New Roman" w:hAnsi="Times New Roman" w:cs="Times New Roman"/>
        </w:rPr>
        <w:fldChar w:fldCharType="end"/>
      </w:r>
      <w:r w:rsidRPr="00D3487F">
        <w:rPr>
          <w:rFonts w:ascii="Times New Roman" w:hAnsi="Times New Roman" w:cs="Times New Roman"/>
        </w:rPr>
        <w:t xml:space="preserve"> ci-dessus). Elle prend également note des doutes émis le 23 septembre 2019 par le SPF Affaires étrangères sur l’authenticité des documents produits par la requérante (paragraphes </w:t>
      </w:r>
      <w:r w:rsidRPr="00D3487F">
        <w:rPr>
          <w:rFonts w:ascii="Times New Roman" w:hAnsi="Times New Roman" w:cs="Times New Roman"/>
        </w:rPr>
        <w:fldChar w:fldCharType="begin"/>
      </w:r>
      <w:r w:rsidRPr="00D3487F">
        <w:rPr>
          <w:rFonts w:ascii="Times New Roman" w:hAnsi="Times New Roman" w:cs="Times New Roman"/>
        </w:rPr>
        <w:instrText xml:space="preserve">REF paragraph00016 \h \* CharFormat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rPr>
        <w:t>16</w:t>
      </w:r>
      <w:r w:rsidRPr="00D3487F">
        <w:rPr>
          <w:rFonts w:ascii="Times New Roman" w:hAnsi="Times New Roman" w:cs="Times New Roman"/>
        </w:rPr>
        <w:fldChar w:fldCharType="end"/>
      </w:r>
      <w:r w:rsidRPr="00D3487F">
        <w:rPr>
          <w:rFonts w:ascii="Times New Roman" w:hAnsi="Times New Roman" w:cs="Times New Roman"/>
        </w:rPr>
        <w:t xml:space="preserve"> et </w:t>
      </w:r>
      <w:r w:rsidRPr="00D3487F">
        <w:rPr>
          <w:rFonts w:ascii="Times New Roman" w:hAnsi="Times New Roman" w:cs="Times New Roman"/>
        </w:rPr>
        <w:fldChar w:fldCharType="begin"/>
      </w:r>
      <w:r w:rsidRPr="00D3487F">
        <w:rPr>
          <w:rFonts w:ascii="Times New Roman" w:hAnsi="Times New Roman" w:cs="Times New Roman"/>
        </w:rPr>
        <w:instrText xml:space="preserve"> REF paragraph00082 \h </w:instrText>
      </w:r>
      <w:r w:rsidRPr="00D3487F">
        <w:rPr>
          <w:rFonts w:ascii="Times New Roman" w:hAnsi="Times New Roman" w:cs="Times New Roman"/>
        </w:rPr>
      </w:r>
      <w:r w:rsidR="00D3487F" w:rsidRPr="00D3487F">
        <w:rPr>
          <w:rFonts w:ascii="Times New Roman" w:hAnsi="Times New Roman" w:cs="Times New Roman"/>
        </w:rPr>
        <w:instrText xml:space="preserve"> \* MERGEFORMAT </w:instrText>
      </w:r>
      <w:r w:rsidRPr="00D3487F">
        <w:rPr>
          <w:rFonts w:ascii="Times New Roman" w:hAnsi="Times New Roman" w:cs="Times New Roman"/>
        </w:rPr>
        <w:fldChar w:fldCharType="separate"/>
      </w:r>
      <w:r w:rsidRPr="00D3487F">
        <w:rPr>
          <w:rFonts w:ascii="Times New Roman" w:hAnsi="Times New Roman" w:cs="Times New Roman"/>
          <w:noProof/>
        </w:rPr>
        <w:t>83</w:t>
      </w:r>
      <w:r w:rsidRPr="00D3487F">
        <w:rPr>
          <w:rFonts w:ascii="Times New Roman" w:hAnsi="Times New Roman" w:cs="Times New Roman"/>
        </w:rPr>
        <w:fldChar w:fldCharType="end"/>
      </w:r>
      <w:r w:rsidRPr="00D3487F">
        <w:rPr>
          <w:rFonts w:ascii="Times New Roman" w:hAnsi="Times New Roman" w:cs="Times New Roman"/>
        </w:rPr>
        <w:t xml:space="preserve"> ci-dessus).</w:t>
      </w:r>
    </w:p>
    <w:p w14:paraId="7580B71A"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86</w:t>
      </w:r>
      <w:r w:rsidRPr="00D3487F">
        <w:rPr>
          <w:rFonts w:ascii="Times New Roman" w:hAnsi="Times New Roman" w:cs="Times New Roman"/>
          <w:noProof/>
        </w:rPr>
        <w:fldChar w:fldCharType="end"/>
      </w:r>
      <w:r w:rsidRPr="00D3487F">
        <w:rPr>
          <w:rFonts w:ascii="Times New Roman" w:hAnsi="Times New Roman" w:cs="Times New Roman"/>
        </w:rPr>
        <w:t>.  En l’occurrence, la Cour examinera conformément à l’article 19 de la Convention si les autorités nationales ont respecté les garanties de l’article 8 de la Convention à l’égard de la requérante, tenant compte de la marge d’appréciation dont elles disposent dans les processus d’évaluation de l’âge des personnes migrantes qui se revendiquent mineures.</w:t>
      </w:r>
    </w:p>
    <w:p w14:paraId="65FD4B24" w14:textId="13310785"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87</w:t>
      </w:r>
      <w:r w:rsidRPr="00D3487F">
        <w:rPr>
          <w:rFonts w:ascii="Times New Roman" w:hAnsi="Times New Roman" w:cs="Times New Roman"/>
          <w:noProof/>
        </w:rPr>
        <w:fldChar w:fldCharType="end"/>
      </w:r>
      <w:r w:rsidRPr="00D3487F">
        <w:rPr>
          <w:rFonts w:ascii="Times New Roman" w:hAnsi="Times New Roman" w:cs="Times New Roman"/>
        </w:rPr>
        <w:t>.  À cette fin, la Cour note en premier lieu que l</w:t>
      </w:r>
      <w:r w:rsidRPr="00D3487F">
        <w:rPr>
          <w:rFonts w:ascii="Times New Roman" w:hAnsi="Times New Roman" w:cs="Times New Roman"/>
          <w:lang w:bidi="en-US"/>
        </w:rPr>
        <w:t xml:space="preserve">es parties sont en désaccord sur le point de savoir si la requérante a été dûment informée de ses droits dans le cadre de la réalisation du test osseux. Elles s’accordent toutefois sur le fait que le test médical en question ne peut être réalisé sans le consentement de la personne concernée et que ce consentement doit être donné expressément (voir également en ce sens les avis du Conseil national de l’Ordre des médecins, paragraphes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paragraph00034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35</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et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paragraph00035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36</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 Le Gouvernement explique qu’afin de satisfaire à cette exigence, la personne se voit remettre un fascicule spécial expliquant en termes simples et dans une langue qu’elle comprend le déroulement des tests médicaux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paragraph00008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8</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 La remise du fascicule à l’intéressé et l’absence de son opposition à la pratique de ces tests sont actées dans le formulaire pré-imprimé par l’agent en charge de l’entretien lors duquel le doute sur la minorité de la personne est émis (paragraphe </w:t>
      </w:r>
      <w:bookmarkStart w:id="13" w:name="entretieninitial"/>
      <w:bookmarkEnd w:id="13"/>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paragraph00007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7</w:t>
      </w:r>
      <w:r w:rsidRPr="00D3487F">
        <w:rPr>
          <w:rFonts w:ascii="Times New Roman" w:hAnsi="Times New Roman" w:cs="Times New Roman"/>
          <w:lang w:bidi="en-US"/>
        </w:rPr>
        <w:fldChar w:fldCharType="end"/>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entretieninitial \h  \* MERGEFORMAT </w:instrText>
      </w:r>
      <w:r w:rsidRPr="00D3487F">
        <w:rPr>
          <w:rFonts w:ascii="Times New Roman" w:hAnsi="Times New Roman" w:cs="Times New Roman"/>
          <w:lang w:bidi="en-US"/>
        </w:rPr>
      </w:r>
      <w:r w:rsidRPr="00D3487F">
        <w:rPr>
          <w:rFonts w:ascii="Times New Roman" w:hAnsi="Times New Roman" w:cs="Times New Roman"/>
          <w:lang w:bidi="en-US"/>
        </w:rPr>
        <w:fldChar w:fldCharType="separate"/>
      </w:r>
      <w:r w:rsidRPr="00D3487F">
        <w:rPr>
          <w:rFonts w:ascii="Times New Roman" w:hAnsi="Times New Roman" w:cs="Times New Roman"/>
          <w:lang w:bidi="en-US"/>
        </w:rPr>
        <w:fldChar w:fldCharType="end"/>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entretieninitial \h  \* MERGEFORMAT </w:instrText>
      </w:r>
      <w:r w:rsidRPr="00D3487F">
        <w:rPr>
          <w:rFonts w:ascii="Times New Roman" w:hAnsi="Times New Roman" w:cs="Times New Roman"/>
          <w:lang w:bidi="en-US"/>
        </w:rPr>
      </w:r>
      <w:r w:rsidRPr="00D3487F">
        <w:rPr>
          <w:rFonts w:ascii="Times New Roman" w:hAnsi="Times New Roman" w:cs="Times New Roman"/>
          <w:lang w:bidi="en-US"/>
        </w:rPr>
        <w:fldChar w:fldCharType="separate"/>
      </w:r>
      <w:r w:rsidRPr="00D3487F">
        <w:rPr>
          <w:rFonts w:ascii="Times New Roman" w:hAnsi="Times New Roman" w:cs="Times New Roman"/>
          <w:lang w:bidi="en-US"/>
        </w:rPr>
        <w:fldChar w:fldCharType="end"/>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entretieninitial \h  \* MERGEFORMAT </w:instrText>
      </w:r>
      <w:r w:rsidRPr="00D3487F">
        <w:rPr>
          <w:rFonts w:ascii="Times New Roman" w:hAnsi="Times New Roman" w:cs="Times New Roman"/>
          <w:lang w:bidi="en-US"/>
        </w:rPr>
      </w:r>
      <w:r w:rsidRPr="00D3487F">
        <w:rPr>
          <w:rFonts w:ascii="Times New Roman" w:hAnsi="Times New Roman" w:cs="Times New Roman"/>
          <w:lang w:bidi="en-US"/>
        </w:rPr>
        <w:fldChar w:fldCharType="separate"/>
      </w:r>
      <w:r w:rsidRPr="00D3487F">
        <w:rPr>
          <w:rFonts w:ascii="Times New Roman" w:hAnsi="Times New Roman" w:cs="Times New Roman"/>
          <w:lang w:bidi="en-US"/>
        </w:rPr>
        <w:fldChar w:fldCharType="end"/>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entretieninitial \h  \* MERGEFORMAT </w:instrText>
      </w:r>
      <w:r w:rsidRPr="00D3487F">
        <w:rPr>
          <w:rFonts w:ascii="Times New Roman" w:hAnsi="Times New Roman" w:cs="Times New Roman"/>
          <w:lang w:bidi="en-US"/>
        </w:rPr>
      </w:r>
      <w:r w:rsidRPr="00D3487F">
        <w:rPr>
          <w:rFonts w:ascii="Times New Roman" w:hAnsi="Times New Roman" w:cs="Times New Roman"/>
          <w:lang w:bidi="en-US"/>
        </w:rPr>
        <w:fldChar w:fldCharType="separate"/>
      </w:r>
      <w:r w:rsidRPr="00D3487F">
        <w:rPr>
          <w:rFonts w:ascii="Times New Roman" w:hAnsi="Times New Roman" w:cs="Times New Roman"/>
          <w:lang w:bidi="en-US"/>
        </w:rPr>
        <w:fldChar w:fldCharType="end"/>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entretieninitial \h  \* MERGEFORMAT </w:instrText>
      </w:r>
      <w:r w:rsidRPr="00D3487F">
        <w:rPr>
          <w:rFonts w:ascii="Times New Roman" w:hAnsi="Times New Roman" w:cs="Times New Roman"/>
          <w:lang w:bidi="en-US"/>
        </w:rPr>
      </w:r>
      <w:r w:rsidRPr="00D3487F">
        <w:rPr>
          <w:rFonts w:ascii="Times New Roman" w:hAnsi="Times New Roman" w:cs="Times New Roman"/>
          <w:lang w:bidi="en-US"/>
        </w:rPr>
        <w:fldChar w:fldCharType="separate"/>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w:t>
      </w:r>
      <w:r w:rsidRPr="00D3487F">
        <w:rPr>
          <w:rFonts w:ascii="Times New Roman" w:hAnsi="Times New Roman" w:cs="Times New Roman"/>
          <w:lang w:bidi="en-US"/>
        </w:rPr>
        <w:noBreakHyphen/>
        <w:t>dessus). Aucune signature de la personne concernée n’est cependant requise pour attester de la remise dudit fascicule ni sur le formulaire pré-imprimé pour attester de l’exactitude des réponses retranscrites.</w:t>
      </w:r>
    </w:p>
    <w:p w14:paraId="41389718" w14:textId="77777777"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88</w:t>
      </w:r>
      <w:r w:rsidRPr="00D3487F">
        <w:rPr>
          <w:rFonts w:ascii="Times New Roman" w:hAnsi="Times New Roman" w:cs="Times New Roman"/>
          <w:lang w:bidi="en-US"/>
        </w:rPr>
        <w:fldChar w:fldCharType="end"/>
      </w:r>
      <w:r w:rsidRPr="00D3487F">
        <w:rPr>
          <w:rFonts w:ascii="Times New Roman" w:hAnsi="Times New Roman" w:cs="Times New Roman"/>
          <w:lang w:bidi="en-US"/>
        </w:rPr>
        <w:t>.  Aux yeux de la Cour, la communication de ces informations est d’autant plus importante lorsque, comme en l’espèce, la personne concernée, toujours présumée mineure non accompagnée et demanderesse de protection internationale, n’est assistée ni d’un représentant ni d’un conseil lors de la phase d’évaluation de l’âge.</w:t>
      </w:r>
    </w:p>
    <w:p w14:paraId="33094697" w14:textId="4C8F22A8"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89</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La Cour n’estime cependant pas nécessaire de trancher la question de savoir si la requérante a effectivement reçu les informations concernant le triple test osseux puisque, même à supposer que le fascicule en question lui eût effectivement été remis, elle ne peut que constater que celui-ci ne mentionne pas la nécessité de son consentement, le document n’indiquant que la possibilité d’« exprimer [son] avis sur le sujet » ainsi que la possibilité, en cas de désaccord, de contester la décision finale devant le Conseil d’État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paragraph00008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8</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 La décision de cessation de prise en charge de la requérante en tant que mineure étrangère non accompagnée ne mentionne pas davantage l’existence du consentement de la requérante et se limite à indiquer que celle-ci a été informée du déroulement du test médical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paragraph00017 \h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17</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w:t>
      </w:r>
      <w:r w:rsidRPr="00D3487F">
        <w:rPr>
          <w:rFonts w:ascii="Times New Roman" w:hAnsi="Times New Roman" w:cs="Times New Roman"/>
          <w:lang w:bidi="en-US"/>
        </w:rPr>
        <w:noBreakHyphen/>
        <w:t>dessus).</w:t>
      </w:r>
    </w:p>
    <w:p w14:paraId="05E5E4A7" w14:textId="2A316405"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90</w:t>
      </w:r>
      <w:r w:rsidRPr="00D3487F">
        <w:rPr>
          <w:rFonts w:ascii="Times New Roman" w:hAnsi="Times New Roman" w:cs="Times New Roman"/>
          <w:lang w:bidi="en-US"/>
        </w:rPr>
        <w:fldChar w:fldCharType="end"/>
      </w:r>
      <w:r w:rsidRPr="00D3487F">
        <w:rPr>
          <w:rFonts w:ascii="Times New Roman" w:hAnsi="Times New Roman" w:cs="Times New Roman"/>
          <w:lang w:bidi="en-US"/>
        </w:rPr>
        <w:t>.  La Cour réitère</w:t>
      </w:r>
      <w:r w:rsidRPr="00D3487F">
        <w:rPr>
          <w:rFonts w:ascii="Times New Roman" w:hAnsi="Times New Roman" w:cs="Times New Roman"/>
        </w:rPr>
        <w:t xml:space="preserve"> à cet égard l’importance du consentement libre et éclairé des patients à la réalisation d’un acte médical et rappelle que l’absence de ce consentement peut s’analyser en une atteinte à leur intégrité physique mettant en jeu les droits protégés par l’article 8 de la Convention (</w:t>
      </w:r>
      <w:proofErr w:type="spellStart"/>
      <w:r w:rsidRPr="00D3487F">
        <w:rPr>
          <w:rFonts w:ascii="Times New Roman" w:hAnsi="Times New Roman" w:cs="Times New Roman"/>
          <w:i/>
          <w:iCs/>
        </w:rPr>
        <w:t>Pindo</w:t>
      </w:r>
      <w:proofErr w:type="spellEnd"/>
      <w:r w:rsidRPr="00D3487F">
        <w:rPr>
          <w:rFonts w:ascii="Times New Roman" w:hAnsi="Times New Roman" w:cs="Times New Roman"/>
          <w:i/>
          <w:iCs/>
        </w:rPr>
        <w:t> Mulla</w:t>
      </w:r>
      <w:r w:rsidRPr="00D3487F">
        <w:rPr>
          <w:rFonts w:ascii="Times New Roman" w:hAnsi="Times New Roman" w:cs="Times New Roman"/>
        </w:rPr>
        <w:t>, précité, §§ 138-139)</w:t>
      </w:r>
      <w:r w:rsidRPr="00D3487F">
        <w:rPr>
          <w:rFonts w:ascii="Times New Roman" w:hAnsi="Times New Roman" w:cs="Times New Roman"/>
          <w:lang w:bidi="en-US"/>
        </w:rPr>
        <w:t xml:space="preserve">. La Cour ne perd pas de vue qu’il s’agit en l’occurrence d’un examen médical pratiqué à des fins non médicales. Elle estime cependant que </w:t>
      </w:r>
      <w:r w:rsidRPr="00D3487F">
        <w:rPr>
          <w:rFonts w:ascii="Times New Roman" w:hAnsi="Times New Roman" w:cs="Times New Roman"/>
          <w:lang w:bidi="en-US"/>
        </w:rPr>
        <w:lastRenderedPageBreak/>
        <w:t>cette circonstance n’a guère d’incidence sur l’application des principes dégagés par sa jurisprudence dans la mesure où est également en jeu le principe de l’autonomie personnelle qui est au cœur de l’article 8 de la Convention (</w:t>
      </w:r>
      <w:r w:rsidRPr="00D3487F">
        <w:rPr>
          <w:rFonts w:ascii="Times New Roman" w:hAnsi="Times New Roman" w:cs="Times New Roman"/>
          <w:i/>
          <w:iCs/>
          <w:lang w:bidi="en-US"/>
        </w:rPr>
        <w:t>idem</w:t>
      </w:r>
      <w:r w:rsidRPr="00D3487F">
        <w:rPr>
          <w:rFonts w:ascii="Times New Roman" w:hAnsi="Times New Roman" w:cs="Times New Roman"/>
          <w:lang w:bidi="en-US"/>
        </w:rPr>
        <w:t xml:space="preserve">, § 137). À ce titre, elle relève le caractère invasif des tests médicaux pratiqués en vue de l’évaluation de l’âge consistant, en l’espèce, en une triple radiographie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paragraph00011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11</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w:t>
      </w:r>
    </w:p>
    <w:p w14:paraId="5F818D51" w14:textId="240C9E60"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91</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En deuxième lieu, la Cour relève qu’il a été procédé immédiatement aux tests osseux à la suite des doutes émis sur la minorité de la requérante par un agent de l’Office des étrangers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paragraph00007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7</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 Le droit belge prévoit en effet expressément que ces tests sont effectués « immédiatement » en cas de doute concernant l’âge de l’intéressé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REF paragraph00031 \h \* CharFormat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lang w:bidi="en-US"/>
        </w:rPr>
        <w:t>31</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w:t>
      </w:r>
    </w:p>
    <w:p w14:paraId="0817548A" w14:textId="1324807A" w:rsidR="00D57F63" w:rsidRPr="00D3487F" w:rsidRDefault="00D57F63" w:rsidP="00D57F63">
      <w:pPr>
        <w:pStyle w:val="JuPara"/>
        <w:rPr>
          <w:rFonts w:ascii="Times New Roman" w:hAnsi="Times New Roman" w:cs="Times New Roman"/>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92</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Or, la Cour souligne que, compte tenu de leur caractère invasif en l’espèce, il convient de ne pratiquer les examens médicaux qu’en dernier ressort si les autres moyens permettant de lever le doute sur l’âge de l’intéressé n’ont pas abouti à des résultats concluants (voir en ce sens également paragraphe </w:t>
      </w: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REF paragraph00040 \h </w:instrText>
      </w:r>
      <w:r w:rsidRPr="00D3487F">
        <w:rPr>
          <w:rFonts w:ascii="Times New Roman" w:hAnsi="Times New Roman" w:cs="Times New Roman"/>
          <w:lang w:bidi="en-US"/>
        </w:rPr>
      </w:r>
      <w:r w:rsidR="00D3487F" w:rsidRPr="00D3487F">
        <w:rPr>
          <w:rFonts w:ascii="Times New Roman" w:hAnsi="Times New Roman" w:cs="Times New Roman"/>
          <w:lang w:bidi="en-US"/>
        </w:rPr>
        <w:instrText xml:space="preserve">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rPr>
        <w:t>41</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ci-dessus</w:t>
      </w:r>
      <w:r w:rsidRPr="00D3487F">
        <w:rPr>
          <w:rFonts w:ascii="Times New Roman" w:hAnsi="Times New Roman" w:cs="Times New Roman"/>
        </w:rPr>
        <w:t xml:space="preserve">). </w:t>
      </w:r>
      <w:r w:rsidRPr="00D3487F">
        <w:rPr>
          <w:rFonts w:ascii="Times New Roman" w:hAnsi="Times New Roman" w:cs="Times New Roman"/>
          <w:lang w:bidi="en-US"/>
        </w:rPr>
        <w:t xml:space="preserve">Elle rappelle en effet que, pour qu’une mesure puisse être considérée comme proportionnée et nécessaire dans une société démocratique, l’existence d’une mesure portant moins gravement atteinte au droit fondamental en cause et permettant d’arriver au même but doit être exclue </w:t>
      </w:r>
      <w:r w:rsidRPr="00D3487F">
        <w:rPr>
          <w:rFonts w:ascii="Times New Roman" w:hAnsi="Times New Roman" w:cs="Times New Roman"/>
        </w:rPr>
        <w:t>(</w:t>
      </w:r>
      <w:bookmarkStart w:id="14" w:name="_cl12589ENDROIT"/>
      <w:r w:rsidRPr="00D3487F">
        <w:rPr>
          <w:rFonts w:ascii="Times New Roman" w:hAnsi="Times New Roman" w:cs="Times New Roman"/>
          <w:i/>
          <w:iCs/>
        </w:rPr>
        <w:t>Nada c. Suisse</w:t>
      </w:r>
      <w:bookmarkEnd w:id="14"/>
      <w:r w:rsidRPr="00D3487F">
        <w:rPr>
          <w:rFonts w:ascii="Times New Roman" w:hAnsi="Times New Roman" w:cs="Times New Roman"/>
        </w:rPr>
        <w:t xml:space="preserve"> [GC], n</w:t>
      </w:r>
      <w:r w:rsidRPr="00D3487F">
        <w:rPr>
          <w:rFonts w:ascii="Times New Roman" w:hAnsi="Times New Roman" w:cs="Times New Roman"/>
          <w:vertAlign w:val="superscript"/>
        </w:rPr>
        <w:t>o</w:t>
      </w:r>
      <w:r w:rsidRPr="00D3487F">
        <w:rPr>
          <w:rFonts w:ascii="Times New Roman" w:hAnsi="Times New Roman" w:cs="Times New Roman"/>
        </w:rPr>
        <w:t xml:space="preserve"> 10593/08, § 183, CEDH 2012, et </w:t>
      </w:r>
      <w:bookmarkStart w:id="15" w:name="_cl15584ENDROIT"/>
      <w:r w:rsidRPr="00D3487F">
        <w:rPr>
          <w:rFonts w:ascii="Times New Roman" w:hAnsi="Times New Roman" w:cs="Times New Roman"/>
          <w:i/>
          <w:iCs/>
        </w:rPr>
        <w:t>Saint-Paul Luxembourg S.A. c. Luxembourg</w:t>
      </w:r>
      <w:bookmarkEnd w:id="15"/>
      <w:r w:rsidRPr="00D3487F">
        <w:rPr>
          <w:rFonts w:ascii="Times New Roman" w:hAnsi="Times New Roman" w:cs="Times New Roman"/>
        </w:rPr>
        <w:t>, n</w:t>
      </w:r>
      <w:r w:rsidRPr="00D3487F">
        <w:rPr>
          <w:rFonts w:ascii="Times New Roman" w:hAnsi="Times New Roman" w:cs="Times New Roman"/>
          <w:vertAlign w:val="superscript"/>
        </w:rPr>
        <w:t>o</w:t>
      </w:r>
      <w:r w:rsidRPr="00D3487F">
        <w:rPr>
          <w:rFonts w:ascii="Times New Roman" w:hAnsi="Times New Roman" w:cs="Times New Roman"/>
        </w:rPr>
        <w:t xml:space="preserve"> 26419/10, § 44, 18 avril 2013).</w:t>
      </w:r>
    </w:p>
    <w:p w14:paraId="0212EC22" w14:textId="77777777" w:rsidR="00D57F63" w:rsidRPr="00D3487F" w:rsidRDefault="00D57F63" w:rsidP="00D57F63">
      <w:pPr>
        <w:pStyle w:val="JuPara"/>
        <w:rPr>
          <w:rFonts w:ascii="Times New Roman" w:hAnsi="Times New Roman" w:cs="Times New Roman"/>
          <w:lang w:bidi="en-US"/>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93</w:t>
      </w:r>
      <w:r w:rsidRPr="00D3487F">
        <w:rPr>
          <w:rFonts w:ascii="Times New Roman" w:hAnsi="Times New Roman" w:cs="Times New Roman"/>
          <w:lang w:bidi="en-US"/>
        </w:rPr>
        <w:fldChar w:fldCharType="end"/>
      </w:r>
      <w:r w:rsidRPr="00D3487F">
        <w:rPr>
          <w:rFonts w:ascii="Times New Roman" w:hAnsi="Times New Roman" w:cs="Times New Roman"/>
          <w:lang w:bidi="en-US"/>
        </w:rPr>
        <w:t>.  En l’espèce, force est de constater que l’entretien de la requérante avec un agent du service des tutelles spécialement formé à l’accueil des mineurs n’a eu lieu qu’après la réalisation des tests osseux. Ce n’est que lors de cet entretien que la requérante a notamment été interrogée sur son état civil, sur sa situation familiale, sur ses conditions de vie dans son pays d’origine ainsi que sur sa scolarité. Or, un entretien préalable avec un agent du service des tutelles aurait pu, le cas échéant, permettre, d’une part, de rechercher si le doute sur la minorité de la requérante pouvait être levé par d’autres moyens moins intrusifs et, d’autre part, permettre au professionnel qualifié de s’assurer que celle-ci a reçu toutes les informations nécessaires pour faire valoir valablement ses droits.</w:t>
      </w:r>
    </w:p>
    <w:p w14:paraId="2AF97818"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lang w:bidi="en-US"/>
        </w:rPr>
        <w:fldChar w:fldCharType="begin"/>
      </w:r>
      <w:r w:rsidRPr="00D3487F">
        <w:rPr>
          <w:rFonts w:ascii="Times New Roman" w:hAnsi="Times New Roman" w:cs="Times New Roman"/>
          <w:lang w:bidi="en-US"/>
        </w:rPr>
        <w:instrText xml:space="preserve"> SEQ level0 \*arabic \* MERGEFORMAT </w:instrText>
      </w:r>
      <w:r w:rsidRPr="00D3487F">
        <w:rPr>
          <w:rFonts w:ascii="Times New Roman" w:hAnsi="Times New Roman" w:cs="Times New Roman"/>
          <w:lang w:bidi="en-US"/>
        </w:rPr>
        <w:fldChar w:fldCharType="separate"/>
      </w:r>
      <w:r w:rsidRPr="00D3487F">
        <w:rPr>
          <w:rFonts w:ascii="Times New Roman" w:hAnsi="Times New Roman" w:cs="Times New Roman"/>
          <w:noProof/>
          <w:lang w:bidi="en-US"/>
        </w:rPr>
        <w:t>94</w:t>
      </w:r>
      <w:r w:rsidRPr="00D3487F">
        <w:rPr>
          <w:rFonts w:ascii="Times New Roman" w:hAnsi="Times New Roman" w:cs="Times New Roman"/>
          <w:lang w:bidi="en-US"/>
        </w:rPr>
        <w:fldChar w:fldCharType="end"/>
      </w:r>
      <w:r w:rsidRPr="00D3487F">
        <w:rPr>
          <w:rFonts w:ascii="Times New Roman" w:hAnsi="Times New Roman" w:cs="Times New Roman"/>
          <w:lang w:bidi="en-US"/>
        </w:rPr>
        <w:t xml:space="preserve">.  Il n’appartient pas à la Cour de se prononcer sur la fiabilité des tests osseux, laquelle a été abondamment discutée par les parties et les tiers intervenants, et reste largement débattue. </w:t>
      </w:r>
      <w:r w:rsidRPr="00D3487F">
        <w:rPr>
          <w:rFonts w:ascii="Times New Roman" w:hAnsi="Times New Roman" w:cs="Times New Roman"/>
        </w:rPr>
        <w:t>Dans le cas d’espèce, elle observe, sans qu’elle ait à se prononcer sur ce point ni sur la minorité ou non de la requérante, que le processus décisionnel qui a abouti à la décision de cessation de sa prise en charge en tant que mineure étrangère non accompagnée n’a pas été entouré de garanties suffisantes au regard de l’article 8 de la Convention.</w:t>
      </w:r>
    </w:p>
    <w:bookmarkStart w:id="16" w:name="paragraph0099"/>
    <w:p w14:paraId="3F80FCD9" w14:textId="77777777" w:rsidR="00D57F63" w:rsidRPr="00D3487F" w:rsidRDefault="00D57F63" w:rsidP="00D57F63">
      <w:pPr>
        <w:pStyle w:val="JuPara"/>
        <w:rPr>
          <w:rFonts w:ascii="Times New Roman" w:hAnsi="Times New Roman" w:cs="Times New Roman"/>
        </w:rPr>
      </w:pPr>
      <w:r w:rsidRPr="00D3487F">
        <w:rPr>
          <w:rFonts w:ascii="Times New Roman" w:hAnsi="Times New Roman" w:cs="Times New Roman"/>
        </w:rPr>
        <w:fldChar w:fldCharType="begin"/>
      </w:r>
      <w:r w:rsidRPr="00D3487F">
        <w:rPr>
          <w:rFonts w:ascii="Times New Roman" w:hAnsi="Times New Roman" w:cs="Times New Roman"/>
        </w:rPr>
        <w:instrText xml:space="preserve"> SEQ level0 \*arabic \* MERGEFORMAT </w:instrText>
      </w:r>
      <w:r w:rsidRPr="00D3487F">
        <w:rPr>
          <w:rFonts w:ascii="Times New Roman" w:hAnsi="Times New Roman" w:cs="Times New Roman"/>
        </w:rPr>
        <w:fldChar w:fldCharType="separate"/>
      </w:r>
      <w:r w:rsidRPr="00D3487F">
        <w:rPr>
          <w:rFonts w:ascii="Times New Roman" w:hAnsi="Times New Roman" w:cs="Times New Roman"/>
          <w:noProof/>
        </w:rPr>
        <w:t>95</w:t>
      </w:r>
      <w:r w:rsidRPr="00D3487F">
        <w:rPr>
          <w:rFonts w:ascii="Times New Roman" w:hAnsi="Times New Roman" w:cs="Times New Roman"/>
        </w:rPr>
        <w:fldChar w:fldCharType="end"/>
      </w:r>
      <w:bookmarkEnd w:id="16"/>
      <w:r w:rsidRPr="00D3487F">
        <w:rPr>
          <w:rFonts w:ascii="Times New Roman" w:hAnsi="Times New Roman" w:cs="Times New Roman"/>
        </w:rPr>
        <w:t>.  Par conséquent, il y a eu violation de cette disposition.</w:t>
      </w:r>
    </w:p>
    <w:p w14:paraId="5270F04A" w14:textId="77777777" w:rsidR="00D57F63" w:rsidRPr="00D3487F" w:rsidRDefault="00D57F63" w:rsidP="00D57F63">
      <w:pPr>
        <w:pStyle w:val="JuPara"/>
        <w:rPr>
          <w:rFonts w:ascii="Times New Roman" w:hAnsi="Times New Roman" w:cs="Times New Roman"/>
        </w:rPr>
      </w:pPr>
    </w:p>
    <w:p w14:paraId="5F05AC66" w14:textId="7404DBAE" w:rsidR="00440BD9" w:rsidRPr="00D3487F" w:rsidRDefault="00440BD9">
      <w:pPr>
        <w:rPr>
          <w:rFonts w:ascii="Times New Roman" w:hAnsi="Times New Roman" w:cs="Times New Roman"/>
          <w:sz w:val="24"/>
          <w:szCs w:val="24"/>
        </w:rPr>
      </w:pPr>
      <w:r w:rsidRPr="00D3487F">
        <w:rPr>
          <w:rFonts w:ascii="Times New Roman" w:hAnsi="Times New Roman" w:cs="Times New Roman"/>
          <w:sz w:val="24"/>
          <w:szCs w:val="24"/>
        </w:rPr>
        <w:br w:type="page"/>
      </w:r>
    </w:p>
    <w:p w14:paraId="162F6768" w14:textId="77777777" w:rsidR="00440BD9" w:rsidRPr="00D3487F" w:rsidRDefault="00440BD9" w:rsidP="00440BD9">
      <w:pPr>
        <w:jc w:val="center"/>
        <w:rPr>
          <w:rFonts w:ascii="Times New Roman" w:hAnsi="Times New Roman" w:cs="Times New Roman"/>
          <w:b/>
          <w:bCs/>
          <w:sz w:val="24"/>
          <w:szCs w:val="24"/>
        </w:rPr>
      </w:pPr>
      <w:r w:rsidRPr="00D3487F">
        <w:rPr>
          <w:rFonts w:ascii="Times New Roman" w:hAnsi="Times New Roman" w:cs="Times New Roman"/>
          <w:b/>
          <w:bCs/>
          <w:sz w:val="24"/>
          <w:szCs w:val="24"/>
        </w:rPr>
        <w:lastRenderedPageBreak/>
        <w:t>Droit de la Convention européenne des droits de l’homme</w:t>
      </w:r>
    </w:p>
    <w:p w14:paraId="339EB263" w14:textId="77777777" w:rsidR="00440BD9" w:rsidRPr="00D3487F" w:rsidRDefault="00440BD9" w:rsidP="00440BD9">
      <w:pPr>
        <w:jc w:val="center"/>
        <w:rPr>
          <w:rFonts w:ascii="Times New Roman" w:hAnsi="Times New Roman" w:cs="Times New Roman"/>
          <w:b/>
          <w:bCs/>
          <w:sz w:val="24"/>
          <w:szCs w:val="24"/>
        </w:rPr>
      </w:pPr>
      <w:r w:rsidRPr="00D3487F">
        <w:rPr>
          <w:rFonts w:ascii="Times New Roman" w:hAnsi="Times New Roman" w:cs="Times New Roman"/>
          <w:b/>
          <w:bCs/>
          <w:sz w:val="24"/>
          <w:szCs w:val="24"/>
        </w:rPr>
        <w:t>Travaux dirigés</w:t>
      </w:r>
    </w:p>
    <w:p w14:paraId="6A2E3CE1" w14:textId="77777777" w:rsidR="00440BD9" w:rsidRPr="00D3487F" w:rsidRDefault="00440BD9" w:rsidP="00440BD9">
      <w:pPr>
        <w:rPr>
          <w:rFonts w:ascii="Times New Roman" w:hAnsi="Times New Roman" w:cs="Times New Roman"/>
          <w:sz w:val="24"/>
          <w:szCs w:val="24"/>
        </w:rPr>
      </w:pPr>
    </w:p>
    <w:p w14:paraId="0AE2776E" w14:textId="207B8F29" w:rsidR="00440BD9" w:rsidRPr="00D3487F" w:rsidRDefault="00440BD9" w:rsidP="00440BD9">
      <w:pPr>
        <w:jc w:val="center"/>
        <w:rPr>
          <w:rFonts w:ascii="Times New Roman" w:hAnsi="Times New Roman" w:cs="Times New Roman"/>
          <w:b/>
          <w:bCs/>
          <w:sz w:val="24"/>
          <w:szCs w:val="24"/>
        </w:rPr>
      </w:pPr>
      <w:r w:rsidRPr="00D3487F">
        <w:rPr>
          <w:rFonts w:ascii="Times New Roman" w:hAnsi="Times New Roman" w:cs="Times New Roman"/>
          <w:b/>
          <w:bCs/>
          <w:sz w:val="24"/>
          <w:szCs w:val="24"/>
        </w:rPr>
        <w:t xml:space="preserve">Séance </w:t>
      </w:r>
      <w:r w:rsidRPr="00D3487F">
        <w:rPr>
          <w:rFonts w:ascii="Times New Roman" w:hAnsi="Times New Roman" w:cs="Times New Roman"/>
          <w:b/>
          <w:bCs/>
          <w:sz w:val="24"/>
          <w:szCs w:val="24"/>
        </w:rPr>
        <w:t>4</w:t>
      </w:r>
      <w:r w:rsidRPr="00D3487F">
        <w:rPr>
          <w:rFonts w:ascii="Times New Roman" w:hAnsi="Times New Roman" w:cs="Times New Roman"/>
          <w:b/>
          <w:bCs/>
          <w:sz w:val="24"/>
          <w:szCs w:val="24"/>
        </w:rPr>
        <w:t xml:space="preserve"> : </w:t>
      </w:r>
      <w:r w:rsidRPr="00D3487F">
        <w:rPr>
          <w:rFonts w:ascii="Times New Roman" w:hAnsi="Times New Roman" w:cs="Times New Roman"/>
          <w:b/>
          <w:bCs/>
          <w:sz w:val="24"/>
          <w:szCs w:val="24"/>
        </w:rPr>
        <w:t>L’autorité des arrêts de la Cour européenne des droits de l’homme</w:t>
      </w:r>
    </w:p>
    <w:p w14:paraId="3F2FD902" w14:textId="29A4F5A6" w:rsidR="00440BD9" w:rsidRPr="00D3487F" w:rsidRDefault="00440BD9" w:rsidP="00440BD9">
      <w:pPr>
        <w:rPr>
          <w:rFonts w:ascii="Times New Roman" w:hAnsi="Times New Roman" w:cs="Times New Roman"/>
          <w:b/>
          <w:bCs/>
          <w:sz w:val="24"/>
          <w:szCs w:val="24"/>
        </w:rPr>
      </w:pPr>
    </w:p>
    <w:p w14:paraId="3870A591" w14:textId="6CF3F6F3" w:rsidR="00440BD9" w:rsidRPr="00D3487F" w:rsidRDefault="00440BD9" w:rsidP="00440BD9">
      <w:pPr>
        <w:rPr>
          <w:rFonts w:ascii="Times New Roman" w:hAnsi="Times New Roman" w:cs="Times New Roman"/>
          <w:sz w:val="24"/>
          <w:szCs w:val="24"/>
        </w:rPr>
      </w:pPr>
      <w:r w:rsidRPr="00D3487F">
        <w:rPr>
          <w:rFonts w:ascii="Times New Roman" w:hAnsi="Times New Roman" w:cs="Times New Roman"/>
          <w:b/>
          <w:bCs/>
          <w:sz w:val="24"/>
          <w:szCs w:val="24"/>
        </w:rPr>
        <w:t xml:space="preserve">Dissertation : </w:t>
      </w:r>
      <w:r w:rsidRPr="00D3487F">
        <w:rPr>
          <w:rFonts w:ascii="Times New Roman" w:hAnsi="Times New Roman" w:cs="Times New Roman"/>
          <w:sz w:val="24"/>
          <w:szCs w:val="24"/>
        </w:rPr>
        <w:t xml:space="preserve">quel bilan faites-vous de l’influence de la Cour européenne des droits de l’homme sur le droit français des personnes et des familles depuis l’arrêt </w:t>
      </w:r>
      <w:proofErr w:type="spellStart"/>
      <w:r w:rsidRPr="00D3487F">
        <w:rPr>
          <w:rFonts w:ascii="Times New Roman" w:hAnsi="Times New Roman" w:cs="Times New Roman"/>
          <w:sz w:val="24"/>
          <w:szCs w:val="24"/>
        </w:rPr>
        <w:t>Mazureck</w:t>
      </w:r>
      <w:proofErr w:type="spellEnd"/>
      <w:r w:rsidRPr="00D3487F">
        <w:rPr>
          <w:rFonts w:ascii="Times New Roman" w:hAnsi="Times New Roman" w:cs="Times New Roman"/>
          <w:sz w:val="24"/>
          <w:szCs w:val="24"/>
        </w:rPr>
        <w:t xml:space="preserve"> ?</w:t>
      </w:r>
    </w:p>
    <w:p w14:paraId="6655B43F" w14:textId="77777777" w:rsidR="00D3487F" w:rsidRPr="00D3487F" w:rsidRDefault="00D3487F" w:rsidP="00440BD9">
      <w:pPr>
        <w:rPr>
          <w:rFonts w:ascii="Times New Roman" w:hAnsi="Times New Roman" w:cs="Times New Roman"/>
          <w:sz w:val="24"/>
          <w:szCs w:val="24"/>
        </w:rPr>
      </w:pPr>
    </w:p>
    <w:p w14:paraId="0328B03F" w14:textId="0FD5C7FD" w:rsidR="00440BD9" w:rsidRPr="00D3487F" w:rsidRDefault="00440BD9">
      <w:pPr>
        <w:rPr>
          <w:rFonts w:ascii="Times New Roman" w:hAnsi="Times New Roman" w:cs="Times New Roman"/>
          <w:sz w:val="24"/>
          <w:szCs w:val="24"/>
        </w:rPr>
      </w:pPr>
      <w:r w:rsidRPr="00D3487F">
        <w:rPr>
          <w:rFonts w:ascii="Times New Roman" w:hAnsi="Times New Roman" w:cs="Times New Roman"/>
          <w:b/>
          <w:bCs/>
          <w:sz w:val="24"/>
          <w:szCs w:val="24"/>
        </w:rPr>
        <w:t>Travail préparatoire</w:t>
      </w:r>
      <w:r w:rsidRPr="00D3487F">
        <w:rPr>
          <w:rFonts w:ascii="Times New Roman" w:hAnsi="Times New Roman" w:cs="Times New Roman"/>
          <w:sz w:val="24"/>
          <w:szCs w:val="24"/>
        </w:rPr>
        <w:t> : Après avoir effectué des recherches (en trio) procédez aux trois étapes suivantes : (de manière formelle)</w:t>
      </w:r>
    </w:p>
    <w:p w14:paraId="2F73DF1D" w14:textId="2DB4040C" w:rsidR="00440BD9" w:rsidRPr="00D3487F" w:rsidRDefault="00440BD9" w:rsidP="00D3487F">
      <w:pPr>
        <w:pStyle w:val="Paragraphedeliste"/>
        <w:numPr>
          <w:ilvl w:val="3"/>
          <w:numId w:val="1"/>
        </w:numPr>
        <w:rPr>
          <w:rFonts w:ascii="Times New Roman" w:hAnsi="Times New Roman" w:cs="Times New Roman"/>
          <w:sz w:val="24"/>
          <w:szCs w:val="24"/>
        </w:rPr>
      </w:pPr>
      <w:r w:rsidRPr="00D3487F">
        <w:rPr>
          <w:rFonts w:ascii="Times New Roman" w:hAnsi="Times New Roman" w:cs="Times New Roman"/>
          <w:sz w:val="24"/>
          <w:szCs w:val="24"/>
        </w:rPr>
        <w:t>Faites une liste des éléments de réponse sous forme d’un binôme une idée</w:t>
      </w:r>
      <w:r w:rsidR="00D3487F" w:rsidRPr="00D3487F">
        <w:rPr>
          <w:rFonts w:ascii="Times New Roman" w:hAnsi="Times New Roman" w:cs="Times New Roman"/>
          <w:sz w:val="24"/>
          <w:szCs w:val="24"/>
        </w:rPr>
        <w:t>/</w:t>
      </w:r>
      <w:proofErr w:type="gramStart"/>
      <w:r w:rsidRPr="00D3487F">
        <w:rPr>
          <w:rFonts w:ascii="Times New Roman" w:hAnsi="Times New Roman" w:cs="Times New Roman"/>
          <w:sz w:val="24"/>
          <w:szCs w:val="24"/>
        </w:rPr>
        <w:t xml:space="preserve">un </w:t>
      </w:r>
      <w:r w:rsidR="00D3487F" w:rsidRPr="00D3487F">
        <w:rPr>
          <w:rFonts w:ascii="Times New Roman" w:hAnsi="Times New Roman" w:cs="Times New Roman"/>
          <w:sz w:val="24"/>
          <w:szCs w:val="24"/>
        </w:rPr>
        <w:t xml:space="preserve"> </w:t>
      </w:r>
      <w:r w:rsidRPr="00D3487F">
        <w:rPr>
          <w:rFonts w:ascii="Times New Roman" w:hAnsi="Times New Roman" w:cs="Times New Roman"/>
          <w:sz w:val="24"/>
          <w:szCs w:val="24"/>
        </w:rPr>
        <w:t>exemple</w:t>
      </w:r>
      <w:proofErr w:type="gramEnd"/>
      <w:r w:rsidRPr="00D3487F">
        <w:rPr>
          <w:rFonts w:ascii="Times New Roman" w:hAnsi="Times New Roman" w:cs="Times New Roman"/>
          <w:sz w:val="24"/>
          <w:szCs w:val="24"/>
        </w:rPr>
        <w:t xml:space="preserve"> et présentez l</w:t>
      </w:r>
      <w:r w:rsidR="00D3487F" w:rsidRPr="00D3487F">
        <w:rPr>
          <w:rFonts w:ascii="Times New Roman" w:hAnsi="Times New Roman" w:cs="Times New Roman"/>
          <w:sz w:val="24"/>
          <w:szCs w:val="24"/>
        </w:rPr>
        <w:t>a</w:t>
      </w:r>
      <w:r w:rsidRPr="00D3487F">
        <w:rPr>
          <w:rFonts w:ascii="Times New Roman" w:hAnsi="Times New Roman" w:cs="Times New Roman"/>
          <w:sz w:val="24"/>
          <w:szCs w:val="24"/>
        </w:rPr>
        <w:t xml:space="preserve"> sous forme de tableau ou d’un </w:t>
      </w:r>
      <w:r w:rsidR="00D3487F" w:rsidRPr="00D3487F">
        <w:rPr>
          <w:rFonts w:ascii="Times New Roman" w:hAnsi="Times New Roman" w:cs="Times New Roman"/>
          <w:sz w:val="24"/>
          <w:szCs w:val="24"/>
        </w:rPr>
        <w:t>schéma</w:t>
      </w:r>
    </w:p>
    <w:p w14:paraId="1109E156" w14:textId="77777777" w:rsidR="00D3487F" w:rsidRPr="00D3487F" w:rsidRDefault="00D3487F" w:rsidP="00D3487F">
      <w:pPr>
        <w:pStyle w:val="Paragraphedeliste"/>
        <w:ind w:left="765"/>
        <w:rPr>
          <w:rFonts w:ascii="Times New Roman" w:hAnsi="Times New Roman" w:cs="Times New Roman"/>
          <w:sz w:val="24"/>
          <w:szCs w:val="24"/>
        </w:rPr>
      </w:pPr>
    </w:p>
    <w:p w14:paraId="6329713F" w14:textId="654ACC14" w:rsidR="00440BD9" w:rsidRPr="00D3487F" w:rsidRDefault="00440BD9" w:rsidP="00D3487F">
      <w:pPr>
        <w:pStyle w:val="Paragraphedeliste"/>
        <w:numPr>
          <w:ilvl w:val="3"/>
          <w:numId w:val="1"/>
        </w:numPr>
        <w:rPr>
          <w:rFonts w:ascii="Times New Roman" w:hAnsi="Times New Roman" w:cs="Times New Roman"/>
          <w:sz w:val="24"/>
          <w:szCs w:val="24"/>
        </w:rPr>
      </w:pPr>
      <w:r w:rsidRPr="00D3487F">
        <w:rPr>
          <w:rFonts w:ascii="Times New Roman" w:hAnsi="Times New Roman" w:cs="Times New Roman"/>
          <w:sz w:val="24"/>
          <w:szCs w:val="24"/>
        </w:rPr>
        <w:t>Dégagez quelques grandes idées et une problématique</w:t>
      </w:r>
    </w:p>
    <w:p w14:paraId="4C2BCD52" w14:textId="77777777" w:rsidR="00D3487F" w:rsidRPr="00D3487F" w:rsidRDefault="00D3487F" w:rsidP="00D3487F">
      <w:pPr>
        <w:pStyle w:val="Paragraphedeliste"/>
        <w:ind w:left="765"/>
        <w:rPr>
          <w:rFonts w:ascii="Times New Roman" w:hAnsi="Times New Roman" w:cs="Times New Roman"/>
          <w:sz w:val="24"/>
          <w:szCs w:val="24"/>
        </w:rPr>
      </w:pPr>
    </w:p>
    <w:p w14:paraId="042C5E64" w14:textId="2E037EC1" w:rsidR="00440BD9" w:rsidRPr="00D3487F" w:rsidRDefault="00440BD9" w:rsidP="00D3487F">
      <w:pPr>
        <w:pStyle w:val="Paragraphedeliste"/>
        <w:numPr>
          <w:ilvl w:val="3"/>
          <w:numId w:val="1"/>
        </w:numPr>
        <w:rPr>
          <w:rFonts w:ascii="Times New Roman" w:hAnsi="Times New Roman" w:cs="Times New Roman"/>
          <w:sz w:val="24"/>
          <w:szCs w:val="24"/>
        </w:rPr>
      </w:pPr>
      <w:r w:rsidRPr="00D3487F">
        <w:rPr>
          <w:rFonts w:ascii="Times New Roman" w:hAnsi="Times New Roman" w:cs="Times New Roman"/>
          <w:sz w:val="24"/>
          <w:szCs w:val="24"/>
        </w:rPr>
        <w:t>Proposez un plan détaillé dans lequel vous intégrez les éléments de réponse du départ</w:t>
      </w:r>
    </w:p>
    <w:sectPr w:rsidR="00440BD9" w:rsidRPr="00D3487F">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6739" w14:textId="77777777" w:rsidR="00651DAB" w:rsidRDefault="00651DAB" w:rsidP="0028617C">
      <w:pPr>
        <w:spacing w:after="0" w:line="240" w:lineRule="auto"/>
      </w:pPr>
      <w:r>
        <w:separator/>
      </w:r>
    </w:p>
  </w:endnote>
  <w:endnote w:type="continuationSeparator" w:id="0">
    <w:p w14:paraId="121EADA2" w14:textId="77777777" w:rsidR="00651DAB" w:rsidRDefault="00651DAB" w:rsidP="0028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FEA1" w14:textId="77777777" w:rsidR="00954AD6" w:rsidRPr="00F25EFC" w:rsidRDefault="00651DAB" w:rsidP="00954AD6">
    <w:pPr>
      <w:pStyle w:val="JuHeader"/>
    </w:pP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CD70" w14:textId="3E48064E" w:rsidR="00CB7669" w:rsidRPr="00150BFA" w:rsidRDefault="00651DAB" w:rsidP="0028617C"/>
  <w:p w14:paraId="5E600951" w14:textId="77777777" w:rsidR="008A046A" w:rsidRPr="00F25EFC" w:rsidRDefault="00651DAB" w:rsidP="00F27D13">
    <w:pPr>
      <w:pStyle w:val="Pieddepage"/>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D12B9" w14:textId="77777777" w:rsidR="00CB7669" w:rsidRPr="00150BFA" w:rsidRDefault="00651DAB" w:rsidP="0020718E">
    <w:pPr>
      <w:jc w:val="center"/>
    </w:pPr>
    <w:r>
      <w:rPr>
        <w:noProof/>
        <w:lang w:val="en-US"/>
      </w:rPr>
      <w:drawing>
        <wp:inline distT="0" distB="0" distL="0" distR="0" wp14:anchorId="73F04B6B" wp14:editId="648A31D1">
          <wp:extent cx="771525" cy="619125"/>
          <wp:effectExtent l="0" t="0" r="9525" b="9525"/>
          <wp:docPr id="12" name="Picture 1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60402E6" w14:textId="77777777" w:rsidR="00902601" w:rsidRPr="00F25EFC" w:rsidRDefault="00651DAB" w:rsidP="00902601">
    <w:pPr>
      <w:pStyle w:val="Pieddepage"/>
      <w:jc w:val="cen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095B3" w14:textId="77777777" w:rsidR="00651DAB" w:rsidRDefault="00651DAB" w:rsidP="0028617C">
      <w:pPr>
        <w:spacing w:after="0" w:line="240" w:lineRule="auto"/>
      </w:pPr>
      <w:r>
        <w:separator/>
      </w:r>
    </w:p>
  </w:footnote>
  <w:footnote w:type="continuationSeparator" w:id="0">
    <w:p w14:paraId="119EAB50" w14:textId="77777777" w:rsidR="00651DAB" w:rsidRDefault="00651DAB" w:rsidP="0028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B02B" w14:textId="1C64C6F6" w:rsidR="00CB7669" w:rsidRPr="00A45145" w:rsidRDefault="00651DAB" w:rsidP="0028617C"/>
  <w:p w14:paraId="198E31CC" w14:textId="77777777" w:rsidR="008A046A" w:rsidRPr="00F25EFC" w:rsidRDefault="00651DAB" w:rsidP="009840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5170" w14:textId="77777777" w:rsidR="00CB7669" w:rsidRPr="00A45145" w:rsidRDefault="00651DAB" w:rsidP="00A45145">
    <w:pPr>
      <w:jc w:val="center"/>
    </w:pPr>
    <w:r>
      <w:rPr>
        <w:noProof/>
        <w:lang w:val="en-US"/>
      </w:rPr>
      <w:drawing>
        <wp:inline distT="0" distB="0" distL="0" distR="0" wp14:anchorId="75C5A895" wp14:editId="3AE16519">
          <wp:extent cx="2962275" cy="1219200"/>
          <wp:effectExtent l="0" t="0" r="9525" b="0"/>
          <wp:docPr id="11" name="Picture 1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6641BF7" w14:textId="77777777" w:rsidR="00902601" w:rsidRPr="00F25EFC" w:rsidRDefault="00651DAB" w:rsidP="00902601">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BFC"/>
    <w:multiLevelType w:val="multilevel"/>
    <w:tmpl w:val="EE20E2DE"/>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481"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 w15:restartNumberingAfterBreak="0">
    <w:nsid w:val="12D3626D"/>
    <w:multiLevelType w:val="hybridMultilevel"/>
    <w:tmpl w:val="A8B49A8E"/>
    <w:lvl w:ilvl="0" w:tplc="662AB0E4">
      <w:start w:val="1"/>
      <w:numFmt w:val="decimal"/>
      <w:lvlText w:val="%1."/>
      <w:lvlJc w:val="left"/>
      <w:pPr>
        <w:ind w:left="4608" w:hanging="360"/>
      </w:pPr>
      <w:rPr>
        <w:rFonts w:hint="default"/>
      </w:rPr>
    </w:lvl>
    <w:lvl w:ilvl="1" w:tplc="040C0019" w:tentative="1">
      <w:start w:val="1"/>
      <w:numFmt w:val="lowerLetter"/>
      <w:lvlText w:val="%2."/>
      <w:lvlJc w:val="left"/>
      <w:pPr>
        <w:ind w:left="5328" w:hanging="360"/>
      </w:pPr>
    </w:lvl>
    <w:lvl w:ilvl="2" w:tplc="040C001B" w:tentative="1">
      <w:start w:val="1"/>
      <w:numFmt w:val="lowerRoman"/>
      <w:lvlText w:val="%3."/>
      <w:lvlJc w:val="right"/>
      <w:pPr>
        <w:ind w:left="6048" w:hanging="180"/>
      </w:pPr>
    </w:lvl>
    <w:lvl w:ilvl="3" w:tplc="040C000F" w:tentative="1">
      <w:start w:val="1"/>
      <w:numFmt w:val="decimal"/>
      <w:lvlText w:val="%4."/>
      <w:lvlJc w:val="left"/>
      <w:pPr>
        <w:ind w:left="6768" w:hanging="360"/>
      </w:pPr>
    </w:lvl>
    <w:lvl w:ilvl="4" w:tplc="040C0019" w:tentative="1">
      <w:start w:val="1"/>
      <w:numFmt w:val="lowerLetter"/>
      <w:lvlText w:val="%5."/>
      <w:lvlJc w:val="left"/>
      <w:pPr>
        <w:ind w:left="7488" w:hanging="360"/>
      </w:pPr>
    </w:lvl>
    <w:lvl w:ilvl="5" w:tplc="040C001B" w:tentative="1">
      <w:start w:val="1"/>
      <w:numFmt w:val="lowerRoman"/>
      <w:lvlText w:val="%6."/>
      <w:lvlJc w:val="right"/>
      <w:pPr>
        <w:ind w:left="8208" w:hanging="180"/>
      </w:pPr>
    </w:lvl>
    <w:lvl w:ilvl="6" w:tplc="040C000F" w:tentative="1">
      <w:start w:val="1"/>
      <w:numFmt w:val="decimal"/>
      <w:lvlText w:val="%7."/>
      <w:lvlJc w:val="left"/>
      <w:pPr>
        <w:ind w:left="8928" w:hanging="360"/>
      </w:pPr>
    </w:lvl>
    <w:lvl w:ilvl="7" w:tplc="040C0019" w:tentative="1">
      <w:start w:val="1"/>
      <w:numFmt w:val="lowerLetter"/>
      <w:lvlText w:val="%8."/>
      <w:lvlJc w:val="left"/>
      <w:pPr>
        <w:ind w:left="9648" w:hanging="360"/>
      </w:pPr>
    </w:lvl>
    <w:lvl w:ilvl="8" w:tplc="040C001B" w:tentative="1">
      <w:start w:val="1"/>
      <w:numFmt w:val="lowerRoman"/>
      <w:lvlText w:val="%9."/>
      <w:lvlJc w:val="right"/>
      <w:pPr>
        <w:ind w:left="10368" w:hanging="180"/>
      </w:pPr>
    </w:lvl>
  </w:abstractNum>
  <w:abstractNum w:abstractNumId="2" w15:restartNumberingAfterBreak="0">
    <w:nsid w:val="14C04994"/>
    <w:multiLevelType w:val="hybridMultilevel"/>
    <w:tmpl w:val="0C14BF86"/>
    <w:lvl w:ilvl="0" w:tplc="D14271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6B9429C"/>
    <w:multiLevelType w:val="multilevel"/>
    <w:tmpl w:val="98544F5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4" w15:restartNumberingAfterBreak="0">
    <w:nsid w:val="6F3178AB"/>
    <w:multiLevelType w:val="hybridMultilevel"/>
    <w:tmpl w:val="15606A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B832AD"/>
    <w:multiLevelType w:val="hybridMultilevel"/>
    <w:tmpl w:val="7D140E56"/>
    <w:lvl w:ilvl="0" w:tplc="4E9068F6">
      <w:start w:val="1"/>
      <w:numFmt w:val="decimal"/>
      <w:lvlText w:val="%1."/>
      <w:lvlJc w:val="left"/>
      <w:pPr>
        <w:ind w:left="405" w:hanging="360"/>
      </w:pPr>
      <w:rPr>
        <w:rFonts w:ascii="Times New Roman" w:eastAsiaTheme="minorHAnsi" w:hAnsi="Times New Roman" w:cs="Times New Roman"/>
      </w:rPr>
    </w:lvl>
    <w:lvl w:ilvl="1" w:tplc="040C0003">
      <w:start w:val="1"/>
      <w:numFmt w:val="bullet"/>
      <w:lvlText w:val="o"/>
      <w:lvlJc w:val="left"/>
      <w:pPr>
        <w:ind w:left="1125" w:hanging="360"/>
      </w:pPr>
      <w:rPr>
        <w:rFonts w:ascii="Courier New" w:hAnsi="Courier New" w:cs="Courier New" w:hint="default"/>
      </w:rPr>
    </w:lvl>
    <w:lvl w:ilvl="2" w:tplc="040C0005">
      <w:start w:val="1"/>
      <w:numFmt w:val="bullet"/>
      <w:lvlText w:val=""/>
      <w:lvlJc w:val="left"/>
      <w:pPr>
        <w:ind w:left="1845" w:hanging="360"/>
      </w:pPr>
      <w:rPr>
        <w:rFonts w:ascii="Wingdings" w:hAnsi="Wingdings" w:hint="default"/>
      </w:rPr>
    </w:lvl>
    <w:lvl w:ilvl="3" w:tplc="040C0001">
      <w:start w:val="1"/>
      <w:numFmt w:val="bullet"/>
      <w:lvlText w:val=""/>
      <w:lvlJc w:val="left"/>
      <w:pPr>
        <w:ind w:left="2565" w:hanging="360"/>
      </w:pPr>
      <w:rPr>
        <w:rFonts w:ascii="Symbol" w:hAnsi="Symbol" w:hint="default"/>
      </w:rPr>
    </w:lvl>
    <w:lvl w:ilvl="4" w:tplc="040C0003">
      <w:start w:val="1"/>
      <w:numFmt w:val="bullet"/>
      <w:lvlText w:val="o"/>
      <w:lvlJc w:val="left"/>
      <w:pPr>
        <w:ind w:left="3285" w:hanging="360"/>
      </w:pPr>
      <w:rPr>
        <w:rFonts w:ascii="Courier New" w:hAnsi="Courier New" w:cs="Courier New" w:hint="default"/>
      </w:rPr>
    </w:lvl>
    <w:lvl w:ilvl="5" w:tplc="040C0005">
      <w:start w:val="1"/>
      <w:numFmt w:val="bullet"/>
      <w:lvlText w:val=""/>
      <w:lvlJc w:val="left"/>
      <w:pPr>
        <w:ind w:left="4005" w:hanging="360"/>
      </w:pPr>
      <w:rPr>
        <w:rFonts w:ascii="Wingdings" w:hAnsi="Wingdings" w:hint="default"/>
      </w:rPr>
    </w:lvl>
    <w:lvl w:ilvl="6" w:tplc="040C0001">
      <w:start w:val="1"/>
      <w:numFmt w:val="bullet"/>
      <w:lvlText w:val=""/>
      <w:lvlJc w:val="left"/>
      <w:pPr>
        <w:ind w:left="4725" w:hanging="360"/>
      </w:pPr>
      <w:rPr>
        <w:rFonts w:ascii="Symbol" w:hAnsi="Symbol" w:hint="default"/>
      </w:rPr>
    </w:lvl>
    <w:lvl w:ilvl="7" w:tplc="040C0003">
      <w:start w:val="1"/>
      <w:numFmt w:val="bullet"/>
      <w:lvlText w:val="o"/>
      <w:lvlJc w:val="left"/>
      <w:pPr>
        <w:ind w:left="5445" w:hanging="360"/>
      </w:pPr>
      <w:rPr>
        <w:rFonts w:ascii="Courier New" w:hAnsi="Courier New" w:cs="Courier New" w:hint="default"/>
      </w:rPr>
    </w:lvl>
    <w:lvl w:ilvl="8" w:tplc="040C0005">
      <w:start w:val="1"/>
      <w:numFmt w:val="bullet"/>
      <w:lvlText w:val=""/>
      <w:lvlJc w:val="left"/>
      <w:pPr>
        <w:ind w:left="6165" w:hanging="360"/>
      </w:pPr>
      <w:rPr>
        <w:rFonts w:ascii="Wingdings" w:hAnsi="Wingdings" w:hint="default"/>
      </w:rPr>
    </w:lvl>
  </w:abstractNum>
  <w:abstractNum w:abstractNumId="6" w15:restartNumberingAfterBreak="0">
    <w:nsid w:val="790038B1"/>
    <w:multiLevelType w:val="hybridMultilevel"/>
    <w:tmpl w:val="B4300728"/>
    <w:lvl w:ilvl="0" w:tplc="C6403C5A">
      <w:start w:val="1"/>
      <w:numFmt w:val="bullet"/>
      <w:lvlText w:val="-"/>
      <w:lvlJc w:val="left"/>
      <w:pPr>
        <w:ind w:left="765" w:hanging="360"/>
      </w:pPr>
      <w:rPr>
        <w:rFonts w:ascii="Times New Roman" w:eastAsiaTheme="minorHAnsi" w:hAnsi="Times New Roman" w:cs="Times New Roman"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63"/>
    <w:rsid w:val="0028617C"/>
    <w:rsid w:val="00440BD9"/>
    <w:rsid w:val="0051735C"/>
    <w:rsid w:val="00651DAB"/>
    <w:rsid w:val="00813FA6"/>
    <w:rsid w:val="00D3487F"/>
    <w:rsid w:val="00D57F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73084"/>
  <w15:chartTrackingRefBased/>
  <w15:docId w15:val="{33B9F667-0C75-4B11-89CF-220A5D7E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F63"/>
    <w:rPr>
      <w:kern w:val="2"/>
      <w14:ligatures w14:val="standardContextual"/>
    </w:rPr>
  </w:style>
  <w:style w:type="paragraph" w:styleId="Titre1">
    <w:name w:val="heading 1"/>
    <w:basedOn w:val="Normal"/>
    <w:next w:val="Normal"/>
    <w:link w:val="Titre1Car"/>
    <w:uiPriority w:val="9"/>
    <w:qFormat/>
    <w:rsid w:val="00D57F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D57F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D57F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D57F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D57F63"/>
    <w:pPr>
      <w:keepNext/>
      <w:keepLines/>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57F63"/>
    <w:pPr>
      <w:keepNext/>
      <w:keepLines/>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57F6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57F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57F6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JuHeader">
    <w:name w:val="Ju_Header"/>
    <w:aliases w:val="_Header"/>
    <w:basedOn w:val="En-tte"/>
    <w:uiPriority w:val="29"/>
    <w:qFormat/>
    <w:rsid w:val="00D57F63"/>
    <w:pPr>
      <w:tabs>
        <w:tab w:val="clear" w:pos="4536"/>
        <w:tab w:val="clear" w:pos="9072"/>
      </w:tabs>
      <w:jc w:val="center"/>
    </w:pPr>
    <w:rPr>
      <w:sz w:val="18"/>
    </w:rPr>
  </w:style>
  <w:style w:type="paragraph" w:customStyle="1" w:styleId="DecHTitle">
    <w:name w:val="Dec_H_Title"/>
    <w:aliases w:val="_Title_1"/>
    <w:basedOn w:val="JuPara"/>
    <w:next w:val="JuPara"/>
    <w:uiPriority w:val="38"/>
    <w:qFormat/>
    <w:rsid w:val="00D57F6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D57F63"/>
    <w:pPr>
      <w:keepNext/>
      <w:keepLines/>
      <w:tabs>
        <w:tab w:val="right" w:pos="7938"/>
      </w:tabs>
      <w:ind w:firstLine="0"/>
      <w:jc w:val="center"/>
    </w:pPr>
    <w:rPr>
      <w:i/>
    </w:rPr>
  </w:style>
  <w:style w:type="paragraph" w:customStyle="1" w:styleId="JuHHead">
    <w:name w:val="Ju_H_Head"/>
    <w:aliases w:val="_Head_1"/>
    <w:basedOn w:val="Titre1"/>
    <w:next w:val="JuPara"/>
    <w:uiPriority w:val="17"/>
    <w:qFormat/>
    <w:rsid w:val="00D57F63"/>
    <w:pPr>
      <w:numPr>
        <w:numId w:val="2"/>
      </w:numPr>
      <w:tabs>
        <w:tab w:val="num" w:pos="360"/>
      </w:tabs>
      <w:spacing w:before="100" w:beforeAutospacing="1" w:after="240" w:line="240" w:lineRule="auto"/>
      <w:jc w:val="both"/>
    </w:pPr>
    <w:rPr>
      <w:bCs/>
      <w:caps/>
      <w:color w:val="auto"/>
      <w:kern w:val="0"/>
      <w:sz w:val="28"/>
      <w:szCs w:val="28"/>
      <w14:ligatures w14:val="none"/>
    </w:rPr>
  </w:style>
  <w:style w:type="paragraph" w:customStyle="1" w:styleId="JuHIRoman">
    <w:name w:val="Ju_H_I_Roman"/>
    <w:aliases w:val="_Head_2"/>
    <w:basedOn w:val="Titre2"/>
    <w:next w:val="JuPara"/>
    <w:uiPriority w:val="17"/>
    <w:qFormat/>
    <w:rsid w:val="00D57F63"/>
    <w:pPr>
      <w:numPr>
        <w:ilvl w:val="1"/>
        <w:numId w:val="2"/>
      </w:numPr>
      <w:tabs>
        <w:tab w:val="num" w:pos="360"/>
        <w:tab w:val="left" w:pos="454"/>
        <w:tab w:val="left" w:pos="539"/>
        <w:tab w:val="left" w:pos="624"/>
        <w:tab w:val="left" w:pos="709"/>
        <w:tab w:val="left" w:pos="794"/>
      </w:tabs>
      <w:spacing w:before="100" w:beforeAutospacing="1" w:after="240" w:line="240" w:lineRule="auto"/>
      <w:ind w:left="0" w:firstLine="0"/>
      <w:jc w:val="both"/>
    </w:pPr>
    <w:rPr>
      <w:bCs/>
      <w:caps/>
      <w:color w:val="auto"/>
      <w:kern w:val="0"/>
      <w:sz w:val="24"/>
      <w14:ligatures w14:val="none"/>
    </w:rPr>
  </w:style>
  <w:style w:type="paragraph" w:customStyle="1" w:styleId="JuHA">
    <w:name w:val="Ju_H_A"/>
    <w:aliases w:val="_Head_3"/>
    <w:basedOn w:val="Titre3"/>
    <w:next w:val="JuPara"/>
    <w:uiPriority w:val="17"/>
    <w:qFormat/>
    <w:rsid w:val="00D57F63"/>
    <w:pPr>
      <w:numPr>
        <w:ilvl w:val="2"/>
        <w:numId w:val="2"/>
      </w:numPr>
      <w:tabs>
        <w:tab w:val="num" w:pos="360"/>
      </w:tabs>
      <w:spacing w:before="100" w:beforeAutospacing="1" w:after="240" w:line="240" w:lineRule="auto"/>
      <w:ind w:left="510" w:firstLine="0"/>
      <w:jc w:val="both"/>
    </w:pPr>
    <w:rPr>
      <w:b/>
      <w:bCs/>
      <w:color w:val="auto"/>
      <w:kern w:val="0"/>
      <w:szCs w:val="22"/>
      <w14:ligatures w14:val="none"/>
    </w:rPr>
  </w:style>
  <w:style w:type="paragraph" w:customStyle="1" w:styleId="JuH1">
    <w:name w:val="Ju_H_1."/>
    <w:aliases w:val="_Head_4"/>
    <w:basedOn w:val="Titre4"/>
    <w:next w:val="JuPara"/>
    <w:uiPriority w:val="17"/>
    <w:rsid w:val="00D57F63"/>
    <w:pPr>
      <w:numPr>
        <w:ilvl w:val="3"/>
        <w:numId w:val="2"/>
      </w:numPr>
      <w:tabs>
        <w:tab w:val="num" w:pos="360"/>
      </w:tabs>
      <w:spacing w:before="100" w:beforeAutospacing="1" w:after="120" w:line="240" w:lineRule="auto"/>
      <w:ind w:left="0" w:firstLine="0"/>
      <w:jc w:val="both"/>
    </w:pPr>
    <w:rPr>
      <w:bCs/>
      <w:color w:val="auto"/>
      <w:kern w:val="0"/>
      <w:sz w:val="24"/>
      <w14:ligatures w14:val="none"/>
    </w:rPr>
  </w:style>
  <w:style w:type="paragraph" w:styleId="En-tte">
    <w:name w:val="header"/>
    <w:basedOn w:val="Normal"/>
    <w:link w:val="En-tteCar"/>
    <w:uiPriority w:val="98"/>
    <w:semiHidden/>
    <w:rsid w:val="00D57F63"/>
    <w:pPr>
      <w:tabs>
        <w:tab w:val="center" w:pos="4536"/>
        <w:tab w:val="right" w:pos="9072"/>
      </w:tabs>
      <w:spacing w:after="0" w:line="240" w:lineRule="auto"/>
    </w:pPr>
    <w:rPr>
      <w:kern w:val="0"/>
      <w:sz w:val="24"/>
      <w:szCs w:val="24"/>
      <w14:ligatures w14:val="none"/>
    </w:rPr>
  </w:style>
  <w:style w:type="character" w:customStyle="1" w:styleId="En-tteCar">
    <w:name w:val="En-tête Car"/>
    <w:basedOn w:val="Policepardfaut"/>
    <w:link w:val="En-tte"/>
    <w:uiPriority w:val="98"/>
    <w:semiHidden/>
    <w:rsid w:val="00D57F63"/>
    <w:rPr>
      <w:sz w:val="24"/>
      <w:szCs w:val="24"/>
    </w:rPr>
  </w:style>
  <w:style w:type="paragraph" w:customStyle="1" w:styleId="JuHa0">
    <w:name w:val="Ju_H_a"/>
    <w:aliases w:val="_Head_5"/>
    <w:basedOn w:val="Titre5"/>
    <w:next w:val="JuPara"/>
    <w:uiPriority w:val="17"/>
    <w:rsid w:val="00D57F63"/>
    <w:pPr>
      <w:numPr>
        <w:ilvl w:val="4"/>
        <w:numId w:val="2"/>
      </w:numPr>
      <w:tabs>
        <w:tab w:val="num" w:pos="360"/>
      </w:tabs>
      <w:spacing w:before="100" w:beforeAutospacing="1" w:after="120" w:line="240" w:lineRule="auto"/>
      <w:ind w:left="0" w:firstLine="0"/>
      <w:jc w:val="both"/>
    </w:pPr>
    <w:rPr>
      <w:b/>
      <w:bCs/>
      <w:color w:val="auto"/>
      <w:kern w:val="0"/>
      <w:sz w:val="20"/>
      <w14:ligatures w14:val="none"/>
    </w:rPr>
  </w:style>
  <w:style w:type="paragraph" w:customStyle="1" w:styleId="JuHi">
    <w:name w:val="Ju_H_i"/>
    <w:aliases w:val="_Head_6"/>
    <w:basedOn w:val="Titre6"/>
    <w:next w:val="JuPara"/>
    <w:uiPriority w:val="17"/>
    <w:rsid w:val="00D57F63"/>
    <w:pPr>
      <w:numPr>
        <w:ilvl w:val="5"/>
        <w:numId w:val="2"/>
      </w:numPr>
      <w:tabs>
        <w:tab w:val="num" w:pos="360"/>
        <w:tab w:val="left" w:pos="1077"/>
        <w:tab w:val="left" w:pos="1134"/>
        <w:tab w:val="left" w:pos="1191"/>
        <w:tab w:val="left" w:pos="1247"/>
      </w:tabs>
      <w:spacing w:before="100" w:beforeAutospacing="1" w:after="120" w:line="271" w:lineRule="auto"/>
      <w:ind w:left="0" w:firstLine="0"/>
      <w:jc w:val="both"/>
    </w:pPr>
    <w:rPr>
      <w:bCs/>
      <w:i/>
      <w:iCs/>
      <w:color w:val="auto"/>
      <w:kern w:val="0"/>
      <w:sz w:val="20"/>
      <w:lang w:bidi="en-US"/>
      <w14:ligatures w14:val="none"/>
    </w:rPr>
  </w:style>
  <w:style w:type="paragraph" w:customStyle="1" w:styleId="JuHalpha">
    <w:name w:val="Ju_H_alpha"/>
    <w:aliases w:val="_Head_7"/>
    <w:basedOn w:val="Titre7"/>
    <w:next w:val="JuPara"/>
    <w:uiPriority w:val="17"/>
    <w:rsid w:val="00D57F63"/>
    <w:pPr>
      <w:numPr>
        <w:ilvl w:val="6"/>
        <w:numId w:val="2"/>
      </w:numPr>
      <w:tabs>
        <w:tab w:val="num" w:pos="360"/>
        <w:tab w:val="left" w:pos="1361"/>
      </w:tabs>
      <w:spacing w:before="100" w:beforeAutospacing="1" w:after="120" w:line="240" w:lineRule="auto"/>
      <w:ind w:left="0" w:firstLine="0"/>
      <w:jc w:val="both"/>
    </w:pPr>
    <w:rPr>
      <w:i w:val="0"/>
      <w:color w:val="auto"/>
      <w:kern w:val="0"/>
      <w:sz w:val="20"/>
      <w:lang w:bidi="en-US"/>
      <w14:ligatures w14:val="none"/>
    </w:rPr>
  </w:style>
  <w:style w:type="paragraph" w:customStyle="1" w:styleId="JuH">
    <w:name w:val="Ju_H_–"/>
    <w:aliases w:val="_Head_8"/>
    <w:basedOn w:val="Titre8"/>
    <w:next w:val="JuPara"/>
    <w:uiPriority w:val="17"/>
    <w:rsid w:val="00D57F63"/>
    <w:pPr>
      <w:numPr>
        <w:ilvl w:val="7"/>
        <w:numId w:val="2"/>
      </w:numPr>
      <w:tabs>
        <w:tab w:val="num" w:pos="360"/>
      </w:tabs>
      <w:spacing w:before="100" w:beforeAutospacing="1" w:after="120" w:line="240" w:lineRule="auto"/>
      <w:ind w:left="0" w:firstLine="0"/>
      <w:jc w:val="both"/>
    </w:pPr>
    <w:rPr>
      <w:i/>
      <w:color w:val="auto"/>
      <w:kern w:val="0"/>
      <w:sz w:val="20"/>
      <w:szCs w:val="20"/>
      <w:lang w:bidi="en-US"/>
      <w14:ligatures w14:val="none"/>
    </w:rPr>
  </w:style>
  <w:style w:type="paragraph" w:styleId="Pieddepage">
    <w:name w:val="footer"/>
    <w:basedOn w:val="Normal"/>
    <w:link w:val="PieddepageCar"/>
    <w:uiPriority w:val="98"/>
    <w:semiHidden/>
    <w:rsid w:val="00D57F63"/>
    <w:pPr>
      <w:tabs>
        <w:tab w:val="center" w:pos="3686"/>
        <w:tab w:val="right" w:pos="7371"/>
      </w:tabs>
      <w:spacing w:after="0" w:line="240" w:lineRule="auto"/>
    </w:pPr>
    <w:rPr>
      <w:kern w:val="0"/>
      <w:sz w:val="24"/>
      <w:szCs w:val="24"/>
      <w14:ligatures w14:val="none"/>
    </w:rPr>
  </w:style>
  <w:style w:type="character" w:customStyle="1" w:styleId="PieddepageCar">
    <w:name w:val="Pied de page Car"/>
    <w:basedOn w:val="Policepardfaut"/>
    <w:link w:val="Pieddepage"/>
    <w:uiPriority w:val="98"/>
    <w:semiHidden/>
    <w:rsid w:val="00D57F63"/>
    <w:rPr>
      <w:sz w:val="24"/>
      <w:szCs w:val="24"/>
    </w:rPr>
  </w:style>
  <w:style w:type="paragraph" w:customStyle="1" w:styleId="JuPara">
    <w:name w:val="Ju_Para"/>
    <w:aliases w:val="_Para"/>
    <w:basedOn w:val="Normal"/>
    <w:link w:val="JuParaChar"/>
    <w:uiPriority w:val="4"/>
    <w:qFormat/>
    <w:rsid w:val="00D57F63"/>
    <w:pPr>
      <w:spacing w:after="0" w:line="240" w:lineRule="auto"/>
      <w:ind w:firstLine="284"/>
      <w:jc w:val="both"/>
    </w:pPr>
    <w:rPr>
      <w:kern w:val="0"/>
      <w:sz w:val="24"/>
      <w:szCs w:val="24"/>
      <w14:ligatures w14:val="none"/>
    </w:rPr>
  </w:style>
  <w:style w:type="paragraph" w:customStyle="1" w:styleId="DecHCase">
    <w:name w:val="Dec_H_Case"/>
    <w:aliases w:val="_Title_3"/>
    <w:basedOn w:val="JuPara"/>
    <w:next w:val="JuPara"/>
    <w:uiPriority w:val="38"/>
    <w:qFormat/>
    <w:rsid w:val="00D57F6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D57F63"/>
    <w:pPr>
      <w:keepNext/>
      <w:keepLines/>
      <w:spacing w:before="1320" w:after="280" w:line="240" w:lineRule="auto"/>
      <w:contextualSpacing/>
      <w:jc w:val="center"/>
    </w:pPr>
    <w:rPr>
      <w:b/>
      <w:kern w:val="0"/>
      <w:sz w:val="24"/>
      <w:szCs w:val="24"/>
      <w14:ligatures w14:val="none"/>
    </w:rPr>
  </w:style>
  <w:style w:type="paragraph" w:customStyle="1" w:styleId="ECHRHeading9">
    <w:name w:val="ECHR_Heading_9"/>
    <w:aliases w:val="_Head_9"/>
    <w:basedOn w:val="Titre9"/>
    <w:uiPriority w:val="17"/>
    <w:semiHidden/>
    <w:rsid w:val="00D57F63"/>
    <w:pPr>
      <w:numPr>
        <w:ilvl w:val="8"/>
        <w:numId w:val="2"/>
      </w:numPr>
      <w:tabs>
        <w:tab w:val="num" w:pos="360"/>
      </w:tabs>
      <w:spacing w:before="100" w:beforeAutospacing="1" w:line="240" w:lineRule="auto"/>
      <w:ind w:left="0" w:firstLine="0"/>
      <w:contextualSpacing/>
      <w:jc w:val="both"/>
    </w:pPr>
    <w:rPr>
      <w:i w:val="0"/>
      <w:color w:val="auto"/>
      <w:spacing w:val="5"/>
      <w:kern w:val="0"/>
      <w:sz w:val="18"/>
      <w:szCs w:val="20"/>
      <w:lang w:bidi="en-US"/>
      <w14:ligatures w14:val="none"/>
    </w:rPr>
  </w:style>
  <w:style w:type="character" w:customStyle="1" w:styleId="JuParaChar">
    <w:name w:val="Ju_Para Char"/>
    <w:aliases w:val="_Para Char"/>
    <w:link w:val="JuPara"/>
    <w:uiPriority w:val="4"/>
    <w:rsid w:val="00D57F63"/>
    <w:rPr>
      <w:sz w:val="24"/>
      <w:szCs w:val="24"/>
    </w:rPr>
  </w:style>
  <w:style w:type="paragraph" w:customStyle="1" w:styleId="jupara0">
    <w:name w:val="jupara"/>
    <w:basedOn w:val="Normal"/>
    <w:rsid w:val="00D57F63"/>
    <w:pPr>
      <w:spacing w:after="0" w:line="240" w:lineRule="auto"/>
      <w:ind w:firstLine="284"/>
      <w:jc w:val="both"/>
    </w:pPr>
    <w:rPr>
      <w:rFonts w:ascii="Times New Roman" w:eastAsia="Times New Roman" w:hAnsi="Times New Roman" w:cs="Times New Roman"/>
      <w:kern w:val="0"/>
      <w:sz w:val="24"/>
      <w:szCs w:val="24"/>
      <w:lang w:val="en-GB" w:eastAsia="en-GB"/>
      <w14:ligatures w14:val="none"/>
    </w:rPr>
  </w:style>
  <w:style w:type="paragraph" w:customStyle="1" w:styleId="jucase">
    <w:name w:val="jucase"/>
    <w:basedOn w:val="Normal"/>
    <w:rsid w:val="00D57F63"/>
    <w:pPr>
      <w:spacing w:after="0" w:line="240" w:lineRule="auto"/>
      <w:ind w:firstLine="284"/>
      <w:jc w:val="both"/>
    </w:pPr>
    <w:rPr>
      <w:rFonts w:ascii="Times New Roman" w:eastAsia="Times New Roman" w:hAnsi="Times New Roman" w:cs="Times New Roman"/>
      <w:b/>
      <w:bCs/>
      <w:kern w:val="0"/>
      <w:sz w:val="24"/>
      <w:szCs w:val="24"/>
      <w:lang w:val="en-GB" w:eastAsia="en-GB"/>
      <w14:ligatures w14:val="none"/>
    </w:rPr>
  </w:style>
  <w:style w:type="character" w:customStyle="1" w:styleId="Titre1Car">
    <w:name w:val="Titre 1 Car"/>
    <w:basedOn w:val="Policepardfaut"/>
    <w:link w:val="Titre1"/>
    <w:uiPriority w:val="9"/>
    <w:rsid w:val="00D57F63"/>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itre2Car">
    <w:name w:val="Titre 2 Car"/>
    <w:basedOn w:val="Policepardfaut"/>
    <w:link w:val="Titre2"/>
    <w:uiPriority w:val="9"/>
    <w:semiHidden/>
    <w:rsid w:val="00D57F63"/>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Titre3Car">
    <w:name w:val="Titre 3 Car"/>
    <w:basedOn w:val="Policepardfaut"/>
    <w:link w:val="Titre3"/>
    <w:uiPriority w:val="9"/>
    <w:semiHidden/>
    <w:rsid w:val="00D57F63"/>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Titre4Car">
    <w:name w:val="Titre 4 Car"/>
    <w:basedOn w:val="Policepardfaut"/>
    <w:link w:val="Titre4"/>
    <w:uiPriority w:val="9"/>
    <w:semiHidden/>
    <w:rsid w:val="00D57F63"/>
    <w:rPr>
      <w:rFonts w:asciiTheme="majorHAnsi" w:eastAsiaTheme="majorEastAsia" w:hAnsiTheme="majorHAnsi" w:cstheme="majorBidi"/>
      <w:i/>
      <w:iCs/>
      <w:color w:val="2F5496" w:themeColor="accent1" w:themeShade="BF"/>
      <w:kern w:val="2"/>
      <w14:ligatures w14:val="standardContextual"/>
    </w:rPr>
  </w:style>
  <w:style w:type="character" w:customStyle="1" w:styleId="Titre5Car">
    <w:name w:val="Titre 5 Car"/>
    <w:basedOn w:val="Policepardfaut"/>
    <w:link w:val="Titre5"/>
    <w:uiPriority w:val="9"/>
    <w:semiHidden/>
    <w:rsid w:val="00D57F63"/>
    <w:rPr>
      <w:rFonts w:asciiTheme="majorHAnsi" w:eastAsiaTheme="majorEastAsia" w:hAnsiTheme="majorHAnsi" w:cstheme="majorBidi"/>
      <w:color w:val="2F5496" w:themeColor="accent1" w:themeShade="BF"/>
      <w:kern w:val="2"/>
      <w14:ligatures w14:val="standardContextual"/>
    </w:rPr>
  </w:style>
  <w:style w:type="character" w:customStyle="1" w:styleId="Titre6Car">
    <w:name w:val="Titre 6 Car"/>
    <w:basedOn w:val="Policepardfaut"/>
    <w:link w:val="Titre6"/>
    <w:uiPriority w:val="9"/>
    <w:semiHidden/>
    <w:rsid w:val="00D57F63"/>
    <w:rPr>
      <w:rFonts w:asciiTheme="majorHAnsi" w:eastAsiaTheme="majorEastAsia" w:hAnsiTheme="majorHAnsi" w:cstheme="majorBidi"/>
      <w:color w:val="1F3763" w:themeColor="accent1" w:themeShade="7F"/>
      <w:kern w:val="2"/>
      <w14:ligatures w14:val="standardContextual"/>
    </w:rPr>
  </w:style>
  <w:style w:type="character" w:customStyle="1" w:styleId="Titre7Car">
    <w:name w:val="Titre 7 Car"/>
    <w:basedOn w:val="Policepardfaut"/>
    <w:link w:val="Titre7"/>
    <w:uiPriority w:val="9"/>
    <w:semiHidden/>
    <w:rsid w:val="00D57F63"/>
    <w:rPr>
      <w:rFonts w:asciiTheme="majorHAnsi" w:eastAsiaTheme="majorEastAsia" w:hAnsiTheme="majorHAnsi" w:cstheme="majorBidi"/>
      <w:i/>
      <w:iCs/>
      <w:color w:val="1F3763" w:themeColor="accent1" w:themeShade="7F"/>
      <w:kern w:val="2"/>
      <w14:ligatures w14:val="standardContextual"/>
    </w:rPr>
  </w:style>
  <w:style w:type="character" w:customStyle="1" w:styleId="Titre8Car">
    <w:name w:val="Titre 8 Car"/>
    <w:basedOn w:val="Policepardfaut"/>
    <w:link w:val="Titre8"/>
    <w:uiPriority w:val="9"/>
    <w:semiHidden/>
    <w:rsid w:val="00D57F63"/>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Titre9Car">
    <w:name w:val="Titre 9 Car"/>
    <w:basedOn w:val="Policepardfaut"/>
    <w:link w:val="Titre9"/>
    <w:uiPriority w:val="9"/>
    <w:semiHidden/>
    <w:rsid w:val="00D57F63"/>
    <w:rPr>
      <w:rFonts w:asciiTheme="majorHAnsi" w:eastAsiaTheme="majorEastAsia" w:hAnsiTheme="majorHAnsi" w:cstheme="majorBidi"/>
      <w:i/>
      <w:iCs/>
      <w:color w:val="272727" w:themeColor="text1" w:themeTint="D8"/>
      <w:kern w:val="2"/>
      <w:sz w:val="21"/>
      <w:szCs w:val="21"/>
      <w14:ligatures w14:val="standardContextual"/>
    </w:rPr>
  </w:style>
  <w:style w:type="paragraph" w:styleId="Paragraphedeliste">
    <w:name w:val="List Paragraph"/>
    <w:basedOn w:val="Normal"/>
    <w:uiPriority w:val="34"/>
    <w:qFormat/>
    <w:rsid w:val="00D5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3084</Words>
  <Characters>16964</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20008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3</cp:revision>
  <dcterms:created xsi:type="dcterms:W3CDTF">2025-09-09T12:39:00Z</dcterms:created>
  <dcterms:modified xsi:type="dcterms:W3CDTF">2025-09-09T14:21:00Z</dcterms:modified>
</cp:coreProperties>
</file>