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A227" w14:textId="0DD24200" w:rsidR="003B26F5" w:rsidRPr="00FE4453" w:rsidRDefault="00260EE2" w:rsidP="00E07747">
      <w:pPr>
        <w:ind w:firstLine="284"/>
        <w:jc w:val="both"/>
        <w:rPr>
          <w:b/>
        </w:rPr>
      </w:pPr>
      <w:r>
        <w:rPr>
          <w:b/>
        </w:rPr>
        <w:t xml:space="preserve"> Chapter </w:t>
      </w:r>
      <w:proofErr w:type="gramStart"/>
      <w:r>
        <w:rPr>
          <w:b/>
        </w:rPr>
        <w:t>2:</w:t>
      </w:r>
      <w:proofErr w:type="gramEnd"/>
      <w:r>
        <w:rPr>
          <w:b/>
        </w:rPr>
        <w:t xml:space="preserve"> Judicial Review of Human Rights</w:t>
      </w:r>
    </w:p>
    <w:p w14:paraId="6B2DEE11" w14:textId="5AEAA16F" w:rsidR="00ED4FF9" w:rsidRPr="00D45F80" w:rsidRDefault="00ED4FF9" w:rsidP="00E07747">
      <w:pPr>
        <w:pStyle w:val="Retraitcorpsdetexte2"/>
        <w:spacing w:line="240" w:lineRule="auto"/>
        <w:jc w:val="both"/>
        <w:rPr>
          <w:szCs w:val="24"/>
        </w:rPr>
      </w:pPr>
    </w:p>
    <w:p w14:paraId="724B6323" w14:textId="77777777" w:rsidR="00884591" w:rsidRPr="00D45F80" w:rsidRDefault="00884591" w:rsidP="00E07747">
      <w:pPr>
        <w:ind w:firstLine="284"/>
        <w:jc w:val="both"/>
        <w:rPr>
          <w:b/>
        </w:rPr>
      </w:pPr>
      <w:r w:rsidRPr="00D45F80">
        <w:rPr>
          <w:b/>
        </w:rPr>
        <w:t>Section 2: Implementation of the review by the European Court of Human Rights</w:t>
      </w:r>
    </w:p>
    <w:p w14:paraId="724B6324" w14:textId="11479FFD" w:rsidR="00884591" w:rsidRPr="00D45F80" w:rsidRDefault="00884591" w:rsidP="00E07747">
      <w:pPr>
        <w:pStyle w:val="Retraitcorpsdetexte2"/>
        <w:spacing w:line="240" w:lineRule="auto"/>
        <w:jc w:val="both"/>
        <w:rPr>
          <w:szCs w:val="24"/>
        </w:rPr>
      </w:pPr>
      <w:r w:rsidRPr="00D45F80">
        <w:rPr>
          <w:szCs w:val="24"/>
        </w:rPr>
        <w:t xml:space="preserve">The European Court did not confine itself, as it could have done, to applying the Convention to the letter. It has seized on this text to make it a living instrument adapted to our time of effective protection of human rights. </w:t>
      </w:r>
    </w:p>
    <w:p w14:paraId="724B6325" w14:textId="77777777" w:rsidR="00884591" w:rsidRPr="00D45F80" w:rsidRDefault="00884591" w:rsidP="00E07747">
      <w:pPr>
        <w:pStyle w:val="Retraitcorpsdetexte2"/>
        <w:spacing w:line="240" w:lineRule="auto"/>
        <w:jc w:val="both"/>
        <w:rPr>
          <w:szCs w:val="24"/>
        </w:rPr>
      </w:pPr>
      <w:r w:rsidRPr="00D45F80">
        <w:rPr>
          <w:szCs w:val="24"/>
        </w:rPr>
        <w:t xml:space="preserve">The dynamic interpretation of the Convention has enabled the Court to broaden the scope of the Convention. It was made possible by a number of techniques invented by the Court and specific to its reasoning. </w:t>
      </w:r>
    </w:p>
    <w:p w14:paraId="724B6327" w14:textId="5F82AB4B" w:rsidR="00884591" w:rsidRPr="00D45F80" w:rsidRDefault="00AA5932" w:rsidP="00E07747">
      <w:pPr>
        <w:pStyle w:val="Retraitcorpsdetexte2"/>
        <w:spacing w:line="240" w:lineRule="auto"/>
        <w:jc w:val="both"/>
        <w:rPr>
          <w:szCs w:val="24"/>
        </w:rPr>
      </w:pPr>
      <w:r>
        <w:rPr>
          <w:szCs w:val="24"/>
        </w:rPr>
        <w:t>The law of the European Convention on Human Rights is a jurisprudential law because, in the end, the interpretation that the European Court makes of the treaty is more important in quantity and value than the text. It is because the law of the European Convention is a case law that the interpretative techniques used by the court are so important and even indispensable for the knowledge and understanding of this matter. These methods are the vectors, the means used by the Strasbourg judges to ensure the application of the European Convention and to fulfil the objectives that the Council of Europe had at the time of the drafting of the Convention and has always had: to ensure the recognition of human rights and fundamental rights in all member countries in a uniform manner,  while respecting the sovereignty of these same countries.</w:t>
      </w:r>
    </w:p>
    <w:p w14:paraId="724B6328" w14:textId="77777777" w:rsidR="00884591" w:rsidRPr="00D45F80" w:rsidRDefault="00884591" w:rsidP="00E07747">
      <w:pPr>
        <w:pStyle w:val="Retraitcorpsdetexte2"/>
        <w:spacing w:line="240" w:lineRule="auto"/>
        <w:jc w:val="both"/>
        <w:rPr>
          <w:szCs w:val="24"/>
        </w:rPr>
      </w:pPr>
      <w:r w:rsidRPr="00D45F80">
        <w:rPr>
          <w:szCs w:val="24"/>
        </w:rPr>
        <w:t>The techniques of interpretation of the European Convention can be classified and studied according to these two objectives which, despite what one might think, are not contradictory: the effectiveness of the European Convention and its subsidiarity.</w:t>
      </w:r>
    </w:p>
    <w:p w14:paraId="4EEFD1D6" w14:textId="77777777" w:rsidR="00A46870" w:rsidRDefault="00A46870" w:rsidP="00E07747">
      <w:pPr>
        <w:pStyle w:val="Retraitcorpsdetexte2"/>
        <w:spacing w:line="240" w:lineRule="auto"/>
        <w:jc w:val="both"/>
        <w:rPr>
          <w:szCs w:val="24"/>
        </w:rPr>
      </w:pPr>
    </w:p>
    <w:p w14:paraId="1C4CD83E" w14:textId="74AFEA3F" w:rsidR="00E07747" w:rsidRDefault="00E07747">
      <w:r>
        <w:br w:type="page"/>
      </w:r>
    </w:p>
    <w:p w14:paraId="1BBA6A7A" w14:textId="74AFEA3F" w:rsidR="00091005" w:rsidRPr="00D45F80" w:rsidRDefault="00091005" w:rsidP="00E07747">
      <w:pPr>
        <w:pStyle w:val="Retraitcorpsdetexte2"/>
        <w:spacing w:line="240" w:lineRule="auto"/>
        <w:ind w:firstLine="0"/>
        <w:jc w:val="both"/>
        <w:rPr>
          <w:szCs w:val="24"/>
        </w:rPr>
      </w:pPr>
    </w:p>
    <w:p w14:paraId="724B632A" w14:textId="468480E7" w:rsidR="00884591" w:rsidRDefault="00AD3026" w:rsidP="00E07747">
      <w:pPr>
        <w:pStyle w:val="Retraitcorpsdetexte2"/>
        <w:spacing w:line="240" w:lineRule="auto"/>
        <w:jc w:val="both"/>
        <w:rPr>
          <w:b/>
          <w:szCs w:val="24"/>
        </w:rPr>
      </w:pPr>
      <w:r w:rsidRPr="00D45F80">
        <w:rPr>
          <w:b/>
          <w:szCs w:val="24"/>
        </w:rPr>
        <w:t>§1. Interpreting techniques to ensure the effectiveness of the European Convention on Human Rights</w:t>
      </w:r>
    </w:p>
    <w:p w14:paraId="64520372" w14:textId="77777777" w:rsidR="00E07747" w:rsidRPr="00D45F80" w:rsidRDefault="00E07747" w:rsidP="00E07747">
      <w:pPr>
        <w:pStyle w:val="Retraitcorpsdetexte2"/>
        <w:spacing w:line="240" w:lineRule="auto"/>
        <w:jc w:val="both"/>
        <w:rPr>
          <w:b/>
          <w:szCs w:val="24"/>
        </w:rPr>
      </w:pPr>
    </w:p>
    <w:p w14:paraId="40916287" w14:textId="19552D36" w:rsidR="00E86ED2" w:rsidRDefault="00884591" w:rsidP="00E07747">
      <w:pPr>
        <w:pStyle w:val="Retraitcorpsdetexte2"/>
        <w:spacing w:line="240" w:lineRule="auto"/>
        <w:jc w:val="both"/>
        <w:rPr>
          <w:szCs w:val="24"/>
        </w:rPr>
      </w:pPr>
      <w:bookmarkStart w:id="0" w:name="_Hlk208311701"/>
      <w:r w:rsidRPr="00D45F80">
        <w:rPr>
          <w:szCs w:val="24"/>
        </w:rPr>
        <w:t>The search for effectiveness is a fundamental element for the European judge, which it clearly and frequently affirms: Airey v. Ireland of 9 October 1979: "</w:t>
      </w:r>
      <w:r w:rsidRPr="00003BCC">
        <w:rPr>
          <w:b/>
          <w:bCs/>
          <w:szCs w:val="24"/>
        </w:rPr>
        <w:t>the purpose of the Convention is not to protect rights that are not theoretical or illusory, but concrete and effective</w:t>
      </w:r>
      <w:r w:rsidR="00EE35AC">
        <w:rPr>
          <w:szCs w:val="24"/>
        </w:rPr>
        <w:t xml:space="preserve">" </w:t>
      </w:r>
    </w:p>
    <w:p w14:paraId="73B42E5B" w14:textId="62634CAC" w:rsidR="00E07747" w:rsidRDefault="00E07747" w:rsidP="00E07747">
      <w:pPr>
        <w:pStyle w:val="Retraitcorpsdetexte2"/>
        <w:spacing w:line="240" w:lineRule="auto"/>
        <w:jc w:val="both"/>
        <w:rPr>
          <w:szCs w:val="24"/>
        </w:rPr>
      </w:pPr>
    </w:p>
    <w:p w14:paraId="168146D1" w14:textId="77777777" w:rsidR="00E07747" w:rsidRDefault="00E07747" w:rsidP="00E07747">
      <w:pPr>
        <w:pStyle w:val="Retraitcorpsdetexte2"/>
        <w:spacing w:line="240" w:lineRule="auto"/>
        <w:jc w:val="both"/>
        <w:rPr>
          <w:szCs w:val="24"/>
        </w:rPr>
      </w:pPr>
    </w:p>
    <w:p w14:paraId="7BF1ABEE" w14:textId="77777777" w:rsidR="00471B96" w:rsidRDefault="00471B96" w:rsidP="00E07747">
      <w:pPr>
        <w:pStyle w:val="JuPara"/>
        <w:pBdr>
          <w:top w:val="single" w:sz="4" w:space="1" w:color="auto"/>
          <w:left w:val="single" w:sz="4" w:space="4" w:color="auto"/>
          <w:bottom w:val="single" w:sz="4" w:space="1" w:color="auto"/>
          <w:right w:val="single" w:sz="4" w:space="4" w:color="auto"/>
        </w:pBdr>
      </w:pPr>
    </w:p>
    <w:p w14:paraId="2A71E8A2" w14:textId="1E1DE548" w:rsidR="008F2C17" w:rsidRDefault="008F2C17" w:rsidP="00E07747">
      <w:pPr>
        <w:pStyle w:val="JuPara"/>
        <w:pBdr>
          <w:top w:val="single" w:sz="4" w:space="1" w:color="auto"/>
          <w:left w:val="single" w:sz="4" w:space="4" w:color="auto"/>
          <w:bottom w:val="single" w:sz="4" w:space="1" w:color="auto"/>
          <w:right w:val="single" w:sz="4" w:space="4" w:color="auto"/>
        </w:pBdr>
      </w:pPr>
      <w:r>
        <w:t xml:space="preserve">22. "Article 6 para. 6-1) guarantees everyone the right to have any dispute relating to his or her civil rights and obligations heard by a court" (Golder, cited above, p. 18, para. 36). He therefore understands the right of Mrs Airey to have access to the High Court to </w:t>
      </w:r>
      <w:proofErr w:type="spellStart"/>
      <w:r>
        <w:t>seek</w:t>
      </w:r>
      <w:proofErr w:type="spellEnd"/>
      <w:r>
        <w:t xml:space="preserve"> </w:t>
      </w:r>
      <w:proofErr w:type="spellStart"/>
      <w:r>
        <w:t>judicial</w:t>
      </w:r>
      <w:proofErr w:type="spellEnd"/>
      <w:r>
        <w:t xml:space="preserve"> </w:t>
      </w:r>
      <w:proofErr w:type="spellStart"/>
      <w:r>
        <w:t>separation</w:t>
      </w:r>
      <w:proofErr w:type="spellEnd"/>
      <w:r>
        <w:t>.</w:t>
      </w:r>
    </w:p>
    <w:p w14:paraId="7D8B666F" w14:textId="66B1CC21" w:rsidR="008F2C17" w:rsidRDefault="00DB6738" w:rsidP="00E07747">
      <w:pPr>
        <w:pStyle w:val="JuPara"/>
        <w:pBdr>
          <w:top w:val="single" w:sz="4" w:space="1" w:color="auto"/>
          <w:left w:val="single" w:sz="4" w:space="4" w:color="auto"/>
          <w:bottom w:val="single" w:sz="4" w:space="1" w:color="auto"/>
          <w:right w:val="single" w:sz="4" w:space="4" w:color="auto"/>
        </w:pBdr>
      </w:pPr>
      <w:r>
        <w:t xml:space="preserve">Judicial separation is a remedy provided for by Irish legislation and must, as such, be available to anyone who satisfies the conditions laid down by that law. The choice of the legal remedy to be used depends on the individual; therefore, even if it were true that Ms Airey opted for a less appropriate recourse than others to her personal situation, that would </w:t>
      </w:r>
      <w:proofErr w:type="spellStart"/>
      <w:r>
        <w:t>remain</w:t>
      </w:r>
      <w:proofErr w:type="spellEnd"/>
      <w:r>
        <w:t xml:space="preserve"> of no </w:t>
      </w:r>
      <w:proofErr w:type="spellStart"/>
      <w:r>
        <w:t>consequence</w:t>
      </w:r>
      <w:proofErr w:type="spellEnd"/>
      <w:r>
        <w:t>.</w:t>
      </w:r>
    </w:p>
    <w:p w14:paraId="73C2E4FE" w14:textId="61744683" w:rsidR="008F2C17" w:rsidRDefault="00AE78E4" w:rsidP="00E07747">
      <w:pPr>
        <w:pStyle w:val="JuPara"/>
        <w:pBdr>
          <w:top w:val="single" w:sz="4" w:space="1" w:color="auto"/>
          <w:left w:val="single" w:sz="4" w:space="4" w:color="auto"/>
          <w:bottom w:val="single" w:sz="4" w:space="1" w:color="auto"/>
          <w:right w:val="single" w:sz="4" w:space="4" w:color="auto"/>
        </w:pBdr>
      </w:pPr>
      <w:r>
        <w:t xml:space="preserve">The purpose of the Convention is to protect rights that are not theoretical or illusory, but concrete and effective. This is particularly true of the right of access to the courts, given the prominent place that the right to a fair trial occupies in a democratic society. It is therefore necessary to consider whether an appearance before the High Court without the assistance of counsel would be effective, in the sense that Ms Airey could present her case </w:t>
      </w:r>
      <w:proofErr w:type="spellStart"/>
      <w:r>
        <w:t>adequately</w:t>
      </w:r>
      <w:proofErr w:type="spellEnd"/>
      <w:r>
        <w:t xml:space="preserve"> and </w:t>
      </w:r>
      <w:proofErr w:type="spellStart"/>
      <w:r>
        <w:t>satisfactorily</w:t>
      </w:r>
      <w:proofErr w:type="spellEnd"/>
      <w:r>
        <w:t>.</w:t>
      </w:r>
    </w:p>
    <w:p w14:paraId="6FF83595" w14:textId="77777777" w:rsidR="008F2C17" w:rsidRPr="00ED1B3B" w:rsidRDefault="008F2C17" w:rsidP="00E07747">
      <w:pPr>
        <w:pStyle w:val="JuPara"/>
        <w:pBdr>
          <w:top w:val="single" w:sz="4" w:space="1" w:color="auto"/>
          <w:left w:val="single" w:sz="4" w:space="4" w:color="auto"/>
          <w:bottom w:val="single" w:sz="4" w:space="1" w:color="auto"/>
          <w:right w:val="single" w:sz="4" w:space="4" w:color="auto"/>
        </w:pBdr>
      </w:pPr>
      <w:r w:rsidRPr="00ED1B3B">
        <w:t>In Ireland, a judgment of legal separation is not obtained in a district court, where the procedure is relatively simple, but in the High Court. An expert in Irish family law, Mr Alan J. Shatter, considers this jurisdiction to be the least accessible of all, not only because of the very high fees to be paid for representation, but also because of the complexity of the procedure to be followed in bringing an action, in particular on petition as here (Family Law in the Republic of Ireland,  Dublin 1977, p. 21).</w:t>
      </w:r>
    </w:p>
    <w:p w14:paraId="202C99C1" w14:textId="77777777" w:rsidR="008F2C17" w:rsidRDefault="008F2C17" w:rsidP="00E07747">
      <w:pPr>
        <w:pStyle w:val="JuPara"/>
        <w:pBdr>
          <w:top w:val="single" w:sz="4" w:space="1" w:color="auto"/>
          <w:left w:val="single" w:sz="4" w:space="4" w:color="auto"/>
          <w:bottom w:val="single" w:sz="4" w:space="1" w:color="auto"/>
          <w:right w:val="single" w:sz="4" w:space="4" w:color="auto"/>
        </w:pBdr>
      </w:pPr>
      <w:r>
        <w:t xml:space="preserve">Moreover, such a trial, regardless of the delicate legal problems involved, requires proof of adultery, unnatural practices or, as in the present case, cruelty; In order to establish the facts, it may be necessary to take the testimony of experts, to search for witnesses, to call them and to examine them. Moreover, disputes between spouses often arouse a passion that is not compatible with the degree of objectivity required to </w:t>
      </w:r>
      <w:proofErr w:type="spellStart"/>
      <w:r>
        <w:t>plead</w:t>
      </w:r>
      <w:proofErr w:type="spellEnd"/>
      <w:r>
        <w:t xml:space="preserve"> in court.</w:t>
      </w:r>
    </w:p>
    <w:p w14:paraId="00C0B4E8" w14:textId="1FC8BEC1" w:rsidR="008F2C17" w:rsidRDefault="00AE78E4" w:rsidP="00E07747">
      <w:pPr>
        <w:pStyle w:val="JuPara"/>
        <w:pBdr>
          <w:top w:val="single" w:sz="4" w:space="1" w:color="auto"/>
          <w:left w:val="single" w:sz="4" w:space="4" w:color="auto"/>
          <w:bottom w:val="single" w:sz="4" w:space="1" w:color="auto"/>
          <w:right w:val="single" w:sz="4" w:space="4" w:color="auto"/>
        </w:pBdr>
      </w:pPr>
      <w:r>
        <w:t>For these reasons, the Court considers it highly unlikely that a person in Mrs Airey's position (see paragraph 8 above) would be able to defend his or her own case effectively. The Court infers from this that the possibility of appearing in person before the High Court does not give the applicant an effective right of access.</w:t>
      </w:r>
    </w:p>
    <w:p w14:paraId="35E5C674" w14:textId="24EF1B0E" w:rsidR="008F2C17" w:rsidRDefault="008F2C17" w:rsidP="00E07747">
      <w:pPr>
        <w:pStyle w:val="JuPara"/>
        <w:pBdr>
          <w:top w:val="single" w:sz="4" w:space="1" w:color="auto"/>
          <w:left w:val="single" w:sz="4" w:space="4" w:color="auto"/>
          <w:bottom w:val="single" w:sz="4" w:space="1" w:color="auto"/>
          <w:right w:val="single" w:sz="4" w:space="4" w:color="auto"/>
        </w:pBdr>
      </w:pPr>
      <w:r>
        <w:t xml:space="preserve">A de facto obstacle may violate the Convention in the same way as a legal obstacle (see Golder, cited above, p. 13, para. 26). </w:t>
      </w:r>
    </w:p>
    <w:p w14:paraId="251831A7" w14:textId="77777777" w:rsidR="008F2C17" w:rsidRDefault="008F2C17" w:rsidP="00E07747">
      <w:pPr>
        <w:pStyle w:val="JuPara"/>
        <w:pBdr>
          <w:top w:val="single" w:sz="4" w:space="1" w:color="auto"/>
          <w:left w:val="single" w:sz="4" w:space="4" w:color="auto"/>
          <w:bottom w:val="single" w:sz="4" w:space="1" w:color="auto"/>
          <w:right w:val="single" w:sz="4" w:space="4" w:color="auto"/>
        </w:pBdr>
      </w:pPr>
      <w:r>
        <w:t>In addition, article 6 (1) (art. 6-1), while guaranteeing litigants an effective right of access to the courts for decisions relating to their "rights and obligations at law", leaves it to the State to choose the means to be used to that end. The introduction of a legal aid system - now envisaged by Ireland for family law cases (see paragraph 11 above) - is one of them, but there are others, such as a simplification of the procedure. In any event, it is not for the Court to dictate the measures to be taken, or even to indicate them; the Convention merely requires that the individual enjoy his or her effective right of access to justice in a manner not contrary to article 6 para. 6-1) (see, mutatis mutandis, the judgment of 27 October 1975, Series A no. 19, p. 18, para. 39, and the Marckx judgment cited above, p. 15, para. 31).</w:t>
      </w:r>
    </w:p>
    <w:p w14:paraId="2C35959B" w14:textId="77777777" w:rsidR="008F2C17" w:rsidRDefault="008F2C17" w:rsidP="00E07747">
      <w:pPr>
        <w:pStyle w:val="JuPara"/>
        <w:pBdr>
          <w:top w:val="single" w:sz="4" w:space="1" w:color="auto"/>
          <w:left w:val="single" w:sz="4" w:space="4" w:color="auto"/>
          <w:bottom w:val="single" w:sz="4" w:space="1" w:color="auto"/>
          <w:right w:val="single" w:sz="4" w:space="4" w:color="auto"/>
        </w:pBdr>
      </w:pPr>
      <w:r>
        <w:t>The conclusion at the end of paragraph 24 above does not, therefore, imply that the State must provide free legal aid in any dispute involving a "right at law".</w:t>
      </w:r>
    </w:p>
    <w:p w14:paraId="1EB92F28" w14:textId="77777777" w:rsidR="008F2C17" w:rsidRDefault="008F2C17" w:rsidP="00E07747">
      <w:pPr>
        <w:pStyle w:val="JuPara"/>
        <w:pBdr>
          <w:top w:val="single" w:sz="4" w:space="1" w:color="auto"/>
          <w:left w:val="single" w:sz="4" w:space="4" w:color="auto"/>
          <w:bottom w:val="single" w:sz="4" w:space="1" w:color="auto"/>
          <w:right w:val="single" w:sz="4" w:space="4" w:color="auto"/>
        </w:pBdr>
      </w:pPr>
      <w:r>
        <w:lastRenderedPageBreak/>
        <w:t>To affirm the existence of such a broad obligation, the Court admits, would be difficult to reconcile with the fact that the Convention does not contain any clause on legal aid for the latter disputes, Article 6 para. 3 (c) (art. 6-3-c) dealing only with criminal matters. However, despite the absence of a similar text for civil suits, article 6 para. 6 (1) may sometimes require the State to provide for the assistance of a member of the bar when it is essential for effective access to the court, either because the law requires representation by a lawyer, as the national law of some Contracting States does for various categories of disputes, or because of the complexity of the proceedings or case.</w:t>
      </w:r>
    </w:p>
    <w:p w14:paraId="20D53E75" w14:textId="14A6FA34" w:rsidR="008F2C17" w:rsidRDefault="008F2C17" w:rsidP="00E07747">
      <w:pPr>
        <w:pStyle w:val="JuPara"/>
        <w:pBdr>
          <w:top w:val="single" w:sz="4" w:space="1" w:color="auto"/>
          <w:left w:val="single" w:sz="4" w:space="4" w:color="auto"/>
          <w:bottom w:val="single" w:sz="4" w:space="1" w:color="auto"/>
          <w:right w:val="single" w:sz="4" w:space="4" w:color="auto"/>
        </w:pBdr>
      </w:pPr>
      <w:r>
        <w:t xml:space="preserve">27. The applicant has not been able to find a solicitor who is willing to act for her in proceedings for separation from bed and board. If the lawyers consulted by it did not consent, the Commission presumes, it is because it could not have borne the necessary costs. </w:t>
      </w:r>
    </w:p>
    <w:p w14:paraId="2FC9E51F" w14:textId="77777777" w:rsidR="008F2C17" w:rsidRDefault="008F2C17" w:rsidP="00E07747">
      <w:pPr>
        <w:pStyle w:val="JuPara"/>
        <w:pBdr>
          <w:top w:val="single" w:sz="4" w:space="1" w:color="auto"/>
          <w:left w:val="single" w:sz="4" w:space="4" w:color="auto"/>
          <w:bottom w:val="single" w:sz="4" w:space="1" w:color="auto"/>
          <w:right w:val="single" w:sz="4" w:space="4" w:color="auto"/>
        </w:pBdr>
      </w:pPr>
      <w:r>
        <w:t>28. The Court thus finds, in the light of all the circumstances of the case, that Ms Airey did not have a right of effective access to the High Court in order to apply for a judgment on legal separation. Accordingly, there has been a violation of Article 6 para. 1 (art. 6-1).</w:t>
      </w:r>
    </w:p>
    <w:p w14:paraId="6F67AF33" w14:textId="386A312B" w:rsidR="008F2C17" w:rsidRDefault="005E62A2" w:rsidP="00E07747">
      <w:pPr>
        <w:pStyle w:val="JuList"/>
        <w:pBdr>
          <w:top w:val="single" w:sz="4" w:space="1" w:color="auto"/>
          <w:left w:val="single" w:sz="4" w:space="4" w:color="auto"/>
          <w:bottom w:val="single" w:sz="4" w:space="1" w:color="auto"/>
          <w:right w:val="single" w:sz="4" w:space="4" w:color="auto"/>
        </w:pBdr>
        <w:ind w:left="0" w:firstLine="284"/>
      </w:pPr>
      <w:r>
        <w:t>4. Holds by five votes to two that there has been a violation of Article 6 para. 6-1) of the Convention, considered in isolation.</w:t>
      </w:r>
    </w:p>
    <w:p w14:paraId="2138145C" w14:textId="77777777" w:rsidR="00F826D0" w:rsidRDefault="00F826D0" w:rsidP="00E07747">
      <w:pPr>
        <w:pStyle w:val="Retraitcorpsdetexte2"/>
        <w:spacing w:line="240" w:lineRule="auto"/>
        <w:jc w:val="both"/>
        <w:rPr>
          <w:szCs w:val="24"/>
          <w:highlight w:val="yellow"/>
        </w:rPr>
      </w:pPr>
    </w:p>
    <w:p w14:paraId="4301EFC6" w14:textId="37826A62" w:rsidR="002D5BA9" w:rsidRPr="0069586D" w:rsidRDefault="008E0305" w:rsidP="00E07747">
      <w:pPr>
        <w:pStyle w:val="Retraitcorpsdetexte2"/>
        <w:spacing w:line="240" w:lineRule="auto"/>
        <w:jc w:val="both"/>
        <w:rPr>
          <w:szCs w:val="24"/>
          <w:highlight w:val="yellow"/>
        </w:rPr>
      </w:pPr>
      <w:r w:rsidRPr="0069586D">
        <w:rPr>
          <w:szCs w:val="24"/>
          <w:highlight w:val="yellow"/>
        </w:rPr>
        <w:t>- What right is alleged to have been infringed?</w:t>
      </w:r>
    </w:p>
    <w:p w14:paraId="3C5F1061" w14:textId="57DDB9D6" w:rsidR="008E0305" w:rsidRPr="0069586D" w:rsidRDefault="008E0305" w:rsidP="00E07747">
      <w:pPr>
        <w:pStyle w:val="Retraitcorpsdetexte2"/>
        <w:spacing w:line="240" w:lineRule="auto"/>
        <w:jc w:val="both"/>
        <w:rPr>
          <w:szCs w:val="24"/>
          <w:highlight w:val="yellow"/>
        </w:rPr>
      </w:pPr>
      <w:r w:rsidRPr="0069586D">
        <w:rPr>
          <w:szCs w:val="24"/>
          <w:highlight w:val="yellow"/>
        </w:rPr>
        <w:t>- What is this violation?</w:t>
      </w:r>
    </w:p>
    <w:p w14:paraId="5E0FA29F" w14:textId="70FD362F" w:rsidR="008B4C99" w:rsidRPr="0069586D" w:rsidRDefault="008B4C99" w:rsidP="00E07747">
      <w:pPr>
        <w:pStyle w:val="Retraitcorpsdetexte2"/>
        <w:spacing w:line="240" w:lineRule="auto"/>
        <w:jc w:val="both"/>
        <w:rPr>
          <w:szCs w:val="24"/>
          <w:highlight w:val="yellow"/>
        </w:rPr>
      </w:pPr>
      <w:r w:rsidRPr="0069586D">
        <w:rPr>
          <w:szCs w:val="24"/>
          <w:highlight w:val="yellow"/>
        </w:rPr>
        <w:t xml:space="preserve">- To find in the text the symbolic affirmation of the requirement of the effectiveness of rights </w:t>
      </w:r>
    </w:p>
    <w:p w14:paraId="1F988394" w14:textId="2CAD7DB5" w:rsidR="0077779D" w:rsidRDefault="0077779D" w:rsidP="00E07747">
      <w:pPr>
        <w:pStyle w:val="Retraitcorpsdetexte2"/>
        <w:spacing w:line="240" w:lineRule="auto"/>
        <w:jc w:val="both"/>
        <w:rPr>
          <w:szCs w:val="24"/>
        </w:rPr>
      </w:pPr>
      <w:r w:rsidRPr="0069586D">
        <w:rPr>
          <w:szCs w:val="24"/>
          <w:highlight w:val="yellow"/>
        </w:rPr>
        <w:t>- What were the obstacles to the effectiveness of the right in question in this judgment?</w:t>
      </w:r>
    </w:p>
    <w:bookmarkEnd w:id="0"/>
    <w:p w14:paraId="1DBB7602" w14:textId="78867BB7" w:rsidR="0069586D" w:rsidRPr="00D45F80" w:rsidRDefault="006C3A85" w:rsidP="00E07747">
      <w:pPr>
        <w:ind w:firstLine="284"/>
      </w:pPr>
      <w:r>
        <w:br w:type="page"/>
      </w:r>
    </w:p>
    <w:p w14:paraId="60CA397A" w14:textId="2D39C22E" w:rsidR="00286E5D" w:rsidRDefault="00D964E0" w:rsidP="00E07747">
      <w:pPr>
        <w:pStyle w:val="Retraitcorpsdetexte2"/>
        <w:numPr>
          <w:ilvl w:val="0"/>
          <w:numId w:val="25"/>
        </w:numPr>
        <w:spacing w:line="240" w:lineRule="auto"/>
        <w:jc w:val="both"/>
        <w:rPr>
          <w:b/>
          <w:bCs/>
          <w:szCs w:val="24"/>
        </w:rPr>
      </w:pPr>
      <w:r w:rsidRPr="00D964E0">
        <w:rPr>
          <w:b/>
          <w:bCs/>
          <w:szCs w:val="24"/>
        </w:rPr>
        <w:lastRenderedPageBreak/>
        <w:t xml:space="preserve">Evolutionary interpretation </w:t>
      </w:r>
    </w:p>
    <w:p w14:paraId="27F91DAF" w14:textId="77777777" w:rsidR="00E07747" w:rsidRPr="00D964E0" w:rsidRDefault="00E07747" w:rsidP="00E07747">
      <w:pPr>
        <w:pStyle w:val="Retraitcorpsdetexte2"/>
        <w:spacing w:line="240" w:lineRule="auto"/>
        <w:jc w:val="both"/>
        <w:rPr>
          <w:b/>
          <w:bCs/>
          <w:szCs w:val="24"/>
        </w:rPr>
      </w:pPr>
    </w:p>
    <w:p w14:paraId="724B632E" w14:textId="4154799C" w:rsidR="00884591" w:rsidRDefault="00884591" w:rsidP="00E07747">
      <w:pPr>
        <w:pStyle w:val="Retraitcorpsdetexte2"/>
        <w:pBdr>
          <w:top w:val="single" w:sz="4" w:space="1" w:color="auto"/>
          <w:left w:val="single" w:sz="4" w:space="4" w:color="auto"/>
          <w:bottom w:val="single" w:sz="4" w:space="1" w:color="auto"/>
          <w:right w:val="single" w:sz="4" w:space="4" w:color="auto"/>
        </w:pBdr>
        <w:spacing w:line="240" w:lineRule="auto"/>
        <w:jc w:val="both"/>
        <w:rPr>
          <w:szCs w:val="24"/>
        </w:rPr>
      </w:pPr>
      <w:r w:rsidRPr="00D45F80">
        <w:rPr>
          <w:szCs w:val="24"/>
        </w:rPr>
        <w:t>Excerpt from Goddwin: 74. "Without the Court being formally obliged to follow its previous judgments, it is in the interests of legal certainty, foreseeability and equality before the law that it should not depart from its own precedents without good reason. However, since the Convention is primarily a mechanism for the protection of human rights, the Court must take account of developments in the respondent State and in the Contracting States in general and react, for example, to any consensus that may emerge as to the standards to be attained. It is of crucial importance that the Convention be interpreted and applied in a manner that renders its guarantees concrete and effective, and not theoretical and illusory. If the Court were to fail to maintain a dynamic and evolving approach, such an attitude could impede any reform or improvement. »</w:t>
      </w:r>
    </w:p>
    <w:p w14:paraId="4B6BB578" w14:textId="77777777" w:rsidR="00D45B4D" w:rsidRPr="00D45F80" w:rsidRDefault="00D45B4D" w:rsidP="00E07747">
      <w:pPr>
        <w:pStyle w:val="Retraitcorpsdetexte2"/>
        <w:spacing w:line="240" w:lineRule="auto"/>
        <w:jc w:val="both"/>
        <w:rPr>
          <w:szCs w:val="24"/>
        </w:rPr>
      </w:pPr>
    </w:p>
    <w:p w14:paraId="724B6332" w14:textId="396597C8" w:rsidR="00884591" w:rsidRDefault="007F11FC" w:rsidP="00E07747">
      <w:pPr>
        <w:pStyle w:val="Retraitcorpsdetexte2"/>
        <w:spacing w:line="240" w:lineRule="auto"/>
        <w:jc w:val="both"/>
        <w:rPr>
          <w:szCs w:val="24"/>
        </w:rPr>
      </w:pPr>
      <w:r w:rsidRPr="00D45F80">
        <w:rPr>
          <w:szCs w:val="24"/>
        </w:rPr>
        <w:t>In both stages of the reasoning, the European Court uses evolving interpretive techniques: at the stage of the applicability of the guaranteed rights, it is a question of autonomous concepts or horizontal effect; At the stage of the application of the guaranteed rights, these are positive obligations and protection by ricochet.</w:t>
      </w:r>
    </w:p>
    <w:p w14:paraId="01847815" w14:textId="77777777" w:rsidR="00E07747" w:rsidRPr="00D45F80" w:rsidRDefault="00E07747" w:rsidP="00E07747">
      <w:pPr>
        <w:pStyle w:val="Retraitcorpsdetexte2"/>
        <w:spacing w:line="240" w:lineRule="auto"/>
        <w:jc w:val="both"/>
        <w:rPr>
          <w:szCs w:val="24"/>
        </w:rPr>
      </w:pPr>
    </w:p>
    <w:p w14:paraId="1E7CC8F0" w14:textId="5DFDA035" w:rsidR="00BD4ECE" w:rsidRPr="00BD4ECE" w:rsidRDefault="00BD4ECE" w:rsidP="00E07747">
      <w:pPr>
        <w:pStyle w:val="JuHA"/>
        <w:tabs>
          <w:tab w:val="clear" w:pos="360"/>
          <w:tab w:val="clear" w:pos="2160"/>
        </w:tabs>
        <w:spacing w:before="0" w:beforeAutospacing="0" w:after="0"/>
        <w:ind w:firstLine="284"/>
        <w:jc w:val="both"/>
        <w:rPr>
          <w:szCs w:val="24"/>
        </w:rPr>
      </w:pPr>
      <w:bookmarkStart w:id="1" w:name="_Hlk208313052"/>
      <w:r>
        <w:rPr>
          <w:szCs w:val="24"/>
        </w:rPr>
        <w:t>Interpretative techniques relating to the applicability of the Convention</w:t>
      </w:r>
    </w:p>
    <w:bookmarkEnd w:id="1"/>
    <w:p w14:paraId="724B6335" w14:textId="77777777" w:rsidR="00884591" w:rsidRPr="00D45F80" w:rsidRDefault="00CE1C35" w:rsidP="00E07747">
      <w:pPr>
        <w:pStyle w:val="Retraitcorpsdetexte2"/>
        <w:spacing w:line="240" w:lineRule="auto"/>
        <w:jc w:val="both"/>
        <w:rPr>
          <w:b/>
          <w:szCs w:val="24"/>
        </w:rPr>
      </w:pPr>
      <w:r w:rsidRPr="00D45F80">
        <w:rPr>
          <w:b/>
          <w:szCs w:val="24"/>
        </w:rPr>
        <w:t>1° Autonomous concepts</w:t>
      </w:r>
    </w:p>
    <w:p w14:paraId="724B6336" w14:textId="77777777" w:rsidR="00DE2B83" w:rsidRPr="00D45F80" w:rsidRDefault="00CE1C35" w:rsidP="00E07747">
      <w:pPr>
        <w:pStyle w:val="Retraitcorpsdetexte2"/>
        <w:spacing w:line="240" w:lineRule="auto"/>
        <w:jc w:val="both"/>
        <w:rPr>
          <w:szCs w:val="24"/>
        </w:rPr>
      </w:pPr>
      <w:r w:rsidRPr="00D45F80">
        <w:rPr>
          <w:szCs w:val="24"/>
        </w:rPr>
        <w:t>Autonomous concepts are defined as those concepts mentioned in the text of the Convention the meaning of which is not that of domestic law or laws but which have a European meaning, defined by the Court and which applies to all Contracting States. The Convention contains a number of concepts, the definition of which is essential for the applicability of the rights guaranteed. Autonomous concepts are not concepts created by the European Court of Human Rights but concepts referred to in the Treaty and which concern, as is their characterisation, not the conditions for the exercise of a right but their applicability. The use of autonomous concepts by the European judge can be seen as a method of forming common law that compensates for the imprecision of the terms conventions and the lack of homogeneity of national laws and allows for a uniform definition of State commitments.</w:t>
      </w:r>
    </w:p>
    <w:p w14:paraId="724B6337" w14:textId="66BA188B" w:rsidR="00827DD4" w:rsidRPr="00D45F80" w:rsidRDefault="00CE1C35" w:rsidP="00E07747">
      <w:pPr>
        <w:pStyle w:val="Retraitcorpsdetexte2"/>
        <w:spacing w:line="240" w:lineRule="auto"/>
        <w:jc w:val="both"/>
        <w:rPr>
          <w:szCs w:val="24"/>
        </w:rPr>
      </w:pPr>
      <w:r w:rsidRPr="00D45F80">
        <w:rPr>
          <w:szCs w:val="24"/>
        </w:rPr>
        <w:t xml:space="preserve">Faced with undetermined concepts that may have different meanings depending on national legislation, the European judge will detach these concepts from their national legal context and give them their own meaning, an autonomous meaning. The leading judgments establishing the use of autonomous concepts are the Engel et al. v. Netherlands judgment of 8 June 1976 and König v. the Federal Republic of Germany of 28 June 1978, which relate to the concept of criminal matters and the rights to civil obligations contained in Article 6. </w:t>
      </w:r>
    </w:p>
    <w:p w14:paraId="724B6338" w14:textId="3D1EDBDA" w:rsidR="00CE1C35" w:rsidRDefault="00CE1C35" w:rsidP="00E07747">
      <w:pPr>
        <w:pStyle w:val="Retraitcorpsdetexte2"/>
        <w:spacing w:line="240" w:lineRule="auto"/>
        <w:jc w:val="both"/>
        <w:rPr>
          <w:szCs w:val="24"/>
        </w:rPr>
      </w:pPr>
      <w:r w:rsidRPr="00D45F80">
        <w:rPr>
          <w:szCs w:val="24"/>
        </w:rPr>
        <w:t>Detached from the national legal context, autonomous concepts such as criminal matters or court, witness or property, make it possible to resolve a conflict of interpretation relating to a concept requiring the applicability of a right guaranteed by the Convention; Some of them, such as those of the court or criminal matters, have been privileged vectors for an extension of fair trial guarantees, in particular to tax matters and disciplinary procedures. The major consequence of this technique of interpretation is that it substantially extends the scope of the Convention's protective provisions and leads to an extension of the treaty order. Recourse to the autonomous interpretation of the Convention can be seen as a method of forming a common European human rights law and is a tool for controlling the applicability of rights.</w:t>
      </w:r>
    </w:p>
    <w:p w14:paraId="32E17319" w14:textId="77777777" w:rsidR="00E07747" w:rsidRDefault="00E07747" w:rsidP="00E07747">
      <w:pPr>
        <w:pStyle w:val="Retraitcorpsdetexte2"/>
        <w:spacing w:line="240" w:lineRule="auto"/>
        <w:jc w:val="both"/>
        <w:rPr>
          <w:szCs w:val="24"/>
        </w:rPr>
      </w:pPr>
    </w:p>
    <w:p w14:paraId="724B633E" w14:textId="77777777" w:rsidR="00CA4AAC" w:rsidRPr="00D45F80" w:rsidRDefault="00CA4AAC" w:rsidP="00E07747">
      <w:pPr>
        <w:pStyle w:val="Retraitcorpsdetexte2"/>
        <w:spacing w:line="240" w:lineRule="auto"/>
        <w:jc w:val="both"/>
        <w:rPr>
          <w:b/>
          <w:szCs w:val="24"/>
        </w:rPr>
      </w:pPr>
      <w:r w:rsidRPr="00D45F80">
        <w:rPr>
          <w:b/>
          <w:szCs w:val="24"/>
        </w:rPr>
        <w:t>2° The horizontal effect</w:t>
      </w:r>
    </w:p>
    <w:p w14:paraId="22E2E26F" w14:textId="77777777" w:rsidR="008D779F" w:rsidRDefault="001003A4" w:rsidP="00E07747">
      <w:pPr>
        <w:pStyle w:val="Retraitcorpsdetexte2"/>
        <w:spacing w:line="240" w:lineRule="auto"/>
        <w:jc w:val="both"/>
        <w:rPr>
          <w:szCs w:val="24"/>
        </w:rPr>
      </w:pPr>
      <w:r>
        <w:rPr>
          <w:szCs w:val="24"/>
        </w:rPr>
        <w:t xml:space="preserve">Initially, it was considered that the European Court of Human Rights was only competent to judge violations of the rights guaranteed by the Convention committed by States. This conception was based on the very text of the treaty, which expressly refers to States. Thus the Convention was applicable only in relations between States and individuals. </w:t>
      </w:r>
    </w:p>
    <w:p w14:paraId="724B633F" w14:textId="6C320C69" w:rsidR="00CA4AAC" w:rsidRPr="00D45F80" w:rsidRDefault="008D779F" w:rsidP="00E07747">
      <w:pPr>
        <w:pStyle w:val="Retraitcorpsdetexte2"/>
        <w:spacing w:line="240" w:lineRule="auto"/>
        <w:jc w:val="both"/>
        <w:rPr>
          <w:szCs w:val="24"/>
        </w:rPr>
      </w:pPr>
      <w:r>
        <w:rPr>
          <w:szCs w:val="24"/>
        </w:rPr>
        <w:lastRenderedPageBreak/>
        <w:t>Secondly, in the context of the effectiveness of the Convention and the development of the scope of the Treaty, in particular through its dynamic interpretation, the Court extended the application of the text to relations between individuals through the horizontal effect, with the aim of improving the effectiveness of the rights guaranteed by the text.</w:t>
      </w:r>
    </w:p>
    <w:p w14:paraId="724B6340" w14:textId="122F84F1" w:rsidR="00CA4AAC" w:rsidRPr="00D45F80" w:rsidRDefault="00CA4AAC" w:rsidP="00E07747">
      <w:pPr>
        <w:pStyle w:val="Retraitcorpsdetexte2"/>
        <w:spacing w:line="240" w:lineRule="auto"/>
        <w:jc w:val="both"/>
        <w:rPr>
          <w:szCs w:val="24"/>
        </w:rPr>
      </w:pPr>
      <w:r w:rsidRPr="00D45F80">
        <w:rPr>
          <w:szCs w:val="24"/>
        </w:rPr>
        <w:t>The horizontal effect consists in the application of the Convention in private relations and can be analysed as an extension of the enforceability of human rights to inter-individual relations.</w:t>
      </w:r>
    </w:p>
    <w:p w14:paraId="724B6341" w14:textId="440BD18A" w:rsidR="00CA4AAC" w:rsidRPr="00D45F80" w:rsidRDefault="00CA4AAC" w:rsidP="00E07747">
      <w:pPr>
        <w:pStyle w:val="Retraitcorpsdetexte2"/>
        <w:spacing w:line="240" w:lineRule="auto"/>
        <w:jc w:val="both"/>
        <w:rPr>
          <w:szCs w:val="24"/>
        </w:rPr>
      </w:pPr>
      <w:r w:rsidRPr="00D45F80">
        <w:rPr>
          <w:szCs w:val="24"/>
        </w:rPr>
        <w:t xml:space="preserve">The leading decision in this area is the Youg, James and Webster judgment of 13 August 1981 in which the court accepted that when the infringement of the protected right is not directly attributable to the State but is the act of an individual, the horizontal effect of the convention allows the State to be held liable if the latter has made possible the violation of a guaranteed right. In order to establish this principle, the Court relies on Article 1 of the Convention, according to which each State Party recognises to all persons within its jurisdiction the rights and freedoms defined in this Convention. </w:t>
      </w:r>
    </w:p>
    <w:p w14:paraId="7E17ABA9" w14:textId="77777777" w:rsidR="00790B7E" w:rsidRDefault="007A30DC" w:rsidP="00E07747">
      <w:pPr>
        <w:pStyle w:val="Retraitcorpsdetexte2"/>
        <w:spacing w:line="240" w:lineRule="auto"/>
        <w:jc w:val="both"/>
        <w:rPr>
          <w:szCs w:val="24"/>
        </w:rPr>
      </w:pPr>
      <w:r>
        <w:rPr>
          <w:szCs w:val="24"/>
        </w:rPr>
        <w:t>Before the domestic court, the question of the horizontal effect of the agreement is in fact the question of the direct effect of the agreement already dealt with, we speak of direct horizontal effect.</w:t>
      </w:r>
    </w:p>
    <w:p w14:paraId="724B6342" w14:textId="54CB67A5" w:rsidR="00CA4AAC" w:rsidRPr="00D45F80" w:rsidRDefault="00790B7E" w:rsidP="00E07747">
      <w:pPr>
        <w:pStyle w:val="Retraitcorpsdetexte2"/>
        <w:spacing w:line="240" w:lineRule="auto"/>
        <w:jc w:val="both"/>
        <w:rPr>
          <w:szCs w:val="24"/>
        </w:rPr>
      </w:pPr>
      <w:r>
        <w:rPr>
          <w:szCs w:val="24"/>
        </w:rPr>
        <w:t>Before the European Court, we speak of an indirect horizontal effect.</w:t>
      </w:r>
    </w:p>
    <w:p w14:paraId="724B6349" w14:textId="321270EE" w:rsidR="00DA569B" w:rsidRPr="00D45F80" w:rsidRDefault="00CA4AAC" w:rsidP="00E07747">
      <w:pPr>
        <w:pStyle w:val="Retraitcorpsdetexte2"/>
        <w:spacing w:line="240" w:lineRule="auto"/>
        <w:jc w:val="both"/>
        <w:rPr>
          <w:szCs w:val="24"/>
        </w:rPr>
      </w:pPr>
      <w:r w:rsidRPr="00D45F80">
        <w:rPr>
          <w:szCs w:val="24"/>
        </w:rPr>
        <w:t xml:space="preserve">Before the European Court, when the violation is not directly committed by a State but by an individual, the latter cannot be sued before the European Court. The violation must therefore be attributable, at least indirectly, to the State because of the failure of its domestic law. The major judgment on this issue was the judgment of 9 December 1994 in Lopez Ostra v. Spain, which condemned Spain for failing to take the necessary measures to protect the applicant's right to respect for her home and her private and family life against the foul fumes of a tannery waste treatment plant. </w:t>
      </w:r>
    </w:p>
    <w:p w14:paraId="724B634A" w14:textId="7AAFEE0E" w:rsidR="00DA569B" w:rsidRPr="00D45F80" w:rsidRDefault="009A35B0" w:rsidP="00E07747">
      <w:pPr>
        <w:pStyle w:val="Retraitcorpsdetexte2"/>
        <w:spacing w:line="240" w:lineRule="auto"/>
        <w:jc w:val="both"/>
        <w:rPr>
          <w:szCs w:val="24"/>
        </w:rPr>
      </w:pPr>
      <w:r>
        <w:rPr>
          <w:szCs w:val="24"/>
        </w:rPr>
        <w:t xml:space="preserve">This failure of the State can take the form of either inaction by the State or its action. </w:t>
      </w:r>
    </w:p>
    <w:p w14:paraId="724B634B" w14:textId="34915665" w:rsidR="00DA569B" w:rsidRPr="00D45F80" w:rsidRDefault="00F13AE3" w:rsidP="00E07747">
      <w:pPr>
        <w:pStyle w:val="Retraitcorpsdetexte2"/>
        <w:spacing w:line="240" w:lineRule="auto"/>
        <w:jc w:val="both"/>
        <w:rPr>
          <w:szCs w:val="24"/>
        </w:rPr>
      </w:pPr>
      <w:r w:rsidRPr="00D45F80">
        <w:rPr>
          <w:szCs w:val="24"/>
        </w:rPr>
        <w:t>The first case concerns cases where the State has not taken the necessary measures to prevent the violation of a right guaranteed by the Convention by a private person. Private violations are then attributable to the State because of its inaction. The State's responsibility is then to be found in the field of positive obligations (see above)</w:t>
      </w:r>
    </w:p>
    <w:p w14:paraId="724B6351" w14:textId="3EF98F9C" w:rsidR="00CA4AAC" w:rsidRDefault="00CA4AAC" w:rsidP="00E07747">
      <w:pPr>
        <w:pStyle w:val="Retraitcorpsdetexte2"/>
        <w:spacing w:line="240" w:lineRule="auto"/>
        <w:jc w:val="both"/>
        <w:rPr>
          <w:szCs w:val="24"/>
        </w:rPr>
      </w:pPr>
      <w:r w:rsidRPr="00D45F80">
        <w:rPr>
          <w:szCs w:val="24"/>
        </w:rPr>
        <w:t xml:space="preserve">The second hypothesis concerns the one in which the indirect horizontal effect is based on an action by the State: the private violations are attributable to the State because it has provided the means to the private person who committed the violation to infringe the guaranteed right. In most cases, the means provided by the State is its legislation that has allowed the violation of the right by an individual. </w:t>
      </w:r>
    </w:p>
    <w:p w14:paraId="1FD4009F" w14:textId="77777777" w:rsidR="00E07747" w:rsidRPr="00D45F80" w:rsidRDefault="00E07747" w:rsidP="00E07747">
      <w:pPr>
        <w:pStyle w:val="Retraitcorpsdetexte2"/>
        <w:spacing w:line="240" w:lineRule="auto"/>
        <w:ind w:firstLine="0"/>
        <w:jc w:val="both"/>
        <w:rPr>
          <w:szCs w:val="24"/>
        </w:rPr>
      </w:pPr>
    </w:p>
    <w:p w14:paraId="724B6355" w14:textId="77777777" w:rsidR="00B76276" w:rsidRPr="00D45F80" w:rsidRDefault="00B76276" w:rsidP="00E07747">
      <w:pPr>
        <w:pStyle w:val="Retraitcorpsdetexte2"/>
        <w:spacing w:line="240" w:lineRule="auto"/>
        <w:jc w:val="both"/>
        <w:rPr>
          <w:b/>
          <w:bCs/>
          <w:szCs w:val="24"/>
        </w:rPr>
      </w:pPr>
      <w:bookmarkStart w:id="2" w:name="_Hlk50367825"/>
      <w:r w:rsidRPr="00D45F80">
        <w:rPr>
          <w:b/>
          <w:bCs/>
          <w:szCs w:val="24"/>
        </w:rPr>
        <w:t>3° Positive obligations</w:t>
      </w:r>
    </w:p>
    <w:bookmarkEnd w:id="2"/>
    <w:p w14:paraId="17CA7CAA" w14:textId="77777777" w:rsidR="0055205A" w:rsidRDefault="00651ABB" w:rsidP="00E07747">
      <w:pPr>
        <w:pStyle w:val="Retraitcorpsdetexte2"/>
        <w:spacing w:line="240" w:lineRule="auto"/>
        <w:jc w:val="both"/>
        <w:rPr>
          <w:szCs w:val="24"/>
        </w:rPr>
      </w:pPr>
      <w:r>
        <w:rPr>
          <w:szCs w:val="24"/>
        </w:rPr>
        <w:t xml:space="preserve">The concept was enshrined in the Airey v Ireland judgment of 9 October 1979. It is based on the principle that the Convention must protect rights that are not theoretical and illusory but concrete and effective. But also on the theory of inherence, which consists in deriving a right from a right guaranteed by the convention, or for States an obligation consubstantial with it, it is a question of an induction operation that is opposed to deduction. </w:t>
      </w:r>
    </w:p>
    <w:p w14:paraId="724B6356" w14:textId="52D3860D" w:rsidR="00B76276" w:rsidRPr="00D45F80" w:rsidRDefault="00B76276" w:rsidP="00E07747">
      <w:pPr>
        <w:pStyle w:val="Retraitcorpsdetexte2"/>
        <w:spacing w:line="240" w:lineRule="auto"/>
        <w:jc w:val="both"/>
        <w:rPr>
          <w:szCs w:val="24"/>
        </w:rPr>
      </w:pPr>
      <w:r w:rsidRPr="00D45F80">
        <w:rPr>
          <w:szCs w:val="24"/>
        </w:rPr>
        <w:t>In the Lopez Ostra judgment of 9 December 1994, the court gave a more precise definition of a positive obligation, which consists in "the obligation to adopt reasonable and adequate measures to protect the rights of the individual under the Convention". It is therefore an obligation to act.</w:t>
      </w:r>
    </w:p>
    <w:p w14:paraId="6AC03311" w14:textId="77777777" w:rsidR="00CE30A7" w:rsidRDefault="00B76276" w:rsidP="00E07747">
      <w:pPr>
        <w:pStyle w:val="Retraitcorpsdetexte2"/>
        <w:spacing w:line="240" w:lineRule="auto"/>
        <w:jc w:val="both"/>
        <w:rPr>
          <w:szCs w:val="24"/>
        </w:rPr>
      </w:pPr>
      <w:r w:rsidRPr="00D45F80">
        <w:rPr>
          <w:szCs w:val="24"/>
        </w:rPr>
        <w:t>Disrupting the original economy of the convention, positive obligations imply a redefinition of the obligations of the States Parties. The State may be held liable not only because it has committed an act contrary to a right recognised by the Convention, and which can be qualified as active interference, but also for abstention, it is also referred to as passive interference.</w:t>
      </w:r>
    </w:p>
    <w:p w14:paraId="724B635E" w14:textId="503B0743" w:rsidR="00B76276" w:rsidRPr="00D45F80" w:rsidRDefault="00CE30A7" w:rsidP="00E07747">
      <w:pPr>
        <w:pStyle w:val="Retraitcorpsdetexte2"/>
        <w:spacing w:line="240" w:lineRule="auto"/>
        <w:jc w:val="both"/>
        <w:rPr>
          <w:szCs w:val="24"/>
        </w:rPr>
      </w:pPr>
      <w:r>
        <w:rPr>
          <w:szCs w:val="24"/>
        </w:rPr>
        <w:t>There are substantial positive obligations, such as the obligation to reunite the child and his or her parents on the basis of Article 8, or positive procedural obligations, such as the obligation to investigate under Article 3.</w:t>
      </w:r>
    </w:p>
    <w:p w14:paraId="29CA5573" w14:textId="77777777" w:rsidR="00CD7569" w:rsidRDefault="00B76276" w:rsidP="00E07747">
      <w:pPr>
        <w:pStyle w:val="Retraitcorpsdetexte2"/>
        <w:spacing w:line="240" w:lineRule="auto"/>
        <w:jc w:val="both"/>
        <w:rPr>
          <w:szCs w:val="24"/>
        </w:rPr>
      </w:pPr>
      <w:r w:rsidRPr="00D45F80">
        <w:rPr>
          <w:szCs w:val="24"/>
        </w:rPr>
        <w:t xml:space="preserve">Through positive obligations, it is therefore the inertia of the public authorities, the State itself but also the authorities that depend on </w:t>
      </w:r>
      <w:proofErr w:type="gramStart"/>
      <w:r w:rsidRPr="00D45F80">
        <w:rPr>
          <w:szCs w:val="24"/>
        </w:rPr>
        <w:t>it:</w:t>
      </w:r>
      <w:proofErr w:type="gramEnd"/>
      <w:r w:rsidRPr="00D45F80">
        <w:rPr>
          <w:szCs w:val="24"/>
        </w:rPr>
        <w:t xml:space="preserve"> judicial, administrative, social services, etc. which is sanctioned.</w:t>
      </w:r>
    </w:p>
    <w:p w14:paraId="60BC2311" w14:textId="58602A3C" w:rsidR="000A2B3C" w:rsidRDefault="006C3A85" w:rsidP="00E07747">
      <w:pPr>
        <w:pStyle w:val="Retraitcorpsdetexte2"/>
        <w:spacing w:line="240" w:lineRule="auto"/>
        <w:jc w:val="both"/>
        <w:rPr>
          <w:szCs w:val="24"/>
        </w:rPr>
      </w:pPr>
      <w:r>
        <w:rPr>
          <w:szCs w:val="24"/>
        </w:rPr>
        <w:lastRenderedPageBreak/>
        <w:t>Failure to comply with a positive obligation may result from the State's failure to act in the form of the absence or inadequacy of positive material measures through the absence of medical care provided to a detainee (Ilhan v. Turkey, 27 June 2000) or the failure to protect a child (ECHR, 4 June 2020, Association Innocence en Danger and Association Enfance et partage v. France)</w:t>
      </w:r>
      <w:bookmarkStart w:id="3" w:name="_Hlk50368075"/>
      <w:bookmarkEnd w:id="3"/>
    </w:p>
    <w:p w14:paraId="405367AE" w14:textId="3A1FC4DD" w:rsidR="002943C6" w:rsidRPr="00AA5932" w:rsidRDefault="00CD7569" w:rsidP="00E07747">
      <w:pPr>
        <w:pStyle w:val="Retraitcorpsdetexte2"/>
        <w:spacing w:line="240" w:lineRule="auto"/>
        <w:jc w:val="both"/>
        <w:rPr>
          <w:szCs w:val="24"/>
        </w:rPr>
      </w:pPr>
      <w:r>
        <w:rPr>
          <w:szCs w:val="24"/>
        </w:rPr>
        <w:t xml:space="preserve"> Failure to comply with a positive obligation may also result from a normative gap, such as the absence of legislation protecting the legal status of a child born out of wedlock, which was condemned in the Marxk judgment of 1979. </w:t>
      </w:r>
    </w:p>
    <w:p w14:paraId="45093E57" w14:textId="77777777" w:rsidR="006147D1" w:rsidRDefault="002943C6" w:rsidP="00E07747">
      <w:pPr>
        <w:pStyle w:val="Retraitcorpsdetexte2"/>
        <w:spacing w:line="240" w:lineRule="auto"/>
        <w:jc w:val="both"/>
        <w:rPr>
          <w:szCs w:val="24"/>
        </w:rPr>
      </w:pPr>
      <w:r w:rsidRPr="00D45F80">
        <w:rPr>
          <w:szCs w:val="24"/>
        </w:rPr>
        <w:t xml:space="preserve">In the Airey judgment, the court affirmed that a de facto obstacle may infringe the Convention as well as a legal obstacle, and the Convention bodies intend to provide the individual with the legal and material conditions necessary for the effective exercise of the </w:t>
      </w:r>
      <w:proofErr w:type="spellStart"/>
      <w:r w:rsidRPr="00D45F80">
        <w:rPr>
          <w:szCs w:val="24"/>
        </w:rPr>
        <w:t>proclaimed</w:t>
      </w:r>
      <w:proofErr w:type="spellEnd"/>
      <w:r w:rsidRPr="00D45F80">
        <w:rPr>
          <w:szCs w:val="24"/>
        </w:rPr>
        <w:t xml:space="preserve"> </w:t>
      </w:r>
      <w:proofErr w:type="spellStart"/>
      <w:r w:rsidRPr="00D45F80">
        <w:rPr>
          <w:szCs w:val="24"/>
        </w:rPr>
        <w:t>freedoms</w:t>
      </w:r>
      <w:proofErr w:type="spellEnd"/>
      <w:r w:rsidRPr="00D45F80">
        <w:rPr>
          <w:szCs w:val="24"/>
        </w:rPr>
        <w:t xml:space="preserve"> and </w:t>
      </w:r>
      <w:proofErr w:type="spellStart"/>
      <w:r w:rsidRPr="00D45F80">
        <w:rPr>
          <w:szCs w:val="24"/>
        </w:rPr>
        <w:t>rights</w:t>
      </w:r>
      <w:proofErr w:type="spellEnd"/>
      <w:r w:rsidRPr="00D45F80">
        <w:rPr>
          <w:szCs w:val="24"/>
        </w:rPr>
        <w:t>.</w:t>
      </w:r>
    </w:p>
    <w:p w14:paraId="5ABD519B" w14:textId="0A6AFA19" w:rsidR="002943C6" w:rsidRPr="00D45F80" w:rsidRDefault="002943C6" w:rsidP="00E07747">
      <w:pPr>
        <w:pStyle w:val="Retraitcorpsdetexte2"/>
        <w:spacing w:line="240" w:lineRule="auto"/>
        <w:jc w:val="both"/>
        <w:rPr>
          <w:szCs w:val="24"/>
        </w:rPr>
      </w:pPr>
      <w:r w:rsidRPr="00D45F80">
        <w:rPr>
          <w:szCs w:val="24"/>
        </w:rPr>
        <w:t xml:space="preserve">The European Court leaves it to the States to choose the means of fulfilling the positive obligation it has imposed on it, however, depending on the breach observed, the choice will be more or less reduced: thus if, as in the Marckx judgment, the Court reproaches the State for not having drawn up legislation allowing the recognition of natural maternal filiation,  the State, in order to comply with the sentence, can only adopt legislation in the direction </w:t>
      </w:r>
      <w:proofErr w:type="spellStart"/>
      <w:r w:rsidRPr="00D45F80">
        <w:rPr>
          <w:szCs w:val="24"/>
        </w:rPr>
        <w:t>indicated</w:t>
      </w:r>
      <w:proofErr w:type="spellEnd"/>
      <w:r w:rsidRPr="00D45F80">
        <w:rPr>
          <w:szCs w:val="24"/>
        </w:rPr>
        <w:t>.</w:t>
      </w:r>
    </w:p>
    <w:p w14:paraId="2BF08785" w14:textId="77777777" w:rsidR="002943C6" w:rsidRPr="00D45F80" w:rsidRDefault="002943C6" w:rsidP="00E07747">
      <w:pPr>
        <w:pStyle w:val="Retraitcorpsdetexte2"/>
        <w:spacing w:line="240" w:lineRule="auto"/>
        <w:jc w:val="both"/>
        <w:rPr>
          <w:szCs w:val="24"/>
        </w:rPr>
      </w:pPr>
      <w:r w:rsidRPr="00D45F80">
        <w:rPr>
          <w:szCs w:val="24"/>
        </w:rPr>
        <w:t xml:space="preserve">Often the positive obligation is combined with the horizontal effect: the court reproaches the State for having allowed the violation of a right guaranteed by the convention by an individual, i.e. for not having prevented it. </w:t>
      </w:r>
    </w:p>
    <w:p w14:paraId="458BB57C" w14:textId="7496AAAA" w:rsidR="002943C6" w:rsidRPr="00D45F80" w:rsidRDefault="002943C6" w:rsidP="00E07747">
      <w:pPr>
        <w:pStyle w:val="Retraitcorpsdetexte2"/>
        <w:spacing w:line="240" w:lineRule="auto"/>
        <w:jc w:val="both"/>
        <w:rPr>
          <w:szCs w:val="24"/>
        </w:rPr>
      </w:pPr>
      <w:r w:rsidRPr="00D45F80">
        <w:rPr>
          <w:szCs w:val="24"/>
        </w:rPr>
        <w:t xml:space="preserve">The positive obligation is an obligation of means: the court does not impose a result on the State but only to take all measures to achieve this result. It carries out a proportionality check by verifying that the authorities have taken sufficient measures to achieve the result of respect for the guaranteed right. In order to avoid condemnation, the State must have taken all possible measures to achieve the desired goal, and it will be condemned if the court finds that such a measure could have led to this result and that the State does not take it. However, it must be demonstrated that the State could take this measure, and therefore that it was informed of the </w:t>
      </w:r>
      <w:proofErr w:type="spellStart"/>
      <w:r w:rsidRPr="00D45F80">
        <w:rPr>
          <w:szCs w:val="24"/>
        </w:rPr>
        <w:t>need</w:t>
      </w:r>
      <w:proofErr w:type="spellEnd"/>
      <w:r w:rsidRPr="00D45F80">
        <w:rPr>
          <w:szCs w:val="24"/>
        </w:rPr>
        <w:t xml:space="preserve"> to do </w:t>
      </w:r>
      <w:proofErr w:type="spellStart"/>
      <w:r w:rsidRPr="00D45F80">
        <w:rPr>
          <w:szCs w:val="24"/>
        </w:rPr>
        <w:t>so</w:t>
      </w:r>
      <w:proofErr w:type="spellEnd"/>
      <w:r w:rsidRPr="00D45F80">
        <w:rPr>
          <w:szCs w:val="24"/>
        </w:rPr>
        <w:t>.</w:t>
      </w:r>
    </w:p>
    <w:p w14:paraId="58AE6040" w14:textId="599379E6" w:rsidR="00BF432F" w:rsidRDefault="002943C6" w:rsidP="00E07747">
      <w:pPr>
        <w:pStyle w:val="Retraitcorpsdetexte2"/>
        <w:spacing w:line="240" w:lineRule="auto"/>
        <w:jc w:val="both"/>
        <w:rPr>
          <w:szCs w:val="24"/>
        </w:rPr>
      </w:pPr>
      <w:bookmarkStart w:id="4" w:name="_Hlk208320510"/>
      <w:r w:rsidRPr="00D45F80">
        <w:rPr>
          <w:szCs w:val="24"/>
        </w:rPr>
        <w:t xml:space="preserve">Court review is generally considered to be less stringent for positive obligations than for active interference. Hence the importance of the issue of qualifying interference as passive or active. On certain issues, the Court has evolved from the field of positive obligations to the field of interference. Thus, in the Cherrier v. France judgment of 30 January 2024 (no. 18843/20) relating to the impossibility for a child born in secret to access his or her origins, the Court confirmed the solution set out in the Odièvre judgment of 13 February 2003 by moving from a positive obligation to an interference; in the Odièvre judgment, the court wondered whether the State had done what was necessary to fulfil its positive obligation to allow a child born in secret to have access to his origins; in Cherrier, it wondered whether the child's inability to access his or her origins was a proportionate interference. In both cases, the European Court concluded that there had been no violation of the child's right to know </w:t>
      </w:r>
      <w:proofErr w:type="spellStart"/>
      <w:r w:rsidRPr="00D45F80">
        <w:rPr>
          <w:szCs w:val="24"/>
        </w:rPr>
        <w:t>his</w:t>
      </w:r>
      <w:proofErr w:type="spellEnd"/>
      <w:r w:rsidRPr="00D45F80">
        <w:rPr>
          <w:szCs w:val="24"/>
        </w:rPr>
        <w:t xml:space="preserve"> or </w:t>
      </w:r>
      <w:proofErr w:type="spellStart"/>
      <w:r w:rsidRPr="00D45F80">
        <w:rPr>
          <w:szCs w:val="24"/>
        </w:rPr>
        <w:t>her</w:t>
      </w:r>
      <w:proofErr w:type="spellEnd"/>
      <w:r w:rsidRPr="00D45F80">
        <w:rPr>
          <w:szCs w:val="24"/>
        </w:rPr>
        <w:t xml:space="preserve"> </w:t>
      </w:r>
      <w:proofErr w:type="spellStart"/>
      <w:r w:rsidRPr="00D45F80">
        <w:rPr>
          <w:szCs w:val="24"/>
        </w:rPr>
        <w:t>origins</w:t>
      </w:r>
      <w:proofErr w:type="spellEnd"/>
      <w:r w:rsidRPr="00D45F80">
        <w:rPr>
          <w:szCs w:val="24"/>
        </w:rPr>
        <w:t>.</w:t>
      </w:r>
    </w:p>
    <w:p w14:paraId="09B85383" w14:textId="332BA3BB" w:rsidR="00E07747" w:rsidRDefault="00E07747">
      <w:r>
        <w:br w:type="page"/>
      </w:r>
    </w:p>
    <w:p w14:paraId="2C350923" w14:textId="77777777" w:rsidR="00E07747" w:rsidRDefault="00E07747" w:rsidP="00E07747">
      <w:pPr>
        <w:pStyle w:val="Retraitcorpsdetexte2"/>
        <w:spacing w:line="240" w:lineRule="auto"/>
        <w:jc w:val="both"/>
        <w:rPr>
          <w:szCs w:val="24"/>
        </w:rPr>
      </w:pPr>
    </w:p>
    <w:p w14:paraId="4B894E55" w14:textId="1DD46F43" w:rsidR="00C73F0E" w:rsidRPr="00C73F0E" w:rsidRDefault="00C73F0E" w:rsidP="00E07747">
      <w:pPr>
        <w:pStyle w:val="JuHi"/>
        <w:numPr>
          <w:ilvl w:val="0"/>
          <w:numId w:val="0"/>
        </w:numPr>
        <w:tabs>
          <w:tab w:val="num" w:pos="4320"/>
        </w:tabs>
        <w:spacing w:before="0" w:beforeAutospacing="0" w:after="0" w:line="240" w:lineRule="auto"/>
        <w:ind w:firstLine="284"/>
        <w:rPr>
          <w:b/>
          <w:bCs w:val="0"/>
          <w:i w:val="0"/>
          <w:iCs w:val="0"/>
        </w:rPr>
      </w:pPr>
      <w:bookmarkStart w:id="5" w:name="_Hlk208320474"/>
      <w:bookmarkEnd w:id="4"/>
      <w:proofErr w:type="spellStart"/>
      <w:r w:rsidRPr="00C73F0E">
        <w:rPr>
          <w:b/>
          <w:bCs w:val="0"/>
          <w:i w:val="0"/>
          <w:iCs w:val="0"/>
        </w:rPr>
        <w:t>Cherrier</w:t>
      </w:r>
      <w:proofErr w:type="spellEnd"/>
      <w:r w:rsidRPr="00C73F0E">
        <w:rPr>
          <w:b/>
          <w:bCs w:val="0"/>
          <w:i w:val="0"/>
          <w:iCs w:val="0"/>
        </w:rPr>
        <w:t xml:space="preserve"> v. France 30 January 2024</w:t>
      </w:r>
    </w:p>
    <w:p w14:paraId="64023B86" w14:textId="64988DEB" w:rsidR="00C73F0E" w:rsidRPr="006D652F" w:rsidRDefault="00C73F0E" w:rsidP="00E07747">
      <w:pPr>
        <w:pStyle w:val="JuHi"/>
        <w:numPr>
          <w:ilvl w:val="0"/>
          <w:numId w:val="0"/>
        </w:numPr>
        <w:tabs>
          <w:tab w:val="num" w:pos="4320"/>
        </w:tabs>
        <w:spacing w:before="0" w:beforeAutospacing="0" w:after="0" w:line="240" w:lineRule="auto"/>
        <w:ind w:firstLine="284"/>
      </w:pPr>
      <w:r w:rsidRPr="006D652F">
        <w:t>The question whether a negative obligation or a positive obligation is at issue</w:t>
      </w:r>
    </w:p>
    <w:p w14:paraId="44B2629D"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56</w:t>
      </w:r>
      <w:r w:rsidRPr="006D652F">
        <w:rPr>
          <w:noProof/>
        </w:rPr>
        <w:fldChar w:fldCharType="end"/>
      </w:r>
      <w:r w:rsidRPr="006D652F">
        <w:t xml:space="preserve">.  The Court notes that the parties do not express an opinion on this point, but the Government concede that there had been an interference in the applicant's </w:t>
      </w:r>
      <w:proofErr w:type="spellStart"/>
      <w:r w:rsidRPr="006D652F">
        <w:t>private</w:t>
      </w:r>
      <w:proofErr w:type="spellEnd"/>
      <w:r w:rsidRPr="006D652F">
        <w:t xml:space="preserve"> life (</w:t>
      </w:r>
      <w:proofErr w:type="spellStart"/>
      <w:r w:rsidRPr="006D652F">
        <w:t>paragraph</w:t>
      </w:r>
      <w:proofErr w:type="spellEnd"/>
      <w:r w:rsidRPr="006D652F">
        <w:t xml:space="preserve"> </w:t>
      </w:r>
      <w:r w:rsidRPr="006D652F">
        <w:fldChar w:fldCharType="begin"/>
      </w:r>
      <w:r w:rsidRPr="006D652F">
        <w:instrText xml:space="preserve"> REF paragraph00040 \h  \* CharFormat  \* MERGEFORMAT </w:instrText>
      </w:r>
      <w:r w:rsidRPr="006D652F">
        <w:fldChar w:fldCharType="separate"/>
      </w:r>
      <w:r w:rsidRPr="006D652F">
        <w:t>47</w:t>
      </w:r>
      <w:r w:rsidRPr="006D652F">
        <w:fldChar w:fldCharType="end"/>
      </w:r>
      <w:r w:rsidRPr="006D652F">
        <w:t xml:space="preserve"> </w:t>
      </w:r>
      <w:proofErr w:type="spellStart"/>
      <w:r w:rsidRPr="006D652F">
        <w:t>above</w:t>
      </w:r>
      <w:proofErr w:type="spellEnd"/>
      <w:r w:rsidRPr="006D652F">
        <w:t>).</w:t>
      </w:r>
    </w:p>
    <w:p w14:paraId="0A7E0033"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57</w:t>
      </w:r>
      <w:r w:rsidRPr="006D652F">
        <w:rPr>
          <w:noProof/>
        </w:rPr>
        <w:fldChar w:fldCharType="end"/>
      </w:r>
      <w:r w:rsidRPr="006D652F">
        <w:t>.  The Court, for its part, points out that the primary purpose of Article 8 is to protect the individual against arbitrary interference by the public authorities (</w:t>
      </w:r>
      <w:proofErr w:type="spellStart"/>
      <w:r w:rsidRPr="006D652F">
        <w:t>see</w:t>
      </w:r>
      <w:proofErr w:type="spellEnd"/>
      <w:r w:rsidRPr="006D652F">
        <w:t xml:space="preserve">, for </w:t>
      </w:r>
      <w:proofErr w:type="spellStart"/>
      <w:r w:rsidRPr="006D652F">
        <w:t>example</w:t>
      </w:r>
      <w:proofErr w:type="spellEnd"/>
      <w:r w:rsidRPr="006D652F">
        <w:t xml:space="preserve">, </w:t>
      </w:r>
      <w:proofErr w:type="spellStart"/>
      <w:r w:rsidRPr="006D652F">
        <w:rPr>
          <w:i/>
          <w:iCs/>
        </w:rPr>
        <w:t>Drelon</w:t>
      </w:r>
      <w:proofErr w:type="spellEnd"/>
      <w:r w:rsidRPr="006D652F">
        <w:rPr>
          <w:i/>
          <w:iCs/>
        </w:rPr>
        <w:t xml:space="preserve"> v. France</w:t>
      </w:r>
      <w:r w:rsidRPr="006D652F">
        <w:t>, Nos 3153/16 and 27758/18, § 85, 8 September 2022). In the present case, it notes that the CNAOP is a public establishment of the State, placed under the supervision of the Minister in charge of social affairs. It also notes that Article L. 147-6 of the CASF provides that the CNAOP communicates the identity of the mother "if there has been no express expression of desire to preserve secrecy, after having, in this case, verified the wishes of the person concerned". That article accepts the maintenance of the secrecy underlying the infringement of the right of access to origins of which the applicant complains. Consequently, the Court considers that the CNAOP's decision not to disclose to the applicant the identity of her biological mother, and to oppose the latter's wishes, must be examined from the point of view of negative obligations.</w:t>
      </w:r>
    </w:p>
    <w:p w14:paraId="1EDA4BDE" w14:textId="77777777" w:rsidR="00C73F0E" w:rsidRPr="006D652F" w:rsidRDefault="009F287C" w:rsidP="00E07747">
      <w:pPr>
        <w:pStyle w:val="JuPara"/>
      </w:pPr>
      <w:r>
        <w:fldChar w:fldCharType="begin"/>
      </w:r>
      <w:r>
        <w:instrText xml:space="preserve"> SEQ level0 \*arabic \* MERGEFORMAT </w:instrText>
      </w:r>
      <w:r>
        <w:fldChar w:fldCharType="separate"/>
      </w:r>
      <w:bookmarkStart w:id="6" w:name="paragraph00048"/>
      <w:r w:rsidR="00C73F0E" w:rsidRPr="006D652F">
        <w:rPr>
          <w:noProof/>
        </w:rPr>
        <w:t>Article 58</w:t>
      </w:r>
      <w:bookmarkEnd w:id="6"/>
      <w:r>
        <w:rPr>
          <w:noProof/>
        </w:rPr>
        <w:fldChar w:fldCharType="end"/>
      </w:r>
      <w:r w:rsidR="00C73F0E" w:rsidRPr="006D652F">
        <w:t>.  In order to determine whether that interference entailed a violation of the applicant's right to respect for private life, the Court must examine whether that decision was justified in the light of the second paragraph of that article, that is to say, whether it was provided for by law and necessary in a democratic society in order to attain one or other of the legitimate aims listed in Article 8.</w:t>
      </w:r>
    </w:p>
    <w:p w14:paraId="379D44FD" w14:textId="77777777" w:rsidR="00C73F0E" w:rsidRPr="006D652F" w:rsidRDefault="00C73F0E" w:rsidP="00E07747">
      <w:pPr>
        <w:pStyle w:val="JuPara"/>
        <w:rPr>
          <w:lang w:bidi="en-US"/>
        </w:rPr>
      </w:pPr>
      <w:r w:rsidRPr="006D652F">
        <w:fldChar w:fldCharType="begin"/>
      </w:r>
      <w:r>
        <w:instrText xml:space="preserve"> SEQ level0 \*arabic \* MERGEFORMAT </w:instrText>
      </w:r>
      <w:r w:rsidRPr="006D652F">
        <w:fldChar w:fldCharType="separate"/>
      </w:r>
      <w:r w:rsidRPr="006D652F">
        <w:rPr>
          <w:noProof/>
        </w:rPr>
        <w:t>59</w:t>
      </w:r>
      <w:r w:rsidRPr="006D652F">
        <w:rPr>
          <w:noProof/>
        </w:rPr>
        <w:fldChar w:fldCharType="end"/>
      </w:r>
      <w:r w:rsidRPr="006D652F">
        <w:t>.  The interference was provided for in Article L. 147-6 of the CASF and pursued at least one of the legitimate aims listed in Article 8 § 2: the protection of the rights and freedoms of others, in particular those of the biological mother.</w:t>
      </w:r>
    </w:p>
    <w:p w14:paraId="276C6060" w14:textId="77777777" w:rsidR="00C73F0E" w:rsidRPr="006D652F" w:rsidRDefault="00C73F0E" w:rsidP="00E07747">
      <w:pPr>
        <w:pStyle w:val="JuPara"/>
        <w:rPr>
          <w:lang w:bidi="en-US"/>
        </w:rPr>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60</w:t>
      </w:r>
      <w:r w:rsidRPr="006D652F">
        <w:rPr>
          <w:lang w:bidi="en-US"/>
        </w:rPr>
        <w:fldChar w:fldCharType="end"/>
      </w:r>
      <w:r w:rsidRPr="006D652F">
        <w:rPr>
          <w:lang w:bidi="en-US"/>
        </w:rPr>
        <w:t>.  It remains to be determined whether that interference was proportionate to that aim, after determining the extent of the discretion granted to the State in the present case.</w:t>
      </w:r>
    </w:p>
    <w:bookmarkEnd w:id="5"/>
    <w:p w14:paraId="562CCE74" w14:textId="77777777" w:rsidR="00C73F0E" w:rsidRDefault="00C73F0E" w:rsidP="00E07747">
      <w:pPr>
        <w:pStyle w:val="Retraitcorpsdetexte2"/>
        <w:spacing w:line="240" w:lineRule="auto"/>
        <w:jc w:val="both"/>
        <w:rPr>
          <w:szCs w:val="24"/>
        </w:rPr>
      </w:pPr>
    </w:p>
    <w:p w14:paraId="199F7804" w14:textId="77777777" w:rsidR="00AA5932" w:rsidRDefault="00AA5932" w:rsidP="00E07747">
      <w:pPr>
        <w:pStyle w:val="Retraitcorpsdetexte2"/>
        <w:spacing w:line="240" w:lineRule="auto"/>
        <w:jc w:val="both"/>
        <w:rPr>
          <w:szCs w:val="24"/>
        </w:rPr>
      </w:pPr>
      <w:r>
        <w:rPr>
          <w:szCs w:val="24"/>
        </w:rPr>
        <w:t>There has been a movement towards the generalization of positive obligations, which is obviously in line with the development of human rights. The court recognizes the possibility of bringing the theory of positive obligations into play for any right. It is undoubtedly the content of the right to respect for private and family life that has benefited most from this enrichment.</w:t>
      </w:r>
    </w:p>
    <w:p w14:paraId="724B6362" w14:textId="0C4C8835" w:rsidR="00393693" w:rsidRDefault="00393693" w:rsidP="00E07747">
      <w:pPr>
        <w:pStyle w:val="Retraitcorpsdetexte2"/>
        <w:spacing w:line="240" w:lineRule="auto"/>
        <w:jc w:val="both"/>
        <w:rPr>
          <w:szCs w:val="24"/>
        </w:rPr>
      </w:pPr>
    </w:p>
    <w:p w14:paraId="724B636E" w14:textId="64561714" w:rsidR="00B76276" w:rsidRPr="00D45F80" w:rsidRDefault="002B5610" w:rsidP="00E07747">
      <w:pPr>
        <w:pStyle w:val="Retraitcorpsdetexte2"/>
        <w:tabs>
          <w:tab w:val="left" w:pos="4829"/>
        </w:tabs>
        <w:spacing w:line="240" w:lineRule="auto"/>
        <w:jc w:val="both"/>
        <w:rPr>
          <w:b/>
          <w:szCs w:val="24"/>
        </w:rPr>
      </w:pPr>
      <w:r w:rsidRPr="00D45F80">
        <w:rPr>
          <w:b/>
          <w:szCs w:val="24"/>
        </w:rPr>
        <w:t>4° Protection by ricochet</w:t>
      </w:r>
      <w:r w:rsidR="00B76276" w:rsidRPr="00D45F80">
        <w:rPr>
          <w:b/>
          <w:szCs w:val="24"/>
        </w:rPr>
        <w:tab/>
      </w:r>
    </w:p>
    <w:p w14:paraId="02B8DC95" w14:textId="20F0C7E1" w:rsidR="00D3316B" w:rsidRPr="00D45F80" w:rsidRDefault="00D3316B" w:rsidP="00E07747">
      <w:pPr>
        <w:pStyle w:val="Retraitcorpsdetexte2"/>
        <w:spacing w:line="240" w:lineRule="auto"/>
        <w:jc w:val="both"/>
        <w:rPr>
          <w:szCs w:val="24"/>
        </w:rPr>
      </w:pPr>
      <w:r w:rsidRPr="00D45F80">
        <w:rPr>
          <w:szCs w:val="24"/>
        </w:rPr>
        <w:t xml:space="preserve">Indirect protection is a mechanism that extends the guarantee of the Convention to certain rights not protected by it. It consists of sanctioning States whose behaviour does not in itself violate a right guaranteed by the Convention but which has consequences that infringe a right protected by it. This mechanism has been particularly developed by the European Court of Human Rights with regard to foreigners. The right not to be subjected to inhuman and degrading treatment and the right to respect for private and family life are the two main but not exclusive vectors of this protection. </w:t>
      </w:r>
    </w:p>
    <w:p w14:paraId="08F2F615" w14:textId="09ACAB84" w:rsidR="00BF432F" w:rsidRDefault="00D3316B" w:rsidP="00E07747">
      <w:pPr>
        <w:pStyle w:val="Retraitcorpsdetexte2"/>
        <w:spacing w:line="240" w:lineRule="auto"/>
        <w:jc w:val="both"/>
        <w:rPr>
          <w:szCs w:val="24"/>
        </w:rPr>
      </w:pPr>
      <w:r w:rsidRPr="00D45F80">
        <w:rPr>
          <w:szCs w:val="24"/>
        </w:rPr>
        <w:t xml:space="preserve">It is the Soering v. United Kingdom judgment of 7 July 1989 which is the basis for the indirect protection of aliens on the basis of Article 3 of the Convention. In this decision, the European Court ruled that the extradition of a person by a State party to the Convention to a third State may engage the responsibility of the State Party under Article 3 for ill-treatment that the person is likely to suffer in the country of destination. The protection is even more indirect than that provided on the basis of Article 8, since it is not the expulsion itself that has the effect of infringing a right guaranteed by the Convention, but the fact that the alien goes to a particular country and is subject, or at least is likely to be subject, in that country, to treatment contrary to the rights guaranteed by the Convention,  in other words, it is not the State that takes the measure that infringes the law, but another State which is not a party to the Convention, as in the Soering judgment, the United States and which therefore cannot be sued before the Strasbourg Court. This reasoning, this mechanism, nevertheless leads to the production </w:t>
      </w:r>
      <w:r w:rsidRPr="00D45F80">
        <w:rPr>
          <w:szCs w:val="24"/>
        </w:rPr>
        <w:lastRenderedPageBreak/>
        <w:t xml:space="preserve">of effects, even if they are indirect, to the rights guaranteed by the Convention in the State of destination, which is a State third to the Convention. </w:t>
      </w:r>
    </w:p>
    <w:p w14:paraId="403CAA64" w14:textId="395B0AF9" w:rsidR="00BF432F" w:rsidRDefault="00BF432F" w:rsidP="00E07747"/>
    <w:p w14:paraId="1DE23234" w14:textId="68445B4F" w:rsidR="00D3316B" w:rsidRDefault="00BF432F" w:rsidP="00E07747">
      <w:pPr>
        <w:pStyle w:val="Retraitcorpsdetexte2"/>
        <w:spacing w:line="240" w:lineRule="auto"/>
        <w:jc w:val="both"/>
        <w:rPr>
          <w:szCs w:val="24"/>
        </w:rPr>
      </w:pPr>
      <w:r w:rsidRPr="00BF432F">
        <w:rPr>
          <w:szCs w:val="24"/>
          <w:highlight w:val="yellow"/>
        </w:rPr>
        <w:t>Indicate for each judgment which interpretative technique(s) the Court implements</w:t>
      </w:r>
    </w:p>
    <w:p w14:paraId="216FD4BF" w14:textId="77777777" w:rsidR="00BF432F" w:rsidRDefault="00BF432F" w:rsidP="00E07747">
      <w:pPr>
        <w:pStyle w:val="Retraitcorpsdetexte2"/>
        <w:spacing w:line="240" w:lineRule="auto"/>
        <w:jc w:val="both"/>
        <w:rPr>
          <w:szCs w:val="24"/>
        </w:rPr>
      </w:pPr>
    </w:p>
    <w:p w14:paraId="7BE3B153" w14:textId="77777777" w:rsidR="00BF432F" w:rsidRPr="00FE0D94" w:rsidRDefault="00BF432F" w:rsidP="00E07747">
      <w:pPr>
        <w:pBdr>
          <w:top w:val="single" w:sz="4" w:space="1" w:color="auto"/>
          <w:left w:val="single" w:sz="4" w:space="4" w:color="auto"/>
          <w:bottom w:val="single" w:sz="4" w:space="1" w:color="auto"/>
          <w:right w:val="single" w:sz="4" w:space="4" w:color="auto"/>
        </w:pBdr>
        <w:ind w:firstLine="284"/>
        <w:rPr>
          <w:b/>
          <w:bCs/>
        </w:rPr>
      </w:pPr>
      <w:r w:rsidRPr="00FE0D94">
        <w:rPr>
          <w:b/>
          <w:bCs/>
        </w:rPr>
        <w:t xml:space="preserve">Association Innocence en Danger and Association Enfance et Partage v. France 4 June 2020, Nos. 15343/15 and 16806/15, </w:t>
      </w:r>
    </w:p>
    <w:p w14:paraId="6916B76F" w14:textId="77777777" w:rsidR="00BF432F" w:rsidRPr="00FE0D94" w:rsidRDefault="00BF432F" w:rsidP="00E07747">
      <w:pPr>
        <w:pStyle w:val="JuPara"/>
        <w:pBdr>
          <w:top w:val="single" w:sz="4" w:space="1" w:color="auto"/>
          <w:left w:val="single" w:sz="4" w:space="4" w:color="auto"/>
          <w:bottom w:val="single" w:sz="4" w:space="1" w:color="auto"/>
          <w:right w:val="single" w:sz="4" w:space="4" w:color="auto"/>
        </w:pBdr>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3</w:t>
      </w:r>
      <w:r w:rsidRPr="00FE0D94">
        <w:rPr>
          <w:noProof/>
          <w:szCs w:val="24"/>
        </w:rPr>
        <w:fldChar w:fldCharType="end"/>
      </w:r>
      <w:r w:rsidRPr="00FE0D94">
        <w:rPr>
          <w:szCs w:val="24"/>
        </w:rPr>
        <w:t>.  As to the question whether the State may be held liable under Article 3 of the Convention for ill-treatment by entities other than itself, the Court recalls that the obligation imposed by Article 1 on the High Contracting Parties to guarantee to all persons within their jurisdiction the rights and freedoms enshrined in the Convention requires them,  in conjunction with article 3, to take appropriate measures to prevent such persons from being subjected to torture or inhuman or degrading treatment, whether or not administered by private individuals. These provisions must allow for effective protection, including of children and other vulnerable persons, and include reasonable measures to prevent ill-treatment of which the authorities were or should have been aware. With regard to children in particular, in view of the fundamental nature of the rights guaranteed by article 3 and their particular vulnerability, the public authorities have an obligation, inherent in their mission, to protect them from ill-treatment.</w:t>
      </w:r>
    </w:p>
    <w:p w14:paraId="278807F3" w14:textId="77777777" w:rsidR="00BF432F" w:rsidRDefault="00BF432F" w:rsidP="00E07747">
      <w:pPr>
        <w:pStyle w:val="JuPara"/>
        <w:numPr>
          <w:ilvl w:val="0"/>
          <w:numId w:val="10"/>
        </w:numPr>
        <w:pBdr>
          <w:top w:val="single" w:sz="4" w:space="1" w:color="auto"/>
          <w:left w:val="single" w:sz="4" w:space="4" w:color="auto"/>
          <w:bottom w:val="single" w:sz="4" w:space="1" w:color="auto"/>
          <w:right w:val="single" w:sz="4" w:space="4" w:color="auto"/>
        </w:pBdr>
        <w:ind w:firstLine="284"/>
        <w:rPr>
          <w:szCs w:val="24"/>
        </w:rPr>
      </w:pPr>
      <w:r w:rsidRPr="00FE0D94">
        <w:rPr>
          <w:szCs w:val="24"/>
        </w:rPr>
        <w:fldChar w:fldCharType="begin"/>
      </w:r>
      <w:r w:rsidRPr="00FE0D94">
        <w:rPr>
          <w:szCs w:val="24"/>
        </w:rPr>
        <w:instrText xml:space="preserve"> SEQ level0 \*arabic </w:instrText>
      </w:r>
      <w:r w:rsidRPr="00FE0D94">
        <w:rPr>
          <w:szCs w:val="24"/>
        </w:rPr>
        <w:fldChar w:fldCharType="separate"/>
      </w:r>
      <w:r>
        <w:rPr>
          <w:noProof/>
          <w:szCs w:val="24"/>
        </w:rPr>
        <w:t>4</w:t>
      </w:r>
      <w:r w:rsidRPr="00FE0D94">
        <w:rPr>
          <w:noProof/>
          <w:szCs w:val="24"/>
        </w:rPr>
        <w:fldChar w:fldCharType="end"/>
      </w:r>
      <w:r w:rsidRPr="00FE0D94">
        <w:rPr>
          <w:szCs w:val="24"/>
        </w:rPr>
        <w:t xml:space="preserve">.  The Court considers that M. may be regarded as falling within the category of 'vulnerable persons' who are </w:t>
      </w:r>
      <w:proofErr w:type="spellStart"/>
      <w:r w:rsidRPr="00FE0D94">
        <w:rPr>
          <w:szCs w:val="24"/>
        </w:rPr>
        <w:t>entitled</w:t>
      </w:r>
      <w:proofErr w:type="spellEnd"/>
      <w:r w:rsidRPr="00FE0D94">
        <w:rPr>
          <w:szCs w:val="24"/>
        </w:rPr>
        <w:t xml:space="preserve"> to State </w:t>
      </w:r>
      <w:proofErr w:type="spellStart"/>
      <w:r w:rsidRPr="00FE0D94">
        <w:rPr>
          <w:szCs w:val="24"/>
        </w:rPr>
        <w:t>protection.</w:t>
      </w:r>
      <w:r w:rsidRPr="00FE0D94">
        <w:rPr>
          <w:i/>
          <w:szCs w:val="24"/>
        </w:rPr>
        <w:t>Talpis</w:t>
      </w:r>
      <w:proofErr w:type="spellEnd"/>
      <w:r w:rsidRPr="00FE0D94">
        <w:rPr>
          <w:szCs w:val="24"/>
        </w:rPr>
        <w:t xml:space="preserve">, </w:t>
      </w:r>
      <w:proofErr w:type="spellStart"/>
      <w:r w:rsidRPr="00FE0D94">
        <w:rPr>
          <w:szCs w:val="24"/>
        </w:rPr>
        <w:t>cited</w:t>
      </w:r>
      <w:proofErr w:type="spellEnd"/>
      <w:r w:rsidRPr="00FE0D94">
        <w:rPr>
          <w:szCs w:val="24"/>
        </w:rPr>
        <w:t xml:space="preserve"> </w:t>
      </w:r>
      <w:proofErr w:type="spellStart"/>
      <w:r w:rsidRPr="00FE0D94">
        <w:rPr>
          <w:szCs w:val="24"/>
        </w:rPr>
        <w:t>above</w:t>
      </w:r>
      <w:proofErr w:type="spellEnd"/>
      <w:r w:rsidRPr="00FE0D94">
        <w:rPr>
          <w:szCs w:val="24"/>
        </w:rPr>
        <w:t>, § 126) and that the ill-treatment she suffered at the hands of her parents fell within the ambit of Article 3 of the Convention.</w:t>
      </w:r>
    </w:p>
    <w:p w14:paraId="28A5BAF6" w14:textId="77777777" w:rsidR="00BF432F" w:rsidRDefault="00BF432F" w:rsidP="00E07747">
      <w:pPr>
        <w:pStyle w:val="JuPara"/>
        <w:numPr>
          <w:ilvl w:val="0"/>
          <w:numId w:val="10"/>
        </w:numPr>
        <w:pBdr>
          <w:top w:val="single" w:sz="4" w:space="1" w:color="auto"/>
          <w:left w:val="single" w:sz="4" w:space="4" w:color="auto"/>
          <w:bottom w:val="single" w:sz="4" w:space="1" w:color="auto"/>
          <w:right w:val="single" w:sz="4" w:space="4" w:color="auto"/>
        </w:pBdr>
        <w:ind w:firstLine="284"/>
        <w:rPr>
          <w:szCs w:val="24"/>
        </w:rPr>
      </w:pPr>
      <w:r w:rsidRPr="007A600A">
        <w:rPr>
          <w:szCs w:val="24"/>
        </w:rPr>
        <w:t xml:space="preserve">This case does not directly concern the issue of the liability of M.'s parents for the acts of abuse committed, but the issue of the responsibility of the state. The Court must examine whether, at the material time, the respondent State should have been aware of the risk of ill-treatment for M. and whether it offered sufficient protection against it. </w:t>
      </w:r>
    </w:p>
    <w:p w14:paraId="7902465B" w14:textId="77777777" w:rsidR="00BF432F" w:rsidRDefault="00BF432F" w:rsidP="00E07747">
      <w:pPr>
        <w:ind w:firstLine="284"/>
        <w:jc w:val="both"/>
        <w:rPr>
          <w:b/>
          <w:bCs/>
        </w:rPr>
      </w:pPr>
    </w:p>
    <w:p w14:paraId="67520CD7" w14:textId="77777777" w:rsidR="00BF432F" w:rsidRPr="00E51F37" w:rsidRDefault="00BF432F" w:rsidP="00E07747">
      <w:pPr>
        <w:ind w:firstLine="284"/>
        <w:jc w:val="both"/>
        <w:rPr>
          <w:b/>
          <w:bCs/>
        </w:rPr>
      </w:pPr>
      <w:proofErr w:type="spellStart"/>
      <w:r w:rsidRPr="00E51F37">
        <w:rPr>
          <w:b/>
          <w:bCs/>
        </w:rPr>
        <w:t>Marckx</w:t>
      </w:r>
      <w:proofErr w:type="spellEnd"/>
      <w:r w:rsidRPr="00E51F37">
        <w:rPr>
          <w:b/>
          <w:bCs/>
        </w:rPr>
        <w:t xml:space="preserve"> v. </w:t>
      </w:r>
      <w:proofErr w:type="spellStart"/>
      <w:r w:rsidRPr="00E51F37">
        <w:rPr>
          <w:b/>
          <w:bCs/>
        </w:rPr>
        <w:t>Belgium</w:t>
      </w:r>
      <w:proofErr w:type="spellEnd"/>
      <w:r w:rsidRPr="00E51F37">
        <w:rPr>
          <w:b/>
          <w:bCs/>
        </w:rPr>
        <w:t xml:space="preserve">, 13 June 1979 (Application No. </w:t>
      </w:r>
      <w:hyperlink r:id="rId7" w:anchor="{%22appno%22:[%226833/74%22]}" w:tgtFrame="_blank" w:history="1">
        <w:r w:rsidRPr="00072A75">
          <w:rPr>
            <w:b/>
            <w:bCs/>
          </w:rPr>
          <w:t>6833/74</w:t>
        </w:r>
      </w:hyperlink>
      <w:r w:rsidRPr="00072A75">
        <w:rPr>
          <w:b/>
          <w:bCs/>
        </w:rPr>
        <w:t xml:space="preserve">) </w:t>
      </w:r>
    </w:p>
    <w:p w14:paraId="51C370A4" w14:textId="77777777" w:rsidR="00BF432F" w:rsidRPr="00624898" w:rsidRDefault="00BF432F" w:rsidP="00E07747">
      <w:pPr>
        <w:ind w:firstLine="284"/>
        <w:jc w:val="both"/>
      </w:pPr>
      <w:r w:rsidRPr="00624898">
        <w:t>30. In the present case, the Court is called upon to clarify the meaning and scope of the words "respect for private and family life", which it has had little opportunity to do so far (judgment of 23 July 1968 in the "Belgian Linguistics" case, Series A no. 6, pp. 32-33, para. 7; Klass and Others judgment of 6 September 1978,  Series A No. 28, p. 21, para. 41).</w:t>
      </w:r>
    </w:p>
    <w:p w14:paraId="51C529EE" w14:textId="77777777" w:rsidR="00BF432F" w:rsidRPr="00624898" w:rsidRDefault="00BF432F" w:rsidP="00E07747">
      <w:pPr>
        <w:ind w:firstLine="284"/>
        <w:jc w:val="both"/>
      </w:pPr>
      <w:r w:rsidRPr="00624898">
        <w:t>31. The first question to be decided is whether the natural relationship between Paula and Alexandra Marckx gave rise to a family life protected by Article 8 (art.</w:t>
      </w:r>
    </w:p>
    <w:p w14:paraId="13E66DF3" w14:textId="77777777" w:rsidR="00BF432F" w:rsidRPr="00624898" w:rsidRDefault="00BF432F" w:rsidP="00E07747">
      <w:pPr>
        <w:ind w:firstLine="284"/>
        <w:jc w:val="both"/>
      </w:pPr>
      <w:r w:rsidRPr="00624898">
        <w:t>In guaranteeing the right to respect for family life, article 8 (art. 8) presupposes the existence of a family. The Court is in full agreement with the Commission's settled case-law on one crucial point: Article 8 (art. 8) does not distinguish between "legitimate" and "natural" families. Such a distinction would clash with the words "any person</w:t>
      </w:r>
      <w:proofErr w:type="gramStart"/>
      <w:r w:rsidRPr="00624898">
        <w:t>";</w:t>
      </w:r>
      <w:proofErr w:type="gramEnd"/>
      <w:r w:rsidRPr="00624898">
        <w:t xml:space="preserve"> Article 14 (art. 14) confirms this by prohibiting discrimination on the basis of "birth" in the enjoyment of the rights and freedoms enshrined in the Convention.</w:t>
      </w:r>
    </w:p>
    <w:p w14:paraId="0A14B8A1" w14:textId="77777777" w:rsidR="00BF432F" w:rsidRPr="00624898" w:rsidRDefault="00BF432F" w:rsidP="00E07747">
      <w:pPr>
        <w:ind w:firstLine="284"/>
        <w:jc w:val="both"/>
      </w:pPr>
      <w:r w:rsidRPr="00624898">
        <w:t xml:space="preserve">Article 8 (art. 8) therefore applies to the "family life" of the "natural" family as well as of the "legitimate" family. Secondly, it is not disputed that Paula Marckx took care of her daughter Alexandra from birth and never ceased to take care of her, with the result that there was and still is an effective </w:t>
      </w:r>
      <w:proofErr w:type="spellStart"/>
      <w:r w:rsidRPr="00624898">
        <w:t>family</w:t>
      </w:r>
      <w:proofErr w:type="spellEnd"/>
      <w:r w:rsidRPr="00624898">
        <w:t xml:space="preserve"> life </w:t>
      </w:r>
      <w:proofErr w:type="spellStart"/>
      <w:r w:rsidRPr="00624898">
        <w:t>between</w:t>
      </w:r>
      <w:proofErr w:type="spellEnd"/>
      <w:r w:rsidRPr="00624898">
        <w:t xml:space="preserve"> </w:t>
      </w:r>
      <w:proofErr w:type="spellStart"/>
      <w:r w:rsidRPr="00624898">
        <w:t>them</w:t>
      </w:r>
      <w:proofErr w:type="spellEnd"/>
      <w:r w:rsidRPr="00624898">
        <w:t>.</w:t>
      </w:r>
    </w:p>
    <w:p w14:paraId="57FBB88D" w14:textId="77777777" w:rsidR="00BF432F" w:rsidRPr="00624898" w:rsidRDefault="00BF432F" w:rsidP="00E07747">
      <w:pPr>
        <w:ind w:firstLine="284"/>
        <w:jc w:val="both"/>
      </w:pPr>
      <w:r w:rsidRPr="00624898">
        <w:t>It remains to be ascertained what the Belgian legislature meant by "respect" for this family life in each of the areas covered by the application.</w:t>
      </w:r>
    </w:p>
    <w:p w14:paraId="6EE3DEAC" w14:textId="77777777" w:rsidR="00BF432F" w:rsidRPr="00624898" w:rsidRDefault="00BF432F" w:rsidP="00E07747">
      <w:pPr>
        <w:ind w:firstLine="284"/>
        <w:jc w:val="both"/>
      </w:pPr>
      <w:r w:rsidRPr="00624898">
        <w:t xml:space="preserve">Article 8, paragraph 1, of the right to respect for family life, means, first of all, that the State may not interfere with the exercise of this right, except under the strict conditions set out in paragraph 2 (art. 8-2). As the Court pointed out in the "Belgian linguistics" case, its purpose is "essentially" to protect the individual against arbitrary interference by the public authorities (judgment of 23 July 1968, Series A no. 6, p. 33, para. 7). However, it does not merely oblige the State to refrain from such </w:t>
      </w:r>
      <w:proofErr w:type="gramStart"/>
      <w:r w:rsidRPr="00624898">
        <w:lastRenderedPageBreak/>
        <w:t>interference:</w:t>
      </w:r>
      <w:proofErr w:type="gramEnd"/>
      <w:r w:rsidRPr="00624898">
        <w:t xml:space="preserve"> to this rather negative commitment may be added positive obligations inherent in an effective "respect" for family life.</w:t>
      </w:r>
    </w:p>
    <w:p w14:paraId="36E26A71" w14:textId="77777777" w:rsidR="00BF432F" w:rsidRPr="00624898" w:rsidRDefault="00BF432F" w:rsidP="00E07747">
      <w:pPr>
        <w:ind w:firstLine="284"/>
        <w:jc w:val="both"/>
      </w:pPr>
      <w:r w:rsidRPr="00624898">
        <w:t>It follows, inter alia, that the State, in laying down in its domestic legal system the rules applicable to certain family ties, such as those of a single mother with her child, must act in such a way as to enable the persons concerned to lead a normal family life. As Article 8 (art. 8) conceives, respect for family life implies, in particular, in the Court's view, the existence in national law of legal protection which makes it possible for the child to be integrated into his or her family from birth. Various means are available to the State in this regard, but legislation that does not meet this requirement violates article 8, paragraph 1, (art.</w:t>
      </w:r>
    </w:p>
    <w:p w14:paraId="271A3191" w14:textId="77777777" w:rsidR="00BF432F" w:rsidRPr="00624898" w:rsidRDefault="00BF432F" w:rsidP="00E07747">
      <w:pPr>
        <w:ind w:firstLine="284"/>
        <w:jc w:val="both"/>
      </w:pPr>
      <w:r w:rsidRPr="00624898">
        <w:t>Since Article 8 (art. 8) is therefore relevant in the present case, it is for the Court to examine in detail each of the applicants' complaints from the point of view of that provision.</w:t>
      </w:r>
    </w:p>
    <w:p w14:paraId="32EC4A37" w14:textId="77777777" w:rsidR="00BF432F" w:rsidRPr="00624898" w:rsidRDefault="00BF432F" w:rsidP="00E07747">
      <w:pPr>
        <w:ind w:firstLine="284"/>
        <w:jc w:val="both"/>
      </w:pPr>
      <w:r w:rsidRPr="00624898">
        <w:t>2. The alleged violation of Article 14 of the Convention, in conjunction with Article 8 (art. 14+8)</w:t>
      </w:r>
    </w:p>
    <w:p w14:paraId="2DE7DED9" w14:textId="77777777" w:rsidR="00BF432F" w:rsidRPr="00624898" w:rsidRDefault="00BF432F" w:rsidP="00E07747">
      <w:pPr>
        <w:ind w:firstLine="284"/>
        <w:jc w:val="both"/>
      </w:pPr>
      <w:r w:rsidRPr="00624898">
        <w:t>38. It is also for the Court to determine whether the applicants or any of them have been discriminated against contrary to Article 14, in conjunction with Article 8 (art. 14+8), as regards the method of establishing Alexandra's maternal filiation.</w:t>
      </w:r>
    </w:p>
    <w:p w14:paraId="335CED85" w14:textId="77777777" w:rsidR="00BF432F" w:rsidRPr="00624898" w:rsidRDefault="00BF432F" w:rsidP="00E07747">
      <w:pPr>
        <w:ind w:firstLine="284"/>
        <w:jc w:val="both"/>
      </w:pPr>
      <w:r w:rsidRPr="00624898">
        <w:t xml:space="preserve">In the Court's view, the fact that some single mothers, unlike Paula Marckx, do not want to take care of their child cannot justify the rule of Belgian law making the establishment of their maternity subject to voluntary recognition or a judicial declaration. This is not, in fact, a general attitude characterizing the relationship of the single mother with her </w:t>
      </w:r>
      <w:proofErr w:type="gramStart"/>
      <w:r w:rsidRPr="00624898">
        <w:t>child;</w:t>
      </w:r>
      <w:proofErr w:type="gramEnd"/>
      <w:r w:rsidRPr="00624898">
        <w:t xml:space="preserve"> the Government does not claim to do so, and the figures it puts forward do not prove it. As the Commission points out, a married mother may also sometimes not wish to raise her child, and yet the birth is sufficient to create the legal bond of filiation for </w:t>
      </w:r>
      <w:proofErr w:type="spellStart"/>
      <w:r w:rsidRPr="00624898">
        <w:t>her</w:t>
      </w:r>
      <w:proofErr w:type="spellEnd"/>
      <w:r w:rsidRPr="00624898">
        <w:t>.</w:t>
      </w:r>
    </w:p>
    <w:p w14:paraId="0F10D41F" w14:textId="77777777" w:rsidR="00BF432F" w:rsidRPr="00624898" w:rsidRDefault="00BF432F" w:rsidP="00E07747">
      <w:pPr>
        <w:ind w:firstLine="284"/>
        <w:jc w:val="both"/>
      </w:pPr>
      <w:r w:rsidRPr="00624898">
        <w:t xml:space="preserve">On the other hand, the "natural" child has no less interest than the "legitimate" child in the establishment of this link. However, he risks remaining without a mother under Belgian law. In the absence of voluntary recognition, there is only one resource available to him, and that is the search for maternity (Articles 341a-341c of the Civil Code, see paragraph 14 above). Such an action also exists for the child of a married woman (articles 326-330), but in the vast majority of cases the mention of the birth certificate (article 319) or, failing that, </w:t>
      </w:r>
      <w:proofErr w:type="gramStart"/>
      <w:r w:rsidRPr="00624898">
        <w:t>constant possession</w:t>
      </w:r>
      <w:proofErr w:type="gramEnd"/>
      <w:r w:rsidRPr="00624898">
        <w:t xml:space="preserve"> of status (article 320) exempts him from exercising it.</w:t>
      </w:r>
    </w:p>
    <w:p w14:paraId="13A663B5" w14:textId="77777777" w:rsidR="00BF432F" w:rsidRPr="00624898" w:rsidRDefault="00BF432F" w:rsidP="00E07747">
      <w:pPr>
        <w:ind w:firstLine="284"/>
        <w:jc w:val="both"/>
      </w:pPr>
      <w:r w:rsidRPr="00624898">
        <w:t xml:space="preserve">40. The Court recognises that it is in itself legitimate, even meritorious, to support and encourage the traditional family. To this end, it is also necessary not to have recourse to measures intended or resulting in harming, as in the present case, the "natural" </w:t>
      </w:r>
      <w:proofErr w:type="gramStart"/>
      <w:r w:rsidRPr="00624898">
        <w:t>family;</w:t>
      </w:r>
      <w:proofErr w:type="gramEnd"/>
      <w:r w:rsidRPr="00624898">
        <w:t xml:space="preserve"> the members of the latter enjoy the guarantees of Article 8 (art. 8) on an equal footing with those of the former.</w:t>
      </w:r>
    </w:p>
    <w:p w14:paraId="714BE44D" w14:textId="77777777" w:rsidR="00BF432F" w:rsidRPr="00624898" w:rsidRDefault="00BF432F" w:rsidP="00E07747">
      <w:pPr>
        <w:ind w:firstLine="284"/>
        <w:jc w:val="both"/>
      </w:pPr>
      <w:r w:rsidRPr="00624898">
        <w:t xml:space="preserve">Certainly, distinguishing in this area between "natural" and "legitimate" families was considered lawful and normal in many European countries at the time when the Convention of 4 November 1950 was drafted. The Court recalls, however, that the latter must be interpreted in the light of today's conditions (Tyrer judgment of 25 April 1978, Series A no. 26, p. 15, para. 31). In the present case, it cannot fail to be struck by a </w:t>
      </w:r>
      <w:proofErr w:type="gramStart"/>
      <w:r w:rsidRPr="00624898">
        <w:t>phenomenon:</w:t>
      </w:r>
      <w:proofErr w:type="gramEnd"/>
      <w:r w:rsidRPr="00624898">
        <w:t xml:space="preserve"> the domestic law of the vast majority of Council of Europe member States has evolved and continues to evolve, in line with the relevant international instruments, towards the full legal consecration of the adage "mater semper </w:t>
      </w:r>
      <w:proofErr w:type="spellStart"/>
      <w:r w:rsidRPr="00624898">
        <w:t>certa</w:t>
      </w:r>
      <w:proofErr w:type="spellEnd"/>
      <w:r w:rsidRPr="00624898">
        <w:t xml:space="preserve"> est".</w:t>
      </w:r>
    </w:p>
    <w:p w14:paraId="07825E1B" w14:textId="77777777" w:rsidR="00BF432F" w:rsidRPr="00624898" w:rsidRDefault="00BF432F" w:rsidP="00E07747">
      <w:pPr>
        <w:numPr>
          <w:ilvl w:val="0"/>
          <w:numId w:val="9"/>
        </w:numPr>
        <w:ind w:firstLine="284"/>
        <w:jc w:val="both"/>
      </w:pPr>
      <w:r w:rsidRPr="00624898">
        <w:t xml:space="preserve">43. The impugned distinction therefore lacks objective and reasonable justification. Accordingly, the method of establishing Alexandra Marckx's maternal parentage infringed Article 14 in conjunction with Article 8 on the part of the </w:t>
      </w:r>
      <w:proofErr w:type="spellStart"/>
      <w:r w:rsidRPr="00624898">
        <w:t>two</w:t>
      </w:r>
      <w:proofErr w:type="spellEnd"/>
      <w:r w:rsidRPr="00624898">
        <w:t xml:space="preserve"> </w:t>
      </w:r>
      <w:proofErr w:type="spellStart"/>
      <w:r w:rsidRPr="00624898">
        <w:t>applicants</w:t>
      </w:r>
      <w:proofErr w:type="spellEnd"/>
      <w:r w:rsidRPr="00624898">
        <w:t>.</w:t>
      </w:r>
    </w:p>
    <w:p w14:paraId="69A3BE0E" w14:textId="77777777" w:rsidR="00BF432F" w:rsidRPr="008A250D" w:rsidRDefault="00BF432F" w:rsidP="00E07747">
      <w:pPr>
        <w:ind w:firstLine="284"/>
        <w:jc w:val="both"/>
        <w:rPr>
          <w:b/>
          <w:bCs/>
        </w:rPr>
      </w:pPr>
    </w:p>
    <w:p w14:paraId="49BF1579" w14:textId="77777777" w:rsidR="00BF432F" w:rsidRPr="008A250D" w:rsidRDefault="00BF432F" w:rsidP="00E07747">
      <w:pPr>
        <w:ind w:firstLine="284"/>
        <w:jc w:val="both"/>
        <w:rPr>
          <w:b/>
          <w:bCs/>
        </w:rPr>
      </w:pPr>
      <w:r w:rsidRPr="008A250D">
        <w:rPr>
          <w:b/>
          <w:bCs/>
        </w:rPr>
        <w:t>D. et al. v. Turkey 22 June 2006, No. 24245/03</w:t>
      </w:r>
    </w:p>
    <w:p w14:paraId="42A79C7F" w14:textId="77777777" w:rsidR="00BF432F" w:rsidRPr="008A250D" w:rsidRDefault="00BF432F" w:rsidP="00E07747">
      <w:pPr>
        <w:ind w:firstLine="284"/>
        <w:jc w:val="both"/>
      </w:pPr>
      <w:r w:rsidRPr="008A250D">
        <w:t xml:space="preserve">45. The prohibition in Article 3 is equally absolute in relation to expulsion. The Court must place particular emphasis on the fact that the use of forms of punishment, including corporal punishment, contrary to this provision is in no way permissible. Thus, whenever there are substantial grounds for believing that a person in the country of destination will run a real risk of being subjected to such treatment, the Contracting State is liable in the event of expulsion (see, mutatis mutandis, Müslim, </w:t>
      </w:r>
      <w:r w:rsidRPr="008A250D">
        <w:lastRenderedPageBreak/>
        <w:t>cited above, § 66, Vilvarajah and Others v. the United Kingdom, judgment of 30 October 1991,  Series A no. 215, p. 34, § 103, Chahal v. United Kingdom, judgment of 15 November 1996, Reports of Judgments and Decisions 1996-V, p. 1855, § 80, and Tyrer v. United Kingdom, judgment of 25 April 1978, Series A no. 26, pp. 15-16, §§ 31 and 33).</w:t>
      </w:r>
    </w:p>
    <w:p w14:paraId="332B904D" w14:textId="77777777" w:rsidR="00BF432F" w:rsidRPr="008A250D" w:rsidRDefault="00BF432F" w:rsidP="00E07747">
      <w:pPr>
        <w:ind w:firstLine="284"/>
        <w:jc w:val="both"/>
      </w:pPr>
      <w:r w:rsidRPr="008A250D">
        <w:t>Referring primarily to the circumstances of which the Turkish authorities were or should have been aware at the time of their referral by the applicants, it observes that in Iran, corporal punishment was institutionalized in respect of certain categories of offences considered immoral, such as adultery or fornication: such punishments were provided for by law,  prescribed by judicial bodies and imposed by State agents.</w:t>
      </w:r>
    </w:p>
    <w:p w14:paraId="294B9D7C" w14:textId="77777777" w:rsidR="00BF432F" w:rsidRPr="008A250D" w:rsidRDefault="00BF432F" w:rsidP="00E07747">
      <w:pPr>
        <w:ind w:firstLine="284"/>
        <w:jc w:val="both"/>
      </w:pPr>
      <w:r w:rsidRPr="008A250D">
        <w:t>Compared to the time when the court conducted its own review of the case (</w:t>
      </w:r>
      <w:proofErr w:type="spellStart"/>
      <w:r w:rsidRPr="008A250D">
        <w:t>Chahal</w:t>
      </w:r>
      <w:proofErr w:type="spellEnd"/>
      <w:r w:rsidRPr="008A250D">
        <w:t>, supra, at p.</w:t>
      </w:r>
    </w:p>
    <w:p w14:paraId="54E56AC6" w14:textId="77777777" w:rsidR="00BF432F" w:rsidRPr="008A250D" w:rsidRDefault="00BF432F" w:rsidP="00E07747">
      <w:pPr>
        <w:ind w:firstLine="284"/>
        <w:jc w:val="both"/>
      </w:pPr>
      <w:r w:rsidRPr="008A250D">
        <w:t>49. As the Court has already stated, corporal punishment may be incompatible with the dignity and physical integrity of the person, which are protected by Article 3 of the Convention. In order for a punishment to be "degrading" and in breach of this provision, the humiliation or degradation with which it is accompanied must be at a particular level and in any event different from the usual element of humiliation inherent in each punishment. By expressly prohibiting "inhuman" and "degrading" punishments, Article 3 also implies that they are not to be confused with punishments in general.</w:t>
      </w:r>
    </w:p>
    <w:p w14:paraId="003E07C6" w14:textId="77777777" w:rsidR="00BF432F" w:rsidRPr="008A250D" w:rsidRDefault="00BF432F" w:rsidP="00E07747">
      <w:pPr>
        <w:ind w:firstLine="284"/>
        <w:jc w:val="both"/>
      </w:pPr>
      <w:r w:rsidRPr="008A250D">
        <w:t xml:space="preserve">It is true that Iranian law offers certain guarantees and, to a certain extent, the applicant has benefited from them: the execution of her sentence was postponed several times when she was pregnant, and it was finally decided that, in accordance with the opinion of the Forensic Medical Institute, the flogging should take place in two sessions, at the rate of fifty blows per session (see paragraph 14 above). Such a mitigation can in no way deprive the punishment provided for of </w:t>
      </w:r>
      <w:proofErr w:type="spellStart"/>
      <w:r w:rsidRPr="008A250D">
        <w:t>its</w:t>
      </w:r>
      <w:proofErr w:type="spellEnd"/>
      <w:r w:rsidRPr="008A250D">
        <w:t xml:space="preserve"> "</w:t>
      </w:r>
      <w:proofErr w:type="spellStart"/>
      <w:r w:rsidRPr="008A250D">
        <w:t>inhumane</w:t>
      </w:r>
      <w:proofErr w:type="spellEnd"/>
      <w:r w:rsidRPr="008A250D">
        <w:t xml:space="preserve">" </w:t>
      </w:r>
      <w:proofErr w:type="spellStart"/>
      <w:r w:rsidRPr="008A250D">
        <w:t>character</w:t>
      </w:r>
      <w:proofErr w:type="spellEnd"/>
      <w:r w:rsidRPr="008A250D">
        <w:t>.</w:t>
      </w:r>
    </w:p>
    <w:p w14:paraId="66BCE23C" w14:textId="77777777" w:rsidR="00BF432F" w:rsidRPr="008A250D" w:rsidRDefault="00BF432F" w:rsidP="00E07747">
      <w:pPr>
        <w:ind w:firstLine="284"/>
        <w:jc w:val="both"/>
      </w:pPr>
      <w:r w:rsidRPr="008A250D">
        <w:t xml:space="preserve">The Court emphasises that the possible execution by the administration of a single blow of the whip consisting of one hundred strips does not in any way confer on the sentence in question a "symbolic" character or change its classification as "inhuman" (see paragraph 50 above). In that case, although the applicant had been spared more serious injuries, the fact remains that her punishment, which still consisted in treating her publicly as an object in the hands of the State power, would have infringed precisely what is one of the main aims of Article </w:t>
      </w:r>
      <w:proofErr w:type="gramStart"/>
      <w:r w:rsidRPr="008A250D">
        <w:t>3:</w:t>
      </w:r>
      <w:proofErr w:type="gramEnd"/>
      <w:r w:rsidRPr="008A250D">
        <w:t xml:space="preserve"> the dignity and physical and psychological integrity of the person (see,  mutatis mutandis, Tyrer, cited above, p. 16, § 33).</w:t>
      </w:r>
    </w:p>
    <w:p w14:paraId="7740178C" w14:textId="77777777" w:rsidR="00BF432F" w:rsidRDefault="00BF432F" w:rsidP="00E07747">
      <w:pPr>
        <w:ind w:firstLine="284"/>
        <w:jc w:val="both"/>
      </w:pPr>
      <w:r w:rsidRPr="008A250D">
        <w:t>52. In the light of the foregoing considerations, the Court considers that it is established that there is a real risk that the applicant will be subjected to an 'inhuman' punishment, and therefore contrary to Article 3, if she were to be returned to Iran.</w:t>
      </w:r>
    </w:p>
    <w:p w14:paraId="70D458D5" w14:textId="77777777" w:rsidR="00BF432F" w:rsidRDefault="00BF432F" w:rsidP="00E07747">
      <w:pPr>
        <w:ind w:firstLine="284"/>
        <w:jc w:val="both"/>
      </w:pPr>
    </w:p>
    <w:p w14:paraId="16C9E14A" w14:textId="77777777" w:rsidR="00BF432F" w:rsidRPr="0089430E" w:rsidRDefault="00BF432F" w:rsidP="00E07747">
      <w:pPr>
        <w:ind w:firstLine="284"/>
        <w:jc w:val="both"/>
      </w:pPr>
    </w:p>
    <w:p w14:paraId="3FDCAE58" w14:textId="16C1C393" w:rsidR="00E07747" w:rsidRDefault="00E07747">
      <w:r>
        <w:br w:type="page"/>
      </w:r>
    </w:p>
    <w:p w14:paraId="22789A1F" w14:textId="77777777" w:rsidR="00BF432F" w:rsidRPr="00D45F80" w:rsidRDefault="00BF432F" w:rsidP="00E07747">
      <w:pPr>
        <w:pStyle w:val="Retraitcorpsdetexte2"/>
        <w:spacing w:line="240" w:lineRule="auto"/>
        <w:jc w:val="both"/>
        <w:rPr>
          <w:szCs w:val="24"/>
        </w:rPr>
      </w:pPr>
    </w:p>
    <w:p w14:paraId="7F268903" w14:textId="77777777" w:rsidR="00883ABC" w:rsidRPr="00D45F80" w:rsidRDefault="00883ABC" w:rsidP="00E07747">
      <w:pPr>
        <w:pStyle w:val="Retraitcorpsdetexte2"/>
        <w:spacing w:line="240" w:lineRule="auto"/>
        <w:jc w:val="both"/>
        <w:rPr>
          <w:b/>
          <w:bCs/>
          <w:szCs w:val="24"/>
        </w:rPr>
      </w:pPr>
    </w:p>
    <w:p w14:paraId="724B6373" w14:textId="77777777" w:rsidR="00D83FA0" w:rsidRPr="00D45F80" w:rsidRDefault="00AD3026" w:rsidP="00E07747">
      <w:pPr>
        <w:pStyle w:val="Retraitcorpsdetexte2"/>
        <w:spacing w:line="240" w:lineRule="auto"/>
        <w:rPr>
          <w:b/>
          <w:bCs/>
          <w:szCs w:val="24"/>
        </w:rPr>
      </w:pPr>
      <w:bookmarkStart w:id="7" w:name="_Hlk208320250"/>
      <w:r w:rsidRPr="009D291A">
        <w:rPr>
          <w:b/>
          <w:bCs/>
          <w:szCs w:val="24"/>
        </w:rPr>
        <w:t>§2.  Interpretative techniques to ensure the subsidiarity of the European Convention on Human Rights</w:t>
      </w:r>
    </w:p>
    <w:p w14:paraId="724B6374" w14:textId="0924D8DC" w:rsidR="00D83FA0" w:rsidRPr="00D45F80" w:rsidRDefault="00D83FA0" w:rsidP="00E07747">
      <w:pPr>
        <w:pStyle w:val="Retraitcorpsdetexte2"/>
        <w:spacing w:line="240" w:lineRule="auto"/>
        <w:jc w:val="both"/>
        <w:rPr>
          <w:szCs w:val="24"/>
        </w:rPr>
      </w:pPr>
      <w:r w:rsidRPr="00D45F80">
        <w:rPr>
          <w:szCs w:val="24"/>
        </w:rPr>
        <w:t>The procedural subsidiarity of the European Court's control is combined with a subsidiarity that could be described as substantial, which is manifested in the substance of the law: the European Court's sole objective is to harmonise rights, which must be compatible with the minimum standard of the guarantees contained in the European Convention on Human Rights; it cannot impose its own standards on all Council of Europe member states. As early as the Belgian language case of 23 July 1968, the Court stated that "it cannot take the place of the competent national authorities, otherwise it would lose sight of the subsidiary nature of the international collective guarantee mechanism established by the Convention". This is a recognition of the national autonomy and subsidiarity of the court's control, which can only intervene to condemn violations of the provisions of the convention. No absolute uniformity is necessary: the national authorities remain free to choose the measures they deem appropriate for the implementation of their treaty obligations, provided that they comply with the minimum standard imposed by the Convention: the Court's review relates only to the compatibility of these national measures with the Convention. This Convention entrusts the States themselves with the task of adjusting the legal regime of the rights proclaimed and the implementation of the limitations on the rights guaranteed that it authorizes.</w:t>
      </w:r>
    </w:p>
    <w:p w14:paraId="724B6375" w14:textId="19AD4790" w:rsidR="00137942" w:rsidRPr="00D45F80" w:rsidRDefault="00D83FA0" w:rsidP="00E07747">
      <w:pPr>
        <w:pStyle w:val="Retraitcorpsdetexte2"/>
        <w:spacing w:line="240" w:lineRule="auto"/>
        <w:jc w:val="both"/>
        <w:rPr>
          <w:szCs w:val="24"/>
        </w:rPr>
      </w:pPr>
      <w:r w:rsidRPr="00D45F80">
        <w:rPr>
          <w:szCs w:val="24"/>
        </w:rPr>
        <w:t xml:space="preserve">This substantial subsidiarity is reflected in several mechanisms or techniques provided for by the convention itself. The latter contains rights whose scope is not always the same: some are in fact inviolable, i.e. cannot be the subject of any limitation or derogation of any kind: these are the right to life enshrined in Article 2 of the Convention and the right not to be subjected to torture and inhuman and degrading treatment enshrined in Article 3 of the Convention. To this must be added the prohibition of slavery and servitude contained in Article 4, the non-retroactivity of criminal law in Article 7 and finally the rule  non </w:t>
      </w:r>
      <w:r w:rsidRPr="00385E32">
        <w:rPr>
          <w:i/>
          <w:iCs/>
          <w:szCs w:val="24"/>
        </w:rPr>
        <w:t>bis in idem</w:t>
      </w:r>
      <w:r w:rsidRPr="00D45F80">
        <w:rPr>
          <w:szCs w:val="24"/>
        </w:rPr>
        <w:t xml:space="preserve"> (no double punishment) in Article 4 of Protocol 7. They are referred to as the minimum standard of European human rights law.</w:t>
      </w:r>
    </w:p>
    <w:p w14:paraId="724B6376" w14:textId="327699D3" w:rsidR="00D83FA0" w:rsidRDefault="00D83FA0" w:rsidP="00E07747">
      <w:pPr>
        <w:pStyle w:val="Retraitcorpsdetexte2"/>
        <w:spacing w:line="240" w:lineRule="auto"/>
        <w:jc w:val="both"/>
        <w:rPr>
          <w:szCs w:val="24"/>
        </w:rPr>
      </w:pPr>
      <w:r w:rsidRPr="00D45F80">
        <w:rPr>
          <w:szCs w:val="24"/>
        </w:rPr>
        <w:t>The other rights, which are called conditional rights, allow limitations that offer States an undeniable space of freedom in their implementation. Moreover, the Convention contains reductive principles intended to defend the community: first of all, Article 15 legitimizes measures derogating from most of the obligations of States Parties in the event of war or other public emergency that threatens the life of the Nation.</w:t>
      </w:r>
    </w:p>
    <w:p w14:paraId="694A0B05" w14:textId="750924E3" w:rsidR="00664DC3" w:rsidRPr="00D45F80" w:rsidRDefault="00664DC3" w:rsidP="00E07747">
      <w:pPr>
        <w:pStyle w:val="Retraitcorpsdetexte2"/>
        <w:spacing w:line="240" w:lineRule="auto"/>
        <w:jc w:val="both"/>
        <w:rPr>
          <w:szCs w:val="24"/>
        </w:rPr>
      </w:pPr>
      <w:r>
        <w:rPr>
          <w:szCs w:val="24"/>
        </w:rPr>
        <w:t>Secondly, the general public policy clause, which designates the second paragraphs of articles other than those which contain intangible rights, authorises limitations on the rights guaranteed by the first paragraphs, if they are necessary in a democratic society.</w:t>
      </w:r>
    </w:p>
    <w:p w14:paraId="724B6378" w14:textId="74C0D522" w:rsidR="00D83FA0" w:rsidRDefault="00D83FA0" w:rsidP="00E07747">
      <w:pPr>
        <w:pStyle w:val="Retraitcorpsdetexte2"/>
        <w:spacing w:line="240" w:lineRule="auto"/>
        <w:jc w:val="both"/>
        <w:rPr>
          <w:szCs w:val="24"/>
        </w:rPr>
      </w:pPr>
      <w:r w:rsidRPr="00D45F80">
        <w:rPr>
          <w:szCs w:val="24"/>
        </w:rPr>
        <w:t>The European Court of Human Rights has developed interpretive techniques that enable it to reconcile the interests of the individual and the community by reviewing restrictions on fundamental rights. These are the margin of appreciation and the review of proportionality.</w:t>
      </w:r>
    </w:p>
    <w:p w14:paraId="24BD8206" w14:textId="77777777" w:rsidR="00E07747" w:rsidRPr="00D45F80" w:rsidRDefault="00E07747" w:rsidP="00E07747">
      <w:pPr>
        <w:pStyle w:val="Retraitcorpsdetexte2"/>
        <w:spacing w:line="240" w:lineRule="auto"/>
        <w:jc w:val="both"/>
        <w:rPr>
          <w:szCs w:val="24"/>
        </w:rPr>
      </w:pPr>
    </w:p>
    <w:p w14:paraId="724B638D" w14:textId="2AB89AA8" w:rsidR="00D83FA0" w:rsidRPr="00084AA7" w:rsidRDefault="00084AA7" w:rsidP="00E07747">
      <w:pPr>
        <w:pStyle w:val="Retraitcorpsdetexte2"/>
        <w:spacing w:line="240" w:lineRule="auto"/>
        <w:jc w:val="both"/>
        <w:rPr>
          <w:b/>
          <w:bCs/>
          <w:szCs w:val="24"/>
        </w:rPr>
      </w:pPr>
      <w:r>
        <w:rPr>
          <w:b/>
          <w:bCs/>
          <w:szCs w:val="24"/>
        </w:rPr>
        <w:t>1° The margin of appreciation</w:t>
      </w:r>
    </w:p>
    <w:p w14:paraId="724B638E" w14:textId="6CCF5E10" w:rsidR="00D83FA0" w:rsidRPr="00D45F80" w:rsidRDefault="00D83FA0" w:rsidP="00E07747">
      <w:pPr>
        <w:pStyle w:val="Retraitcorpsdetexte2"/>
        <w:spacing w:line="240" w:lineRule="auto"/>
        <w:jc w:val="both"/>
        <w:rPr>
          <w:szCs w:val="24"/>
        </w:rPr>
      </w:pPr>
      <w:r w:rsidRPr="00D45F80">
        <w:rPr>
          <w:szCs w:val="24"/>
        </w:rPr>
        <w:t xml:space="preserve">The judicial notion of margin of appreciation confers on States a discretionary power in the implementation of restrictions on protected rights and marks </w:t>
      </w:r>
      <w:r w:rsidRPr="00084AA7">
        <w:rPr>
          <w:i/>
          <w:iCs/>
          <w:szCs w:val="24"/>
        </w:rPr>
        <w:t>a priori</w:t>
      </w:r>
      <w:r w:rsidRPr="00D45F80">
        <w:rPr>
          <w:szCs w:val="24"/>
        </w:rPr>
        <w:t xml:space="preserve"> European control with the seal of judicial restraint. The concept of margin of appreciation defines the relationship of compatibility that must exist between national measures and the contractual norm.</w:t>
      </w:r>
    </w:p>
    <w:p w14:paraId="724B638F" w14:textId="77777777" w:rsidR="00D83FA0" w:rsidRPr="00D45F80" w:rsidRDefault="00D83FA0" w:rsidP="00E07747">
      <w:pPr>
        <w:pStyle w:val="Retraitcorpsdetexte2"/>
        <w:spacing w:line="240" w:lineRule="auto"/>
        <w:jc w:val="both"/>
        <w:rPr>
          <w:szCs w:val="24"/>
        </w:rPr>
      </w:pPr>
      <w:r w:rsidRPr="00D45F80">
        <w:rPr>
          <w:szCs w:val="24"/>
        </w:rPr>
        <w:t xml:space="preserve">The recognition of the national margin of appreciation is the recognition of the subsidiarity of the law of the European Convention on Human Rights in relation to domestic laws. The Court accepts by the use of this concept that the laws of the different member States of the Council of Europe may be different, it is the recognition of a certain legal pluralism within the Council of Europe. This is based on the recognition of the diversity of traditions and cultures of different countries. This pluralism leads </w:t>
      </w:r>
      <w:r w:rsidRPr="00D45F80">
        <w:rPr>
          <w:szCs w:val="24"/>
        </w:rPr>
        <w:lastRenderedPageBreak/>
        <w:t xml:space="preserve">the court to relativize its assessment of certain domestic rules, taking into account the specificity of the country in which it exists. </w:t>
      </w:r>
    </w:p>
    <w:p w14:paraId="724B6390" w14:textId="77777777" w:rsidR="00D83FA0" w:rsidRPr="00D45F80" w:rsidRDefault="00D83FA0" w:rsidP="00E07747">
      <w:pPr>
        <w:pStyle w:val="Retraitcorpsdetexte2"/>
        <w:spacing w:line="240" w:lineRule="auto"/>
        <w:jc w:val="both"/>
        <w:rPr>
          <w:szCs w:val="24"/>
        </w:rPr>
      </w:pPr>
      <w:r w:rsidRPr="00D45F80">
        <w:rPr>
          <w:szCs w:val="24"/>
        </w:rPr>
        <w:t xml:space="preserve">The very idea of a margin of appreciation is based on the recognition of the diversity of rights, since the Convention does not impose "absolute uniformity". There can be a wide variety of national solutions without any of them violating the Convention, and the Court has noted this diversity in many cases in a number of areas. </w:t>
      </w:r>
    </w:p>
    <w:p w14:paraId="724B6391" w14:textId="2EF0D40D" w:rsidR="00DA4C94" w:rsidRPr="00D45F80" w:rsidRDefault="00DA4C94" w:rsidP="00E07747">
      <w:pPr>
        <w:pStyle w:val="Retraitcorpsdetexte2"/>
        <w:spacing w:line="240" w:lineRule="auto"/>
        <w:jc w:val="both"/>
        <w:rPr>
          <w:szCs w:val="24"/>
        </w:rPr>
      </w:pPr>
      <w:r w:rsidRPr="00D45F80">
        <w:rPr>
          <w:szCs w:val="24"/>
        </w:rPr>
        <w:t>From a more technical, functional point of view, the Court inferred the existence of a margin of appreciation from the finding that the national authorities have the best knowledge of the local circumstances and conditions of application of the Convention, and that they are therefore in a better position to rule on the content of the requirements of public policy and the need for a restriction on a freedom.</w:t>
      </w:r>
    </w:p>
    <w:p w14:paraId="724B6392" w14:textId="17D81F00" w:rsidR="00DA4C94" w:rsidRPr="00D45F80" w:rsidRDefault="00DA4C94" w:rsidP="00E07747">
      <w:pPr>
        <w:pStyle w:val="Retraitcorpsdetexte2"/>
        <w:spacing w:line="240" w:lineRule="auto"/>
        <w:jc w:val="both"/>
        <w:rPr>
          <w:szCs w:val="24"/>
        </w:rPr>
      </w:pPr>
      <w:r w:rsidRPr="00D45F80">
        <w:rPr>
          <w:szCs w:val="24"/>
        </w:rPr>
        <w:t xml:space="preserve">Granting a margin of appreciation to States does not mean that the Court abdicates all control, it is only different depending on whether the margin of appreciation granted to States is more or less wide. The whole question is to measure the margin of appreciation of the States. The margin of appreciation granted to States by the European Court is different depending on the issues at issue. </w:t>
      </w:r>
    </w:p>
    <w:p w14:paraId="00B57D0C" w14:textId="07BD6830" w:rsidR="00C73F0E" w:rsidRDefault="00D83FA0" w:rsidP="00E07747">
      <w:pPr>
        <w:pStyle w:val="Retraitcorpsdetexte2"/>
        <w:spacing w:line="240" w:lineRule="auto"/>
        <w:jc w:val="both"/>
        <w:rPr>
          <w:szCs w:val="24"/>
        </w:rPr>
      </w:pPr>
      <w:r w:rsidRPr="00D45F80">
        <w:rPr>
          <w:szCs w:val="24"/>
        </w:rPr>
        <w:t>A study of the Court's case-law makes it possible to identify two essential criteria for determining the margin of appreciation: the existence or not of a common denominator in the legal systems of States and the nature of the right in question.</w:t>
      </w:r>
    </w:p>
    <w:p w14:paraId="0852B383" w14:textId="77777777" w:rsidR="00E07747" w:rsidRPr="00D45F80" w:rsidRDefault="00E07747" w:rsidP="00E07747">
      <w:pPr>
        <w:pStyle w:val="Retraitcorpsdetexte2"/>
        <w:spacing w:line="240" w:lineRule="auto"/>
        <w:jc w:val="both"/>
        <w:rPr>
          <w:szCs w:val="24"/>
        </w:rPr>
      </w:pPr>
    </w:p>
    <w:p w14:paraId="4FF8A785" w14:textId="113F77CE" w:rsidR="00B50330" w:rsidRDefault="00D83FA0" w:rsidP="00E07747">
      <w:pPr>
        <w:pStyle w:val="Retraitcorpsdetexte2"/>
        <w:numPr>
          <w:ilvl w:val="0"/>
          <w:numId w:val="19"/>
        </w:numPr>
        <w:spacing w:line="240" w:lineRule="auto"/>
        <w:ind w:left="0" w:firstLine="284"/>
        <w:jc w:val="both"/>
        <w:rPr>
          <w:b/>
          <w:bCs/>
          <w:szCs w:val="24"/>
        </w:rPr>
      </w:pPr>
      <w:r w:rsidRPr="00D45F80">
        <w:rPr>
          <w:b/>
          <w:bCs/>
          <w:szCs w:val="24"/>
        </w:rPr>
        <w:t>The existence of a common denominator</w:t>
      </w:r>
    </w:p>
    <w:p w14:paraId="724B639E" w14:textId="7D0F1FD2" w:rsidR="00EA14AD" w:rsidRPr="00D45F80" w:rsidRDefault="00D83FA0" w:rsidP="00E07747">
      <w:pPr>
        <w:pStyle w:val="Retraitcorpsdetexte2"/>
        <w:spacing w:line="240" w:lineRule="auto"/>
        <w:jc w:val="both"/>
        <w:rPr>
          <w:szCs w:val="24"/>
        </w:rPr>
      </w:pPr>
      <w:r w:rsidRPr="00D45F80">
        <w:rPr>
          <w:szCs w:val="24"/>
        </w:rPr>
        <w:t xml:space="preserve">The presence or absence of a common denominator called "consensus" in the legal systems of States is a decisive element in the control of the European Court, which practices a so-called "consensual" interpretation. The existence of a consensus between States, i.e. the existence of common views and principles, reduces the margin of appreciation. </w:t>
      </w:r>
    </w:p>
    <w:p w14:paraId="724B639F" w14:textId="53ECE18B" w:rsidR="00EA14AD" w:rsidRPr="00D45F80" w:rsidRDefault="00D83FA0" w:rsidP="00E07747">
      <w:pPr>
        <w:pStyle w:val="Retraitcorpsdetexte2"/>
        <w:spacing w:line="240" w:lineRule="auto"/>
        <w:jc w:val="both"/>
        <w:rPr>
          <w:szCs w:val="24"/>
        </w:rPr>
      </w:pPr>
      <w:r w:rsidRPr="00D45F80">
        <w:rPr>
          <w:szCs w:val="24"/>
        </w:rPr>
        <w:t xml:space="preserve">While the existence of a "common denominator in the legal systems" of the States reduces their margin of appreciation, conversely, the absence of a "common denominator" leaves the State a "large" or "wide" margin of appreciation in this area. </w:t>
      </w:r>
    </w:p>
    <w:p w14:paraId="724B63A0" w14:textId="67BD534C" w:rsidR="00930C0C" w:rsidRDefault="00EA14AD" w:rsidP="00E07747">
      <w:pPr>
        <w:pStyle w:val="Retraitcorpsdetexte2"/>
        <w:spacing w:line="240" w:lineRule="auto"/>
        <w:jc w:val="both"/>
        <w:rPr>
          <w:szCs w:val="24"/>
        </w:rPr>
      </w:pPr>
      <w:r w:rsidRPr="00D45F80">
        <w:rPr>
          <w:szCs w:val="24"/>
        </w:rPr>
        <w:t>Consensual interpretation is not always used rigorously by the court, which sometimes detaches itself from it to affirm a more personal solution of the court. The best example is the Odièvre judgment of 13 February 2003 in which the Court accepted the maintenance of the secret childbirth system in France while, with one or two exceptions, the other States did not admit it.</w:t>
      </w:r>
    </w:p>
    <w:p w14:paraId="653178FA" w14:textId="77777777" w:rsidR="00E07747" w:rsidRDefault="00E07747" w:rsidP="00E07747">
      <w:pPr>
        <w:pStyle w:val="Retraitcorpsdetexte2"/>
        <w:spacing w:line="240" w:lineRule="auto"/>
        <w:jc w:val="both"/>
        <w:rPr>
          <w:szCs w:val="24"/>
        </w:rPr>
      </w:pPr>
    </w:p>
    <w:p w14:paraId="7E70AA7E" w14:textId="22157FB4" w:rsidR="007D3DCC" w:rsidRDefault="00B50330" w:rsidP="00E07747">
      <w:pPr>
        <w:pStyle w:val="Retraitcorpsdetexte2"/>
        <w:numPr>
          <w:ilvl w:val="0"/>
          <w:numId w:val="21"/>
        </w:numPr>
        <w:spacing w:line="240" w:lineRule="auto"/>
        <w:ind w:left="0" w:firstLine="284"/>
        <w:jc w:val="both"/>
        <w:rPr>
          <w:b/>
          <w:bCs/>
          <w:szCs w:val="24"/>
        </w:rPr>
      </w:pPr>
      <w:r w:rsidRPr="00D45F80">
        <w:rPr>
          <w:b/>
          <w:bCs/>
          <w:szCs w:val="24"/>
        </w:rPr>
        <w:t xml:space="preserve">The nature of the right at issue </w:t>
      </w:r>
    </w:p>
    <w:p w14:paraId="3D4AD1F9" w14:textId="5E1C436A" w:rsidR="00B50330" w:rsidRPr="00D45F80" w:rsidRDefault="007D3DCC" w:rsidP="00E07747">
      <w:pPr>
        <w:pStyle w:val="Retraitcorpsdetexte2"/>
        <w:spacing w:line="240" w:lineRule="auto"/>
        <w:jc w:val="both"/>
        <w:rPr>
          <w:b/>
          <w:bCs/>
          <w:szCs w:val="24"/>
        </w:rPr>
      </w:pPr>
      <w:r>
        <w:rPr>
          <w:szCs w:val="24"/>
        </w:rPr>
        <w:t>The Court, in determining the margin of appreciation, also referred to "the activities at stake". Here we find a certain hierarchy of the rights guaranteed by the convention. The more the law affects the privacy of the individual, the stricter the control will be because the margin of appreciation of States will be reduced: this is the case in the case of sexual freedom or parental rights or the confidentiality of personal data relating to health.</w:t>
      </w:r>
    </w:p>
    <w:p w14:paraId="7A6600AA" w14:textId="77777777" w:rsidR="00B50330" w:rsidRPr="00D45F80" w:rsidRDefault="00B50330" w:rsidP="00E07747">
      <w:pPr>
        <w:pStyle w:val="Retraitcorpsdetexte2"/>
        <w:spacing w:line="240" w:lineRule="auto"/>
        <w:jc w:val="both"/>
        <w:rPr>
          <w:szCs w:val="24"/>
        </w:rPr>
      </w:pPr>
      <w:r w:rsidRPr="00D45F80">
        <w:rPr>
          <w:szCs w:val="24"/>
        </w:rPr>
        <w:t>Similarly, areas that are particularly sensitive for a democratic society, such as freedom of the press or the freedom of association of political parties, are not areas in which the court grants a wide margin of appreciation to States.</w:t>
      </w:r>
    </w:p>
    <w:p w14:paraId="36347757" w14:textId="77777777" w:rsidR="00B50330" w:rsidRPr="00D45F80" w:rsidRDefault="00B50330" w:rsidP="00E07747">
      <w:pPr>
        <w:pStyle w:val="Retraitcorpsdetexte2"/>
        <w:spacing w:line="240" w:lineRule="auto"/>
        <w:jc w:val="both"/>
        <w:rPr>
          <w:szCs w:val="24"/>
        </w:rPr>
      </w:pPr>
      <w:r w:rsidRPr="00D45F80">
        <w:rPr>
          <w:szCs w:val="24"/>
        </w:rPr>
        <w:t>Conversely, when the question referred relates to a more technical or complex field, the court is more inclined to grant a wide margin of appreciation to the States: this is the case in matters of unfair competition or urban planning.</w:t>
      </w:r>
    </w:p>
    <w:p w14:paraId="15D30891" w14:textId="77777777" w:rsidR="00B50330" w:rsidRPr="00D45F80" w:rsidRDefault="00B50330" w:rsidP="00E07747">
      <w:pPr>
        <w:pStyle w:val="Retraitcorpsdetexte2"/>
        <w:spacing w:line="240" w:lineRule="auto"/>
        <w:jc w:val="both"/>
        <w:rPr>
          <w:szCs w:val="24"/>
        </w:rPr>
      </w:pPr>
    </w:p>
    <w:p w14:paraId="361968E1" w14:textId="77777777" w:rsidR="00C73F0E" w:rsidRDefault="00AD3026" w:rsidP="00E07747">
      <w:pPr>
        <w:pStyle w:val="Retraitcorpsdetexte2"/>
        <w:spacing w:line="240" w:lineRule="auto"/>
        <w:jc w:val="both"/>
        <w:rPr>
          <w:szCs w:val="24"/>
        </w:rPr>
      </w:pPr>
      <w:r w:rsidRPr="00D45F80">
        <w:rPr>
          <w:b/>
          <w:bCs/>
          <w:szCs w:val="24"/>
        </w:rPr>
        <w:br w:type="page"/>
      </w:r>
    </w:p>
    <w:p w14:paraId="07D94A39" w14:textId="77777777" w:rsidR="00C73F0E" w:rsidRDefault="00C73F0E" w:rsidP="00E07747">
      <w:pPr>
        <w:pStyle w:val="JuPara"/>
        <w:rPr>
          <w:lang w:bidi="en-US"/>
        </w:rPr>
      </w:pPr>
      <w:r w:rsidRPr="00C73F0E">
        <w:rPr>
          <w:highlight w:val="yellow"/>
          <w:lang w:bidi="en-US"/>
        </w:rPr>
        <w:lastRenderedPageBreak/>
        <w:t xml:space="preserve">Judgment of Cherrier v. France, 30 </w:t>
      </w:r>
      <w:proofErr w:type="spellStart"/>
      <w:r w:rsidRPr="00C73F0E">
        <w:rPr>
          <w:highlight w:val="yellow"/>
          <w:lang w:bidi="en-US"/>
        </w:rPr>
        <w:t>January</w:t>
      </w:r>
      <w:proofErr w:type="spellEnd"/>
      <w:r w:rsidRPr="00C73F0E">
        <w:rPr>
          <w:highlight w:val="yellow"/>
          <w:lang w:bidi="en-US"/>
        </w:rPr>
        <w:t xml:space="preserve"> 2024</w:t>
      </w:r>
    </w:p>
    <w:p w14:paraId="36011A6A" w14:textId="77777777" w:rsidR="00C73F0E" w:rsidRPr="006D652F" w:rsidRDefault="00C73F0E" w:rsidP="00E07747">
      <w:pPr>
        <w:pStyle w:val="JuPara"/>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67</w:t>
      </w:r>
      <w:r w:rsidRPr="006D652F">
        <w:rPr>
          <w:lang w:bidi="en-US"/>
        </w:rPr>
        <w:fldChar w:fldCharType="end"/>
      </w:r>
      <w:r w:rsidRPr="006D652F">
        <w:rPr>
          <w:lang w:bidi="en-US"/>
        </w:rPr>
        <w:t xml:space="preserve">.  In addition to the case law referred to </w:t>
      </w:r>
      <w:proofErr w:type="spellStart"/>
      <w:r w:rsidRPr="006D652F">
        <w:rPr>
          <w:lang w:bidi="en-US"/>
        </w:rPr>
        <w:t>above</w:t>
      </w:r>
      <w:proofErr w:type="spellEnd"/>
      <w:r w:rsidRPr="006D652F">
        <w:rPr>
          <w:lang w:bidi="en-US"/>
        </w:rPr>
        <w:t xml:space="preserve"> (</w:t>
      </w:r>
      <w:proofErr w:type="spellStart"/>
      <w:r w:rsidRPr="006D652F">
        <w:rPr>
          <w:lang w:bidi="en-US"/>
        </w:rPr>
        <w:t>paragraph</w:t>
      </w:r>
      <w:proofErr w:type="spellEnd"/>
      <w:r w:rsidRPr="006D652F">
        <w:rPr>
          <w:lang w:bidi="en-US"/>
        </w:rPr>
        <w:t xml:space="preserve"> </w:t>
      </w:r>
      <w:r w:rsidRPr="006D652F">
        <w:rPr>
          <w:lang w:bidi="en-US"/>
        </w:rPr>
        <w:fldChar w:fldCharType="begin"/>
      </w:r>
      <w:r w:rsidRPr="006D652F">
        <w:rPr>
          <w:lang w:bidi="en-US"/>
        </w:rPr>
        <w:instrText xml:space="preserve"> REF paragraph00052 \h  \* CharFormat  \* MERGEFORMAT </w:instrText>
      </w:r>
      <w:r w:rsidRPr="006D652F">
        <w:rPr>
          <w:lang w:bidi="en-US"/>
        </w:rPr>
      </w:r>
      <w:r w:rsidRPr="006D652F">
        <w:rPr>
          <w:lang w:bidi="en-US"/>
        </w:rPr>
        <w:fldChar w:fldCharType="separate"/>
      </w:r>
      <w:r w:rsidRPr="006D652F">
        <w:rPr>
          <w:lang w:bidi="en-US"/>
        </w:rPr>
        <w:t>52</w:t>
      </w:r>
      <w:r w:rsidRPr="006D652F">
        <w:rPr>
          <w:lang w:bidi="en-US"/>
        </w:rPr>
        <w:fldChar w:fldCharType="end"/>
      </w:r>
      <w:r w:rsidRPr="006D652F">
        <w:rPr>
          <w:lang w:bidi="en-US"/>
        </w:rPr>
        <w:t xml:space="preserve"> </w:t>
      </w:r>
      <w:proofErr w:type="spellStart"/>
      <w:r w:rsidRPr="006D652F">
        <w:rPr>
          <w:lang w:bidi="en-US"/>
        </w:rPr>
        <w:t>above</w:t>
      </w:r>
      <w:proofErr w:type="spellEnd"/>
      <w:r w:rsidRPr="006D652F">
        <w:rPr>
          <w:lang w:bidi="en-US"/>
        </w:rPr>
        <w:t>), the Court</w:t>
      </w:r>
      <w:r w:rsidRPr="006D652F">
        <w:rPr>
          <w:rFonts w:cstheme="minorHAnsi"/>
          <w:color w:val="000000"/>
        </w:rPr>
        <w:t xml:space="preserve"> recalls that</w:t>
      </w:r>
      <w:r w:rsidRPr="006D652F">
        <w:rPr>
          <w:lang w:bidi="en-US"/>
        </w:rPr>
        <w:t xml:space="preserve"> The choice of appropriate measures to ensure compliance with Article 8 of the Convention in inter-individual relations is, in principle, a matter for the discretion of the Contracting States.</w:t>
      </w:r>
      <w:r w:rsidRPr="006D652F">
        <w:rPr>
          <w:i/>
          <w:iCs/>
        </w:rPr>
        <w:t>Odièvre</w:t>
      </w:r>
      <w:r w:rsidRPr="006D652F">
        <w:t xml:space="preserve">, cited above, § 46, Advisory Opinion on the Recognition in Domestic Law of a Parent-Child Relationship Between a Child Born of Surrogacy Abroad and the Intended Mother, [GC], Application No. P16-2018-001, French Court of Cassation, § 51, 10 April 2019, </w:t>
      </w:r>
      <w:bookmarkStart w:id="8" w:name="_cl42399"/>
      <w:r w:rsidRPr="006D652F">
        <w:rPr>
          <w:i/>
          <w:iCs/>
        </w:rPr>
        <w:t>O.H. and G.H. v. Germany</w:t>
      </w:r>
      <w:bookmarkEnd w:id="8"/>
      <w:r w:rsidRPr="006D652F">
        <w:t>, Nos 53568/18 and 54741/18, § 129, 4 April 2023).</w:t>
      </w:r>
    </w:p>
    <w:p w14:paraId="635F26B4" w14:textId="77777777" w:rsidR="00C73F0E" w:rsidRPr="006D652F" w:rsidRDefault="00C73F0E" w:rsidP="00E07747">
      <w:pPr>
        <w:pStyle w:val="JuPara"/>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68</w:t>
      </w:r>
      <w:r w:rsidRPr="006D652F">
        <w:rPr>
          <w:lang w:bidi="en-US"/>
        </w:rPr>
        <w:fldChar w:fldCharType="end"/>
      </w:r>
      <w:r w:rsidRPr="006D652F">
        <w:rPr>
          <w:lang w:bidi="en-US"/>
        </w:rPr>
        <w:t xml:space="preserve">.  In the present case, the considerations </w:t>
      </w:r>
      <w:proofErr w:type="spellStart"/>
      <w:r w:rsidRPr="006D652F">
        <w:rPr>
          <w:lang w:bidi="en-US"/>
        </w:rPr>
        <w:t>preceding</w:t>
      </w:r>
      <w:proofErr w:type="spellEnd"/>
      <w:r w:rsidRPr="006D652F">
        <w:rPr>
          <w:lang w:bidi="en-US"/>
        </w:rPr>
        <w:t xml:space="preserve"> in </w:t>
      </w:r>
      <w:proofErr w:type="spellStart"/>
      <w:r w:rsidRPr="006D652F">
        <w:rPr>
          <w:lang w:bidi="en-US"/>
        </w:rPr>
        <w:t>paragraph</w:t>
      </w:r>
      <w:proofErr w:type="spellEnd"/>
      <w:r w:rsidRPr="006D652F">
        <w:rPr>
          <w:lang w:bidi="en-US"/>
        </w:rPr>
        <w:t xml:space="preserve"> </w:t>
      </w:r>
      <w:r w:rsidRPr="006D652F">
        <w:rPr>
          <w:lang w:bidi="en-US"/>
        </w:rPr>
        <w:fldChar w:fldCharType="begin"/>
      </w:r>
      <w:r w:rsidRPr="006D652F">
        <w:rPr>
          <w:lang w:bidi="en-US"/>
        </w:rPr>
        <w:instrText xml:space="preserve"> REF paragraph00066 \h  \* CharFormat  \* MERGEFORMAT </w:instrText>
      </w:r>
      <w:r w:rsidRPr="006D652F">
        <w:rPr>
          <w:lang w:bidi="en-US"/>
        </w:rPr>
      </w:r>
      <w:r w:rsidRPr="006D652F">
        <w:rPr>
          <w:lang w:bidi="en-US"/>
        </w:rPr>
        <w:fldChar w:fldCharType="separate"/>
      </w:r>
      <w:r w:rsidRPr="006D652F">
        <w:rPr>
          <w:lang w:bidi="en-US"/>
        </w:rPr>
        <w:t>66</w:t>
      </w:r>
      <w:r w:rsidRPr="006D652F">
        <w:rPr>
          <w:lang w:bidi="en-US"/>
        </w:rPr>
        <w:fldChar w:fldCharType="end"/>
      </w:r>
      <w:r w:rsidRPr="006D652F">
        <w:rPr>
          <w:lang w:bidi="en-US"/>
        </w:rPr>
        <w:t xml:space="preserve"> lead the Court to find that the examination of the "fair balance" tends to be narrowed around two private rights and interests. In addition, it does not lose sight of the fact that the issue of childbirth under X continues to raise sensitive ethical issues, from the point of view of women, and in particular from the point of view of their health and their physical and psychological </w:t>
      </w:r>
      <w:proofErr w:type="gramStart"/>
      <w:r w:rsidRPr="006D652F">
        <w:rPr>
          <w:lang w:bidi="en-US"/>
        </w:rPr>
        <w:t>integrity.</w:t>
      </w:r>
      <w:r w:rsidRPr="006D652F">
        <w:rPr>
          <w:i/>
          <w:iCs/>
          <w:lang w:bidi="en-US"/>
        </w:rPr>
        <w:t>Odièvre</w:t>
      </w:r>
      <w:proofErr w:type="gramEnd"/>
      <w:r w:rsidRPr="006D652F">
        <w:rPr>
          <w:lang w:bidi="en-US"/>
        </w:rPr>
        <w:t xml:space="preserve">, § 44, </w:t>
      </w:r>
      <w:proofErr w:type="spellStart"/>
      <w:r w:rsidRPr="006D652F">
        <w:rPr>
          <w:lang w:bidi="en-US"/>
        </w:rPr>
        <w:t>see</w:t>
      </w:r>
      <w:proofErr w:type="spellEnd"/>
      <w:r w:rsidRPr="006D652F">
        <w:rPr>
          <w:lang w:bidi="en-US"/>
        </w:rPr>
        <w:t xml:space="preserve"> </w:t>
      </w:r>
      <w:proofErr w:type="spellStart"/>
      <w:r w:rsidRPr="006D652F">
        <w:rPr>
          <w:lang w:bidi="en-US"/>
        </w:rPr>
        <w:t>also</w:t>
      </w:r>
      <w:proofErr w:type="spellEnd"/>
      <w:r w:rsidRPr="006D652F">
        <w:rPr>
          <w:lang w:bidi="en-US"/>
        </w:rPr>
        <w:t xml:space="preserve"> </w:t>
      </w:r>
      <w:proofErr w:type="spellStart"/>
      <w:r w:rsidRPr="006D652F">
        <w:rPr>
          <w:lang w:bidi="en-US"/>
        </w:rPr>
        <w:t>paragraph</w:t>
      </w:r>
      <w:proofErr w:type="spellEnd"/>
      <w:r w:rsidRPr="006D652F">
        <w:rPr>
          <w:lang w:bidi="en-US"/>
        </w:rPr>
        <w:t xml:space="preserve"> </w:t>
      </w:r>
      <w:r w:rsidRPr="006D652F">
        <w:rPr>
          <w:lang w:bidi="en-US"/>
        </w:rPr>
        <w:fldChar w:fldCharType="begin"/>
      </w:r>
      <w:r w:rsidRPr="006D652F">
        <w:rPr>
          <w:lang w:bidi="en-US"/>
        </w:rPr>
        <w:instrText xml:space="preserve"> REF paragraph00025 \h  \* CharFormat  \* MERGEFORMAT </w:instrText>
      </w:r>
      <w:r w:rsidRPr="006D652F">
        <w:rPr>
          <w:lang w:bidi="en-US"/>
        </w:rPr>
      </w:r>
      <w:r w:rsidRPr="006D652F">
        <w:rPr>
          <w:lang w:bidi="en-US"/>
        </w:rPr>
        <w:fldChar w:fldCharType="separate"/>
      </w:r>
      <w:r w:rsidRPr="006D652F">
        <w:rPr>
          <w:lang w:bidi="en-US"/>
        </w:rPr>
        <w:t>37</w:t>
      </w:r>
      <w:r w:rsidRPr="006D652F">
        <w:rPr>
          <w:lang w:bidi="en-US"/>
        </w:rPr>
        <w:fldChar w:fldCharType="end"/>
      </w:r>
      <w:r w:rsidRPr="006D652F">
        <w:rPr>
          <w:lang w:bidi="en-US"/>
        </w:rPr>
        <w:t xml:space="preserve"> </w:t>
      </w:r>
      <w:proofErr w:type="spellStart"/>
      <w:r w:rsidRPr="006D652F">
        <w:rPr>
          <w:lang w:bidi="en-US"/>
        </w:rPr>
        <w:t>above</w:t>
      </w:r>
      <w:proofErr w:type="spellEnd"/>
      <w:r w:rsidRPr="006D652F">
        <w:rPr>
          <w:lang w:bidi="en-US"/>
        </w:rPr>
        <w:t>). Those factors militate in favour of recognising a wide margin of appreciation.</w:t>
      </w:r>
    </w:p>
    <w:p w14:paraId="545CAB32" w14:textId="77777777" w:rsidR="00C73F0E" w:rsidRPr="006D652F" w:rsidRDefault="00C73F0E" w:rsidP="00E07747">
      <w:pPr>
        <w:pStyle w:val="JuPara"/>
        <w:rPr>
          <w:lang w:bidi="en-US"/>
        </w:rPr>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69</w:t>
      </w:r>
      <w:r w:rsidRPr="006D652F">
        <w:rPr>
          <w:lang w:bidi="en-US"/>
        </w:rPr>
        <w:fldChar w:fldCharType="end"/>
      </w:r>
      <w:r w:rsidRPr="006D652F">
        <w:rPr>
          <w:lang w:bidi="en-US"/>
        </w:rPr>
        <w:t xml:space="preserve">.  However, it must be taken into account that a particularly important aspect of an individual's identity is at stake when the right to know one's ancestry is affected. This is particularly the case for children in search of their origins and the identity of their </w:t>
      </w:r>
      <w:proofErr w:type="spellStart"/>
      <w:r w:rsidRPr="006D652F">
        <w:rPr>
          <w:lang w:bidi="en-US"/>
        </w:rPr>
        <w:t>progenitor.</w:t>
      </w:r>
      <w:r w:rsidRPr="006D652F">
        <w:rPr>
          <w:i/>
          <w:iCs/>
          <w:lang w:bidi="en-US"/>
        </w:rPr>
        <w:t>Odièvre</w:t>
      </w:r>
      <w:proofErr w:type="spellEnd"/>
      <w:r w:rsidRPr="006D652F">
        <w:rPr>
          <w:lang w:bidi="en-US"/>
        </w:rPr>
        <w:t xml:space="preserve">, § 29, </w:t>
      </w:r>
      <w:proofErr w:type="spellStart"/>
      <w:r w:rsidRPr="006D652F">
        <w:rPr>
          <w:i/>
          <w:iCs/>
        </w:rPr>
        <w:t>Mikulić</w:t>
      </w:r>
      <w:proofErr w:type="spellEnd"/>
      <w:r w:rsidRPr="006D652F">
        <w:rPr>
          <w:lang w:bidi="en-US"/>
        </w:rPr>
        <w:t xml:space="preserve">, </w:t>
      </w:r>
      <w:proofErr w:type="spellStart"/>
      <w:r w:rsidRPr="006D652F">
        <w:rPr>
          <w:lang w:bidi="en-US"/>
        </w:rPr>
        <w:t>cited</w:t>
      </w:r>
      <w:proofErr w:type="spellEnd"/>
      <w:r w:rsidRPr="006D652F">
        <w:rPr>
          <w:lang w:bidi="en-US"/>
        </w:rPr>
        <w:t xml:space="preserve"> </w:t>
      </w:r>
      <w:proofErr w:type="spellStart"/>
      <w:r w:rsidRPr="006D652F">
        <w:rPr>
          <w:lang w:bidi="en-US"/>
        </w:rPr>
        <w:t>above</w:t>
      </w:r>
      <w:proofErr w:type="spellEnd"/>
      <w:r w:rsidRPr="006D652F">
        <w:rPr>
          <w:lang w:bidi="en-US"/>
        </w:rPr>
        <w:t xml:space="preserve">, § 54). Moreover, the Court observes that France continues to be in the minority among the member States of the Council of Europe, the majority of which do not have the institution of secret childbirth in a form as extensive as that provided for by domestic </w:t>
      </w:r>
      <w:proofErr w:type="spellStart"/>
      <w:r w:rsidRPr="006D652F">
        <w:rPr>
          <w:lang w:bidi="en-US"/>
        </w:rPr>
        <w:t>law</w:t>
      </w:r>
      <w:proofErr w:type="spellEnd"/>
      <w:r w:rsidRPr="006D652F">
        <w:rPr>
          <w:lang w:bidi="en-US"/>
        </w:rPr>
        <w:t xml:space="preserve"> (</w:t>
      </w:r>
      <w:proofErr w:type="spellStart"/>
      <w:r w:rsidRPr="006D652F">
        <w:rPr>
          <w:lang w:bidi="en-US"/>
        </w:rPr>
        <w:t>see</w:t>
      </w:r>
      <w:proofErr w:type="spellEnd"/>
      <w:r w:rsidRPr="006D652F">
        <w:rPr>
          <w:lang w:bidi="en-US"/>
        </w:rPr>
        <w:t xml:space="preserve"> </w:t>
      </w:r>
      <w:proofErr w:type="spellStart"/>
      <w:r w:rsidRPr="006D652F">
        <w:rPr>
          <w:lang w:bidi="en-US"/>
        </w:rPr>
        <w:t>paragraphs</w:t>
      </w:r>
      <w:proofErr w:type="spellEnd"/>
      <w:r w:rsidRPr="006D652F">
        <w:rPr>
          <w:lang w:bidi="en-US"/>
        </w:rPr>
        <w:t xml:space="preserve"> </w:t>
      </w:r>
      <w:r w:rsidRPr="006D652F">
        <w:rPr>
          <w:lang w:bidi="en-US"/>
        </w:rPr>
        <w:fldChar w:fldCharType="begin"/>
      </w:r>
      <w:r w:rsidRPr="006D652F">
        <w:rPr>
          <w:lang w:bidi="en-US"/>
        </w:rPr>
        <w:instrText xml:space="preserve"> REF paragraph00039 \h  \* CharFormat  \* MERGEFORMAT </w:instrText>
      </w:r>
      <w:r w:rsidRPr="006D652F">
        <w:rPr>
          <w:lang w:bidi="en-US"/>
        </w:rPr>
      </w:r>
      <w:r w:rsidRPr="006D652F">
        <w:rPr>
          <w:lang w:bidi="en-US"/>
        </w:rPr>
        <w:fldChar w:fldCharType="separate"/>
      </w:r>
      <w:r w:rsidRPr="006D652F">
        <w:rPr>
          <w:lang w:bidi="en-US"/>
        </w:rPr>
        <w:t>39</w:t>
      </w:r>
      <w:r w:rsidRPr="006D652F">
        <w:rPr>
          <w:lang w:bidi="en-US"/>
        </w:rPr>
        <w:fldChar w:fldCharType="end"/>
      </w:r>
      <w:r w:rsidRPr="006D652F">
        <w:rPr>
          <w:lang w:bidi="en-US"/>
        </w:rPr>
        <w:t xml:space="preserve"> and </w:t>
      </w:r>
      <w:r w:rsidRPr="006D652F">
        <w:rPr>
          <w:lang w:bidi="en-US"/>
        </w:rPr>
        <w:fldChar w:fldCharType="begin"/>
      </w:r>
      <w:r w:rsidRPr="006D652F">
        <w:rPr>
          <w:lang w:bidi="en-US"/>
        </w:rPr>
        <w:instrText xml:space="preserve"> REF paragraph00029 \h  \* CharFormat  \* MERGEFORMAT </w:instrText>
      </w:r>
      <w:r w:rsidRPr="006D652F">
        <w:rPr>
          <w:lang w:bidi="en-US"/>
        </w:rPr>
      </w:r>
      <w:r w:rsidRPr="006D652F">
        <w:rPr>
          <w:lang w:bidi="en-US"/>
        </w:rPr>
        <w:fldChar w:fldCharType="separate"/>
      </w:r>
      <w:r w:rsidRPr="006D652F">
        <w:rPr>
          <w:lang w:bidi="en-US"/>
        </w:rPr>
        <w:t>40</w:t>
      </w:r>
      <w:r w:rsidRPr="006D652F">
        <w:rPr>
          <w:lang w:bidi="en-US"/>
        </w:rPr>
        <w:fldChar w:fldCharType="end"/>
      </w:r>
      <w:r w:rsidRPr="006D652F">
        <w:rPr>
          <w:lang w:bidi="en-US"/>
        </w:rPr>
        <w:t xml:space="preserve"> </w:t>
      </w:r>
      <w:proofErr w:type="spellStart"/>
      <w:r w:rsidRPr="006D652F">
        <w:rPr>
          <w:lang w:bidi="en-US"/>
        </w:rPr>
        <w:t>above</w:t>
      </w:r>
      <w:proofErr w:type="spellEnd"/>
      <w:r w:rsidRPr="006D652F">
        <w:rPr>
          <w:lang w:bidi="en-US"/>
        </w:rPr>
        <w:t>). Consequently, the Court considers that these factors reduce the State's margin of appreciation in the present case.</w:t>
      </w:r>
    </w:p>
    <w:p w14:paraId="724B63A1" w14:textId="022074E9" w:rsidR="007D538A" w:rsidRDefault="007D538A" w:rsidP="00E07747">
      <w:pPr>
        <w:pStyle w:val="Retraitcorpsdetexte2"/>
        <w:spacing w:line="240" w:lineRule="auto"/>
        <w:jc w:val="both"/>
        <w:rPr>
          <w:b/>
          <w:bCs/>
          <w:szCs w:val="24"/>
        </w:rPr>
      </w:pPr>
    </w:p>
    <w:p w14:paraId="1835E507" w14:textId="07BE5673" w:rsidR="00084AA7" w:rsidRPr="00D45F80" w:rsidRDefault="00BD5BA5" w:rsidP="00E07747">
      <w:pPr>
        <w:pStyle w:val="Retraitcorpsdetexte2"/>
        <w:spacing w:line="240" w:lineRule="auto"/>
        <w:jc w:val="both"/>
        <w:rPr>
          <w:b/>
          <w:szCs w:val="24"/>
        </w:rPr>
      </w:pPr>
      <w:r>
        <w:rPr>
          <w:b/>
          <w:szCs w:val="24"/>
        </w:rPr>
        <w:t>2° The principle of proportionality</w:t>
      </w:r>
    </w:p>
    <w:p w14:paraId="66A00E3D" w14:textId="1531DFA6" w:rsidR="00084AA7" w:rsidRDefault="00084AA7" w:rsidP="00E07747">
      <w:pPr>
        <w:pStyle w:val="Retraitcorpsdetexte2"/>
        <w:spacing w:line="240" w:lineRule="auto"/>
        <w:jc w:val="both"/>
        <w:rPr>
          <w:szCs w:val="24"/>
        </w:rPr>
      </w:pPr>
      <w:r w:rsidRPr="00D45F80">
        <w:rPr>
          <w:szCs w:val="24"/>
        </w:rPr>
        <w:t xml:space="preserve">The principle of proportionality will allow the court to review the compatibility with the convention of an interference with a guaranteed right or to verify that the measures taken by a State to fulfil one of its positive obligations are sufficient. In order to be admissible, and as provided for in paragraph 2 of the articles enshrining non-intangible rights, an interference with a guaranteed right must be subject to three conditions: it must be provided for by law, it must pursue a legitimate aim and it must be necessary in a democratic society. The review of proportionality </w:t>
      </w:r>
      <w:r w:rsidRPr="002E7799">
        <w:rPr>
          <w:i/>
          <w:iCs/>
          <w:szCs w:val="24"/>
        </w:rPr>
        <w:t xml:space="preserve">in the strict sense </w:t>
      </w:r>
      <w:r w:rsidRPr="00D45F80">
        <w:rPr>
          <w:szCs w:val="24"/>
        </w:rPr>
        <w:t>of the word is in fact carried out in the context of the last point, but it seems to me essential to study the two previous conditions beforehand.</w:t>
      </w:r>
    </w:p>
    <w:p w14:paraId="355D9103" w14:textId="77777777" w:rsidR="00E07747" w:rsidRPr="00D45F80" w:rsidRDefault="00E07747" w:rsidP="00E07747">
      <w:pPr>
        <w:pStyle w:val="Retraitcorpsdetexte2"/>
        <w:spacing w:line="240" w:lineRule="auto"/>
        <w:jc w:val="both"/>
        <w:rPr>
          <w:szCs w:val="24"/>
        </w:rPr>
      </w:pPr>
    </w:p>
    <w:p w14:paraId="254F2C0E" w14:textId="2492611B" w:rsidR="00084AA7" w:rsidRPr="00D45F80" w:rsidRDefault="00084AA7" w:rsidP="00E07747">
      <w:pPr>
        <w:pStyle w:val="Retraitcorpsdetexte2"/>
        <w:spacing w:line="240" w:lineRule="auto"/>
        <w:rPr>
          <w:b/>
          <w:bCs/>
          <w:szCs w:val="24"/>
        </w:rPr>
      </w:pPr>
      <w:r w:rsidRPr="00D45F80">
        <w:rPr>
          <w:b/>
          <w:bCs/>
          <w:szCs w:val="24"/>
        </w:rPr>
        <w:t xml:space="preserve">has. The infringement must be provided for by law </w:t>
      </w:r>
    </w:p>
    <w:p w14:paraId="6959CC28" w14:textId="77777777" w:rsidR="00084AA7" w:rsidRPr="00D45F80" w:rsidRDefault="00084AA7" w:rsidP="00E07747">
      <w:pPr>
        <w:pStyle w:val="Retraitcorpsdetexte2"/>
        <w:spacing w:line="240" w:lineRule="auto"/>
        <w:jc w:val="both"/>
        <w:rPr>
          <w:szCs w:val="24"/>
        </w:rPr>
      </w:pPr>
      <w:r w:rsidRPr="00D45F80">
        <w:rPr>
          <w:szCs w:val="24"/>
        </w:rPr>
        <w:t>The review carried out by the court on the basis of this requirement is twofold: it is both formal and consists in verifying that there is a law in domestic law authorising and providing for the interference in question, but the court also carries out a review of the quality of the law in question.</w:t>
      </w:r>
    </w:p>
    <w:p w14:paraId="34FA07C7" w14:textId="01F578DA" w:rsidR="00084AA7" w:rsidRDefault="00084AA7" w:rsidP="00E07747">
      <w:pPr>
        <w:pStyle w:val="Retraitcorpsdetexte2"/>
        <w:spacing w:line="240" w:lineRule="auto"/>
        <w:jc w:val="both"/>
        <w:rPr>
          <w:szCs w:val="24"/>
        </w:rPr>
      </w:pPr>
      <w:r w:rsidRPr="00D45F80">
        <w:rPr>
          <w:szCs w:val="24"/>
        </w:rPr>
        <w:t xml:space="preserve">It is first necessary to verify that the interference is provided for by a rule of domestic law, in other words that it is not a one-off and spontaneous interference on the part of an administrative authority or even a private person in the context of the horizontal effect of the Convention. If this is the case, the violation is noticed immediately! </w:t>
      </w:r>
    </w:p>
    <w:p w14:paraId="770930AF" w14:textId="6190F249" w:rsidR="00084AA7" w:rsidRDefault="00084AA7" w:rsidP="00E07747">
      <w:pPr>
        <w:pStyle w:val="Retraitcorpsdetexte2"/>
        <w:spacing w:line="240" w:lineRule="auto"/>
        <w:jc w:val="both"/>
        <w:rPr>
          <w:szCs w:val="24"/>
        </w:rPr>
      </w:pPr>
      <w:r w:rsidRPr="00D45F80">
        <w:rPr>
          <w:szCs w:val="24"/>
        </w:rPr>
        <w:t>It was in the Sunday Times judgment of 26 April 1979 on freedom of the press that the European Court specified the qualities that the law must have: the law said it was accessible, precise and predictable. These qualities make it possible to ensure legal certainty for the litigant since they aim to safeguard the general principle of legal certainty. The Court relied on legal certainty to affirm, in particular in the Goodwin judgment on transsexuals of 11 June 2002, that without being bound by precedents, the Court must, except in special circumstances, not modify its case-law.</w:t>
      </w:r>
      <w:bookmarkStart w:id="9" w:name="_Hlk50368213"/>
      <w:bookmarkEnd w:id="9"/>
    </w:p>
    <w:p w14:paraId="10ABBE54" w14:textId="27B14DE5" w:rsidR="00E07747" w:rsidRDefault="00E07747" w:rsidP="00E07747">
      <w:pPr>
        <w:pStyle w:val="Retraitcorpsdetexte2"/>
        <w:spacing w:line="240" w:lineRule="auto"/>
        <w:jc w:val="both"/>
        <w:rPr>
          <w:szCs w:val="24"/>
        </w:rPr>
      </w:pPr>
    </w:p>
    <w:p w14:paraId="58061891" w14:textId="77777777" w:rsidR="00E07747" w:rsidRPr="00D45F80" w:rsidRDefault="00E07747" w:rsidP="00E07747">
      <w:pPr>
        <w:pStyle w:val="Retraitcorpsdetexte2"/>
        <w:spacing w:line="240" w:lineRule="auto"/>
        <w:jc w:val="both"/>
        <w:rPr>
          <w:szCs w:val="24"/>
        </w:rPr>
      </w:pPr>
    </w:p>
    <w:p w14:paraId="5A7B5DF9" w14:textId="77777777" w:rsidR="00084AA7" w:rsidRPr="00D45F80" w:rsidRDefault="00084AA7" w:rsidP="00E07747">
      <w:pPr>
        <w:pStyle w:val="PrformatHTML"/>
        <w:ind w:firstLine="284"/>
        <w:jc w:val="both"/>
        <w:rPr>
          <w:rFonts w:ascii="Times New Roman" w:hAnsi="Times New Roman" w:cs="Times New Roman"/>
          <w:sz w:val="24"/>
          <w:szCs w:val="24"/>
        </w:rPr>
      </w:pPr>
    </w:p>
    <w:p w14:paraId="49D0EDD3" w14:textId="6DD6710D" w:rsidR="00084AA7" w:rsidRPr="00D45F80" w:rsidRDefault="00F22D67" w:rsidP="00E07747">
      <w:pPr>
        <w:pStyle w:val="Retraitcorpsdetexte2"/>
        <w:spacing w:line="240" w:lineRule="auto"/>
        <w:jc w:val="both"/>
        <w:rPr>
          <w:b/>
          <w:bCs/>
          <w:szCs w:val="24"/>
        </w:rPr>
      </w:pPr>
      <w:r>
        <w:rPr>
          <w:b/>
          <w:bCs/>
          <w:szCs w:val="24"/>
        </w:rPr>
        <w:lastRenderedPageBreak/>
        <w:t>b. The interference must have a legitimate aim</w:t>
      </w:r>
    </w:p>
    <w:p w14:paraId="6F40A5B8" w14:textId="165B33D7" w:rsidR="00084AA7" w:rsidRPr="00D45F80" w:rsidRDefault="00084AA7" w:rsidP="00E07747">
      <w:pPr>
        <w:pStyle w:val="Retraitcorpsdetexte2"/>
        <w:spacing w:line="240" w:lineRule="auto"/>
        <w:jc w:val="both"/>
        <w:rPr>
          <w:szCs w:val="24"/>
        </w:rPr>
      </w:pPr>
      <w:r w:rsidRPr="00D45F80">
        <w:rPr>
          <w:szCs w:val="24"/>
        </w:rPr>
        <w:t xml:space="preserve">Limitations on the rights guaranteed by the Convention can only be justified if they are taken to satisfy the general interest: national security, public safety, etc. or the rights of others in society: for example, the infringement of the rights of a child born in secret to know his or her origins is justified by the </w:t>
      </w:r>
      <w:proofErr w:type="spellStart"/>
      <w:r w:rsidRPr="00D45F80">
        <w:rPr>
          <w:szCs w:val="24"/>
        </w:rPr>
        <w:t>safety</w:t>
      </w:r>
      <w:proofErr w:type="spellEnd"/>
      <w:r w:rsidRPr="00D45F80">
        <w:rPr>
          <w:szCs w:val="24"/>
        </w:rPr>
        <w:t xml:space="preserve"> of the </w:t>
      </w:r>
      <w:proofErr w:type="spellStart"/>
      <w:r w:rsidRPr="00D45F80">
        <w:rPr>
          <w:szCs w:val="24"/>
        </w:rPr>
        <w:t>mother</w:t>
      </w:r>
      <w:proofErr w:type="spellEnd"/>
      <w:r w:rsidRPr="00D45F80">
        <w:rPr>
          <w:szCs w:val="24"/>
        </w:rPr>
        <w:t>.</w:t>
      </w:r>
    </w:p>
    <w:p w14:paraId="7EA6395C" w14:textId="7BC80323" w:rsidR="00F37106" w:rsidRDefault="00084AA7" w:rsidP="00E07747">
      <w:pPr>
        <w:pStyle w:val="Retraitcorpsdetexte2"/>
        <w:spacing w:line="240" w:lineRule="auto"/>
        <w:jc w:val="both"/>
        <w:rPr>
          <w:szCs w:val="24"/>
        </w:rPr>
      </w:pPr>
      <w:r w:rsidRPr="00D45F80">
        <w:rPr>
          <w:szCs w:val="24"/>
        </w:rPr>
        <w:t>In terms of educational assistance, it is the child's interest that will justify his or her placement that infringes on the right to family life of his or her parents. (Olsson, v. Sweden, 24 March 1988).</w:t>
      </w:r>
      <w:bookmarkStart w:id="10" w:name="_Hlk50368328"/>
      <w:bookmarkEnd w:id="10"/>
    </w:p>
    <w:p w14:paraId="3C0C984A" w14:textId="77777777" w:rsidR="00F37106" w:rsidRPr="00D45F80" w:rsidRDefault="00F37106" w:rsidP="00E07747">
      <w:pPr>
        <w:pStyle w:val="Retraitcorpsdetexte2"/>
        <w:spacing w:line="240" w:lineRule="auto"/>
        <w:jc w:val="both"/>
        <w:rPr>
          <w:szCs w:val="24"/>
        </w:rPr>
      </w:pPr>
    </w:p>
    <w:p w14:paraId="2AF7EE32" w14:textId="77777777" w:rsidR="00084AA7" w:rsidRPr="00D45F80" w:rsidRDefault="00084AA7" w:rsidP="00E07747">
      <w:pPr>
        <w:pStyle w:val="Retraitcorpsdetexte2"/>
        <w:spacing w:line="240" w:lineRule="auto"/>
        <w:jc w:val="both"/>
        <w:rPr>
          <w:b/>
          <w:bCs/>
          <w:szCs w:val="24"/>
        </w:rPr>
      </w:pPr>
      <w:r w:rsidRPr="00D45F80">
        <w:rPr>
          <w:szCs w:val="24"/>
        </w:rPr>
        <w:t xml:space="preserve">c. </w:t>
      </w:r>
      <w:r w:rsidRPr="00D45F80">
        <w:rPr>
          <w:b/>
          <w:bCs/>
          <w:szCs w:val="24"/>
        </w:rPr>
        <w:t>Interference must be necessary in a democratic society</w:t>
      </w:r>
    </w:p>
    <w:p w14:paraId="0479BF65" w14:textId="50DB83BE" w:rsidR="00084AA7" w:rsidRPr="00D45F80" w:rsidRDefault="00084AA7" w:rsidP="00E07747">
      <w:pPr>
        <w:pStyle w:val="Retraitcorpsdetexte2"/>
        <w:spacing w:line="240" w:lineRule="auto"/>
        <w:jc w:val="both"/>
        <w:rPr>
          <w:szCs w:val="24"/>
        </w:rPr>
      </w:pPr>
      <w:r w:rsidRPr="00D45F80">
        <w:rPr>
          <w:szCs w:val="24"/>
        </w:rPr>
        <w:t xml:space="preserve">That requirement falls within the scope of the review of proportionality </w:t>
      </w:r>
      <w:r w:rsidRPr="00F37106">
        <w:rPr>
          <w:i/>
          <w:iCs/>
          <w:szCs w:val="24"/>
        </w:rPr>
        <w:t>in the strict sense</w:t>
      </w:r>
      <w:r w:rsidRPr="00D45F80">
        <w:rPr>
          <w:szCs w:val="24"/>
        </w:rPr>
        <w:t>. The idea underlying it is that the interference with the guaranteed right could not be avoided in order to achieve the legitimate aim pursued and that its scope, by virtue of its modalities and the guarantees surrounding it, was limited to what was strictly necessary.</w:t>
      </w:r>
    </w:p>
    <w:p w14:paraId="7EAA5FFA" w14:textId="30522DA0" w:rsidR="00084AA7" w:rsidRPr="00D45F80" w:rsidRDefault="00084AA7" w:rsidP="00E07747">
      <w:pPr>
        <w:pStyle w:val="Retraitcorpsdetexte2"/>
        <w:spacing w:line="240" w:lineRule="auto"/>
        <w:jc w:val="both"/>
        <w:rPr>
          <w:szCs w:val="24"/>
        </w:rPr>
      </w:pPr>
      <w:r w:rsidRPr="00D45F80">
        <w:rPr>
          <w:szCs w:val="24"/>
        </w:rPr>
        <w:t>Thus, in the case of educational assistance, the placement measure or the restriction of parental rights must be proportionate to the aim pursued, i.e. necessary for the protection of the child. The Court has condemned the domestic authorities, in cases in which the parents were not accused of ill-treatment, for not having sufficiently investigated whether other measures might be taken to avoid the placement of the parents.</w:t>
      </w:r>
      <w:r w:rsidRPr="00D45F80">
        <w:rPr>
          <w:szCs w:val="24"/>
        </w:rPr>
        <w:fldChar w:fldCharType="begin"/>
      </w:r>
      <w:r w:rsidRPr="00D45F80">
        <w:rPr>
          <w:szCs w:val="24"/>
        </w:rPr>
        <w:instrText>xe "Placement"</w:instrText>
      </w:r>
      <w:r w:rsidRPr="00D45F80">
        <w:rPr>
          <w:szCs w:val="24"/>
        </w:rPr>
        <w:fldChar w:fldCharType="end"/>
      </w:r>
      <w:r w:rsidRPr="00D45F80">
        <w:rPr>
          <w:szCs w:val="24"/>
        </w:rPr>
        <w:t xml:space="preserve">, </w:t>
      </w:r>
      <w:proofErr w:type="spellStart"/>
      <w:r w:rsidRPr="00D45F80">
        <w:rPr>
          <w:szCs w:val="24"/>
        </w:rPr>
        <w:t>were</w:t>
      </w:r>
      <w:proofErr w:type="spellEnd"/>
      <w:r w:rsidRPr="00D45F80">
        <w:rPr>
          <w:szCs w:val="24"/>
        </w:rPr>
        <w:t xml:space="preserve"> </w:t>
      </w:r>
      <w:proofErr w:type="spellStart"/>
      <w:r w:rsidRPr="00D45F80">
        <w:rPr>
          <w:szCs w:val="24"/>
        </w:rPr>
        <w:t>conceivable.</w:t>
      </w:r>
      <w:r w:rsidRPr="00D45F80">
        <w:rPr>
          <w:i/>
          <w:szCs w:val="24"/>
        </w:rPr>
        <w:t>Kutzner</w:t>
      </w:r>
      <w:proofErr w:type="spellEnd"/>
      <w:r w:rsidRPr="00D45F80">
        <w:rPr>
          <w:i/>
          <w:szCs w:val="24"/>
        </w:rPr>
        <w:t xml:space="preserve"> </w:t>
      </w:r>
      <w:r w:rsidRPr="00D45F80">
        <w:rPr>
          <w:szCs w:val="24"/>
        </w:rPr>
        <w:fldChar w:fldCharType="begin"/>
      </w:r>
      <w:r w:rsidRPr="00D45F80">
        <w:rPr>
          <w:szCs w:val="24"/>
        </w:rPr>
        <w:instrText>xe "$$Kutzner (2002)"</w:instrText>
      </w:r>
      <w:r w:rsidRPr="00D45F80">
        <w:rPr>
          <w:szCs w:val="24"/>
        </w:rPr>
        <w:fldChar w:fldCharType="end"/>
      </w:r>
      <w:r w:rsidRPr="00D45F80">
        <w:rPr>
          <w:i/>
          <w:szCs w:val="24"/>
        </w:rPr>
        <w:t>c/ Germany</w:t>
      </w:r>
      <w:r w:rsidRPr="00D45F80">
        <w:rPr>
          <w:szCs w:val="24"/>
        </w:rPr>
        <w:t xml:space="preserve">, 26 </w:t>
      </w:r>
      <w:proofErr w:type="spellStart"/>
      <w:r w:rsidRPr="00D45F80">
        <w:rPr>
          <w:szCs w:val="24"/>
        </w:rPr>
        <w:t>Feb</w:t>
      </w:r>
      <w:proofErr w:type="spellEnd"/>
      <w:r w:rsidRPr="00D45F80">
        <w:rPr>
          <w:szCs w:val="24"/>
        </w:rPr>
        <w:t xml:space="preserve">. 2002). </w:t>
      </w:r>
    </w:p>
    <w:p w14:paraId="7C45AA4A" w14:textId="77777777" w:rsidR="001D5FAF" w:rsidRDefault="00084AA7" w:rsidP="00E07747">
      <w:pPr>
        <w:pStyle w:val="Retraitcorpsdetexte2"/>
        <w:spacing w:line="240" w:lineRule="auto"/>
        <w:jc w:val="both"/>
        <w:rPr>
          <w:szCs w:val="24"/>
        </w:rPr>
      </w:pPr>
      <w:r w:rsidRPr="00D45F80">
        <w:rPr>
          <w:szCs w:val="24"/>
        </w:rPr>
        <w:t xml:space="preserve">The measure entailing the limitation of a guaranteed right may be disproportionate if in its implementation it entails an excessive interference with the guaranteed right. </w:t>
      </w:r>
    </w:p>
    <w:p w14:paraId="77373FFD" w14:textId="6E4E1A40" w:rsidR="00084373" w:rsidRDefault="00084AA7" w:rsidP="00E07747">
      <w:pPr>
        <w:pStyle w:val="Retraitcorpsdetexte2"/>
        <w:spacing w:line="240" w:lineRule="auto"/>
        <w:jc w:val="both"/>
        <w:rPr>
          <w:szCs w:val="24"/>
        </w:rPr>
      </w:pPr>
      <w:r w:rsidRPr="00D45F80">
        <w:rPr>
          <w:szCs w:val="24"/>
        </w:rPr>
        <w:t>Proportionality is respected if there are safeguards surrounding the measure that sufficiently limit the infringement of the guaranteed right.</w:t>
      </w:r>
    </w:p>
    <w:p w14:paraId="31C39075" w14:textId="5CB8AD86" w:rsidR="00B9684E" w:rsidRDefault="00084373" w:rsidP="00E07747">
      <w:pPr>
        <w:pStyle w:val="Retraitcorpsdetexte2"/>
        <w:spacing w:line="240" w:lineRule="auto"/>
        <w:jc w:val="both"/>
        <w:rPr>
          <w:szCs w:val="24"/>
        </w:rPr>
      </w:pPr>
      <w:r>
        <w:rPr>
          <w:szCs w:val="24"/>
        </w:rPr>
        <w:t>The proportionality of the measure can be assessed by examining whether domestic law ensures a fair balance between the competing rights and interests involved.</w:t>
      </w:r>
    </w:p>
    <w:p w14:paraId="33E5C293" w14:textId="77777777" w:rsidR="00B9684E" w:rsidRDefault="00B9684E" w:rsidP="00E07747">
      <w:pPr>
        <w:ind w:firstLine="284"/>
      </w:pPr>
      <w:r>
        <w:br w:type="page"/>
      </w:r>
    </w:p>
    <w:p w14:paraId="3B1255A5" w14:textId="77777777" w:rsidR="00B9684E" w:rsidRPr="00EC5CB5" w:rsidRDefault="00B9684E" w:rsidP="00E07747">
      <w:pPr>
        <w:pStyle w:val="JuTitle"/>
        <w:spacing w:before="0" w:after="0"/>
        <w:ind w:firstLine="284"/>
      </w:pPr>
      <w:r w:rsidRPr="00EC5CB5">
        <w:lastRenderedPageBreak/>
        <w:t>CASE OF F.B. v. BELGIUM</w:t>
      </w:r>
    </w:p>
    <w:p w14:paraId="496C7D06" w14:textId="77777777" w:rsidR="00B9684E" w:rsidRPr="00EC5CB5" w:rsidRDefault="00B9684E" w:rsidP="00E07747">
      <w:pPr>
        <w:pStyle w:val="ECHRCoverTitle4"/>
        <w:ind w:firstLine="284"/>
      </w:pPr>
      <w:r w:rsidRPr="00EC5CB5">
        <w:t>(Application No. 47836/21)</w:t>
      </w:r>
    </w:p>
    <w:p w14:paraId="6205201A" w14:textId="77777777" w:rsidR="00B9684E" w:rsidRPr="00EC5CB5" w:rsidRDefault="00B9684E" w:rsidP="00E07747">
      <w:pPr>
        <w:pStyle w:val="DecHCase"/>
        <w:spacing w:after="0"/>
        <w:ind w:firstLine="284"/>
      </w:pPr>
    </w:p>
    <w:p w14:paraId="79AD65E0" w14:textId="77777777" w:rsidR="00B9684E" w:rsidRPr="00EC5CB5" w:rsidRDefault="00B9684E" w:rsidP="00E07747">
      <w:pPr>
        <w:pStyle w:val="DecHCase"/>
        <w:spacing w:after="0"/>
        <w:ind w:firstLine="284"/>
      </w:pPr>
    </w:p>
    <w:p w14:paraId="0C2A39D0" w14:textId="77777777" w:rsidR="00B9684E" w:rsidRPr="00EC5CB5" w:rsidRDefault="00B9684E" w:rsidP="00E07747">
      <w:pPr>
        <w:pStyle w:val="DecHCase"/>
        <w:spacing w:after="0"/>
        <w:ind w:firstLine="284"/>
      </w:pPr>
      <w:r w:rsidRPr="00EC5CB5">
        <w:t>STOP</w:t>
      </w:r>
      <w:r w:rsidRPr="00EC5CB5">
        <w:br/>
      </w:r>
    </w:p>
    <w:p w14:paraId="4AF8A8B8" w14:textId="77777777" w:rsidR="00B9684E" w:rsidRPr="00195CB0" w:rsidRDefault="00B9684E" w:rsidP="00E07747">
      <w:pPr>
        <w:pStyle w:val="JuPara"/>
        <w:pBdr>
          <w:top w:val="single" w:sz="4" w:space="1" w:color="auto"/>
          <w:left w:val="single" w:sz="4" w:space="4" w:color="auto"/>
          <w:bottom w:val="single" w:sz="4" w:space="1" w:color="auto"/>
          <w:right w:val="single" w:sz="4" w:space="4" w:color="auto"/>
        </w:pBdr>
        <w:rPr>
          <w:sz w:val="22"/>
          <w:szCs w:val="22"/>
        </w:rPr>
      </w:pPr>
      <w:r w:rsidRPr="00195CB0">
        <w:rPr>
          <w:sz w:val="22"/>
          <w:szCs w:val="22"/>
        </w:rPr>
        <w:t>Art 8 • Privacy • Decision-making process, which led to the termination of the applicant's care as an unaccompanied foreign minor at the end of the age assessment procedure, not surrounded by sufficient guarantees • Lack of free and informed consent on the part of the applicant to the performance of the triple bone test • Interview of the applicant with an agent of the guardianship service specially trained in the reception of minors who had not been Preliminary interview could have made it possible to ascertain whether the doubt about the applicant's minority could be dispelled by other, less intrusive means and to ensure that she had received all the information necessary to assert her rights validly</w:t>
      </w:r>
    </w:p>
    <w:p w14:paraId="406D719C" w14:textId="77777777" w:rsidR="00B9684E" w:rsidRPr="00EC5CB5" w:rsidRDefault="00B9684E" w:rsidP="00E07747">
      <w:pPr>
        <w:pStyle w:val="JuPara"/>
        <w:pBdr>
          <w:top w:val="single" w:sz="4" w:space="1" w:color="auto"/>
          <w:left w:val="single" w:sz="4" w:space="4" w:color="auto"/>
          <w:bottom w:val="single" w:sz="4" w:space="1" w:color="auto"/>
          <w:right w:val="single" w:sz="4" w:space="4" w:color="auto"/>
        </w:pBdr>
      </w:pPr>
    </w:p>
    <w:p w14:paraId="41AC548C" w14:textId="77777777" w:rsidR="00B9684E" w:rsidRPr="00EC5CB5" w:rsidRDefault="00B9684E" w:rsidP="00E07747">
      <w:pPr>
        <w:pStyle w:val="JuPara"/>
        <w:pBdr>
          <w:top w:val="single" w:sz="4" w:space="1" w:color="auto"/>
          <w:left w:val="single" w:sz="4" w:space="4" w:color="auto"/>
          <w:bottom w:val="single" w:sz="4" w:space="1" w:color="auto"/>
          <w:right w:val="single" w:sz="4" w:space="4" w:color="auto"/>
        </w:pBdr>
        <w:jc w:val="center"/>
        <w:rPr>
          <w:bCs/>
          <w:sz w:val="20"/>
        </w:rPr>
      </w:pPr>
      <w:r w:rsidRPr="00EC5CB5">
        <w:rPr>
          <w:bCs/>
          <w:sz w:val="20"/>
        </w:rPr>
        <w:t>Prepared by the Registry. Not binding on the Court.</w:t>
      </w:r>
    </w:p>
    <w:p w14:paraId="0B3467C3" w14:textId="77777777" w:rsidR="00B9684E" w:rsidRPr="00EC5CB5" w:rsidRDefault="00B9684E" w:rsidP="00E07747">
      <w:pPr>
        <w:pStyle w:val="JuPara"/>
      </w:pPr>
    </w:p>
    <w:p w14:paraId="747D62B4" w14:textId="77777777" w:rsidR="00B9684E" w:rsidRPr="00EC5CB5" w:rsidRDefault="00B9684E" w:rsidP="00E07747">
      <w:pPr>
        <w:pStyle w:val="DecHCase"/>
        <w:spacing w:after="0"/>
        <w:ind w:firstLine="284"/>
      </w:pPr>
      <w:r w:rsidRPr="00EC5CB5">
        <w:t>STRASBOURG</w:t>
      </w:r>
    </w:p>
    <w:p w14:paraId="09407C72" w14:textId="77777777" w:rsidR="00B9684E" w:rsidRPr="00EC5CB5" w:rsidRDefault="00B9684E" w:rsidP="00E07747">
      <w:pPr>
        <w:pStyle w:val="DecHCase"/>
        <w:spacing w:after="0"/>
        <w:ind w:firstLine="284"/>
      </w:pPr>
      <w:r w:rsidRPr="00EC5CB5">
        <w:t>March 6, 2025</w:t>
      </w:r>
    </w:p>
    <w:p w14:paraId="09F2C801" w14:textId="77777777" w:rsidR="00B9684E" w:rsidRPr="00EC5CB5" w:rsidRDefault="00B9684E" w:rsidP="00E07747">
      <w:pPr>
        <w:pStyle w:val="DecHCase"/>
        <w:spacing w:after="0"/>
        <w:ind w:firstLine="284"/>
      </w:pPr>
    </w:p>
    <w:p w14:paraId="41EF96BF" w14:textId="77777777" w:rsidR="00B9684E" w:rsidRDefault="00B9684E" w:rsidP="00E07747">
      <w:pPr>
        <w:pStyle w:val="jucase"/>
        <w:jc w:val="center"/>
        <w:rPr>
          <w:color w:val="FF0000"/>
          <w:sz w:val="28"/>
          <w:szCs w:val="28"/>
          <w:u w:val="single"/>
          <w:lang w:val="fr-FR"/>
        </w:rPr>
      </w:pPr>
      <w:bookmarkStart w:id="11" w:name="_Hlk172909186"/>
      <w:bookmarkStart w:id="12" w:name="_Hlk174111181"/>
      <w:r w:rsidRPr="00261F46">
        <w:rPr>
          <w:color w:val="FF0000"/>
          <w:sz w:val="28"/>
          <w:szCs w:val="28"/>
          <w:u w:val="single"/>
        </w:rPr>
        <w:t>DEFINITIVE</w:t>
      </w:r>
    </w:p>
    <w:p w14:paraId="1F76E2B3" w14:textId="77777777" w:rsidR="00B9684E" w:rsidRPr="006D760C" w:rsidRDefault="00B9684E" w:rsidP="00E07747">
      <w:pPr>
        <w:pStyle w:val="jucase"/>
        <w:jc w:val="center"/>
        <w:rPr>
          <w:b w:val="0"/>
          <w:bCs w:val="0"/>
          <w:color w:val="FF0000"/>
          <w:u w:val="single"/>
          <w:lang w:val="fr-FR"/>
        </w:rPr>
      </w:pPr>
    </w:p>
    <w:p w14:paraId="2EE3A12E" w14:textId="77777777" w:rsidR="00B9684E" w:rsidRPr="00FA0AFC" w:rsidRDefault="00B9684E" w:rsidP="00E07747">
      <w:pPr>
        <w:pStyle w:val="jucase"/>
        <w:jc w:val="center"/>
        <w:rPr>
          <w:b w:val="0"/>
          <w:color w:val="FF0000"/>
          <w:sz w:val="28"/>
          <w:szCs w:val="28"/>
          <w:lang w:val="fr-FR"/>
        </w:rPr>
      </w:pPr>
      <w:r>
        <w:rPr>
          <w:b w:val="0"/>
          <w:color w:val="FF0000"/>
          <w:sz w:val="28"/>
          <w:szCs w:val="28"/>
        </w:rPr>
        <w:t>06/06/2025</w:t>
      </w:r>
    </w:p>
    <w:p w14:paraId="6DAB255E" w14:textId="77777777" w:rsidR="00B9684E" w:rsidRPr="00261F46" w:rsidRDefault="00B9684E" w:rsidP="00E07747">
      <w:pPr>
        <w:pStyle w:val="jupara0"/>
        <w:jc w:val="center"/>
        <w:rPr>
          <w:u w:val="single"/>
          <w:lang w:val="fr-FR"/>
        </w:rPr>
      </w:pPr>
    </w:p>
    <w:p w14:paraId="59C5882C" w14:textId="77777777" w:rsidR="00B9684E" w:rsidRPr="00EC5CB5" w:rsidRDefault="00B9684E" w:rsidP="00E07747">
      <w:pPr>
        <w:ind w:firstLine="284"/>
        <w:jc w:val="center"/>
        <w:rPr>
          <w:i/>
          <w:sz w:val="22"/>
        </w:rPr>
      </w:pPr>
      <w:r w:rsidRPr="00261F46">
        <w:rPr>
          <w:i/>
          <w:iCs/>
          <w:sz w:val="22"/>
          <w:szCs w:val="22"/>
        </w:rPr>
        <w:t xml:space="preserve">This judgment became final under Article 44 § 2 of the Convention. </w:t>
      </w:r>
      <w:r>
        <w:rPr>
          <w:i/>
          <w:iCs/>
          <w:sz w:val="22"/>
          <w:szCs w:val="22"/>
        </w:rPr>
        <w:br/>
      </w:r>
      <w:r w:rsidRPr="00E361A6">
        <w:rPr>
          <w:i/>
          <w:iCs/>
          <w:sz w:val="22"/>
          <w:szCs w:val="22"/>
        </w:rPr>
        <w:t>It may undergo formal alterations.</w:t>
      </w:r>
      <w:bookmarkEnd w:id="11"/>
      <w:bookmarkEnd w:id="12"/>
    </w:p>
    <w:p w14:paraId="0A05F819" w14:textId="77777777" w:rsidR="00B9684E" w:rsidRPr="00EC5CB5" w:rsidRDefault="00B9684E" w:rsidP="00E07747">
      <w:pPr>
        <w:ind w:firstLine="284"/>
        <w:rPr>
          <w:sz w:val="22"/>
        </w:rPr>
        <w:sectPr w:rsidR="00B9684E" w:rsidRPr="00EC5CB5" w:rsidSect="00E07747">
          <w:footerReference w:type="even" r:id="rId8"/>
          <w:footerReference w:type="default" r:id="rId9"/>
          <w:footerReference w:type="first" r:id="rId10"/>
          <w:footnotePr>
            <w:numRestart w:val="eachSect"/>
          </w:footnotePr>
          <w:endnotePr>
            <w:numFmt w:val="decimal"/>
          </w:endnotePr>
          <w:pgSz w:w="11906" w:h="16838" w:code="9"/>
          <w:pgMar w:top="1440" w:right="1080" w:bottom="1440" w:left="1080" w:header="1701" w:footer="720" w:gutter="0"/>
          <w:pgNumType w:start="1"/>
          <w:cols w:space="720"/>
          <w:noEndnote/>
          <w:titlePg/>
        </w:sectPr>
      </w:pPr>
    </w:p>
    <w:p w14:paraId="220B9114" w14:textId="77777777" w:rsidR="00B9684E" w:rsidRPr="00EC5CB5" w:rsidRDefault="00B9684E" w:rsidP="00E07747">
      <w:pPr>
        <w:pStyle w:val="JuHHead"/>
        <w:numPr>
          <w:ilvl w:val="0"/>
          <w:numId w:val="17"/>
        </w:numPr>
        <w:tabs>
          <w:tab w:val="num" w:pos="360"/>
        </w:tabs>
        <w:spacing w:before="0" w:beforeAutospacing="0" w:after="0"/>
        <w:ind w:firstLine="284"/>
      </w:pPr>
      <w:r w:rsidRPr="00EC5CB5">
        <w:lastRenderedPageBreak/>
        <w:t>LAW</w:t>
      </w:r>
    </w:p>
    <w:p w14:paraId="30C9765F" w14:textId="77777777" w:rsidR="00B9684E" w:rsidRPr="00EC5CB5" w:rsidRDefault="00B9684E" w:rsidP="00E07747">
      <w:pPr>
        <w:pStyle w:val="JuHIRoman"/>
        <w:numPr>
          <w:ilvl w:val="1"/>
          <w:numId w:val="17"/>
        </w:numPr>
        <w:tabs>
          <w:tab w:val="num" w:pos="360"/>
          <w:tab w:val="num" w:pos="1440"/>
        </w:tabs>
        <w:spacing w:before="0" w:beforeAutospacing="0" w:after="0"/>
        <w:ind w:left="0" w:firstLine="284"/>
      </w:pPr>
      <w:r w:rsidRPr="00EC5CB5">
        <w:t>THE ALLEGED VIOLATION OF ARTICLE 8 OF THE CONVENTION</w:t>
      </w:r>
    </w:p>
    <w:p w14:paraId="3BCEE6A4" w14:textId="77777777" w:rsidR="00B9684E" w:rsidRPr="00EC5CB5" w:rsidRDefault="00B9684E" w:rsidP="00E07747">
      <w:pPr>
        <w:pStyle w:val="JuHA"/>
        <w:numPr>
          <w:ilvl w:val="2"/>
          <w:numId w:val="22"/>
        </w:numPr>
        <w:tabs>
          <w:tab w:val="num" w:pos="2084"/>
        </w:tabs>
        <w:spacing w:before="0" w:beforeAutospacing="0" w:after="0"/>
        <w:ind w:left="0" w:firstLine="284"/>
      </w:pPr>
      <w:r w:rsidRPr="00EC5CB5">
        <w:t>Substance</w:t>
      </w:r>
    </w:p>
    <w:p w14:paraId="0B72EA0A" w14:textId="77777777" w:rsidR="00B9684E" w:rsidRPr="00EC5CB5" w:rsidRDefault="00B9684E" w:rsidP="003F426C">
      <w:pPr>
        <w:pStyle w:val="JuH1"/>
        <w:numPr>
          <w:ilvl w:val="3"/>
          <w:numId w:val="17"/>
        </w:numPr>
        <w:tabs>
          <w:tab w:val="num" w:pos="360"/>
          <w:tab w:val="num" w:pos="2880"/>
        </w:tabs>
        <w:spacing w:before="0" w:beforeAutospacing="0" w:after="0"/>
        <w:ind w:left="0" w:firstLine="284"/>
        <w:jc w:val="both"/>
      </w:pPr>
      <w:r w:rsidRPr="00EC5CB5">
        <w:t>Findings of the Court</w:t>
      </w:r>
    </w:p>
    <w:p w14:paraId="5289278C" w14:textId="77777777" w:rsidR="00B9684E" w:rsidRPr="00EC5CB5" w:rsidRDefault="00B9684E" w:rsidP="003F426C">
      <w:pPr>
        <w:pStyle w:val="JuHa0"/>
        <w:numPr>
          <w:ilvl w:val="4"/>
          <w:numId w:val="17"/>
        </w:numPr>
        <w:tabs>
          <w:tab w:val="num" w:pos="360"/>
          <w:tab w:val="num" w:pos="3600"/>
        </w:tabs>
        <w:spacing w:before="0" w:beforeAutospacing="0" w:after="0"/>
        <w:ind w:left="0" w:firstLine="284"/>
        <w:jc w:val="both"/>
      </w:pPr>
      <w:r w:rsidRPr="00EC5CB5">
        <w:t>General principles</w:t>
      </w:r>
    </w:p>
    <w:p w14:paraId="72BEFC40"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69</w:t>
      </w:r>
      <w:r w:rsidRPr="00EC5CB5">
        <w:rPr>
          <w:noProof/>
        </w:rPr>
        <w:fldChar w:fldCharType="end"/>
      </w:r>
      <w:r w:rsidRPr="00EC5CB5">
        <w:t>.  The Court recalls that the Contracting States have, by virtue of a well-established principle of international law and without prejudice to their treaty commitments, including the Convention, the right to control the entry, residence and removal of non-</w:t>
      </w:r>
      <w:proofErr w:type="spellStart"/>
      <w:r w:rsidRPr="00EC5CB5">
        <w:t>nationals</w:t>
      </w:r>
      <w:proofErr w:type="spellEnd"/>
      <w:r w:rsidRPr="00EC5CB5">
        <w:t xml:space="preserve"> (</w:t>
      </w:r>
      <w:proofErr w:type="spellStart"/>
      <w:r w:rsidRPr="00EC5CB5">
        <w:t>see</w:t>
      </w:r>
      <w:proofErr w:type="spellEnd"/>
      <w:r w:rsidRPr="00EC5CB5">
        <w:t xml:space="preserve">, for </w:t>
      </w:r>
      <w:proofErr w:type="spellStart"/>
      <w:r w:rsidRPr="00EC5CB5">
        <w:t>example,</w:t>
      </w:r>
      <w:bookmarkStart w:id="13" w:name="_cl7529ENDROIT"/>
      <w:r w:rsidRPr="00EC5CB5">
        <w:rPr>
          <w:i/>
          <w:iCs/>
        </w:rPr>
        <w:t>Hirsi</w:t>
      </w:r>
      <w:proofErr w:type="spellEnd"/>
      <w:r w:rsidRPr="00EC5CB5">
        <w:rPr>
          <w:i/>
          <w:iCs/>
        </w:rPr>
        <w:t xml:space="preserve"> </w:t>
      </w:r>
      <w:proofErr w:type="spellStart"/>
      <w:r w:rsidRPr="00EC5CB5">
        <w:rPr>
          <w:i/>
          <w:iCs/>
        </w:rPr>
        <w:t>Jamaa</w:t>
      </w:r>
      <w:proofErr w:type="spellEnd"/>
      <w:r w:rsidRPr="00EC5CB5">
        <w:rPr>
          <w:i/>
          <w:iCs/>
        </w:rPr>
        <w:t xml:space="preserve"> and </w:t>
      </w:r>
      <w:proofErr w:type="spellStart"/>
      <w:r w:rsidRPr="00EC5CB5">
        <w:rPr>
          <w:i/>
          <w:iCs/>
        </w:rPr>
        <w:t>Others</w:t>
      </w:r>
      <w:proofErr w:type="spellEnd"/>
      <w:r w:rsidRPr="00EC5CB5">
        <w:rPr>
          <w:i/>
          <w:iCs/>
        </w:rPr>
        <w:t xml:space="preserve"> v. </w:t>
      </w:r>
      <w:proofErr w:type="spellStart"/>
      <w:r w:rsidRPr="00EC5CB5">
        <w:rPr>
          <w:i/>
          <w:iCs/>
        </w:rPr>
        <w:t>Italy</w:t>
      </w:r>
      <w:bookmarkEnd w:id="13"/>
      <w:proofErr w:type="spellEnd"/>
      <w:r w:rsidRPr="00EC5CB5">
        <w:t xml:space="preserve"> [GC], no. 27765/09, § 113, ECHR 2012; </w:t>
      </w:r>
      <w:bookmarkStart w:id="14" w:name="_cl18334ENDROIT"/>
      <w:proofErr w:type="spellStart"/>
      <w:r w:rsidRPr="00EC5CB5">
        <w:rPr>
          <w:i/>
          <w:iCs/>
        </w:rPr>
        <w:t>Üner</w:t>
      </w:r>
      <w:proofErr w:type="spellEnd"/>
      <w:r w:rsidRPr="00EC5CB5">
        <w:rPr>
          <w:i/>
          <w:iCs/>
        </w:rPr>
        <w:t xml:space="preserve"> v. </w:t>
      </w:r>
      <w:proofErr w:type="spellStart"/>
      <w:r w:rsidRPr="00EC5CB5">
        <w:rPr>
          <w:i/>
          <w:iCs/>
        </w:rPr>
        <w:t>Netherlands</w:t>
      </w:r>
      <w:bookmarkEnd w:id="14"/>
      <w:proofErr w:type="spellEnd"/>
      <w:r w:rsidRPr="00EC5CB5">
        <w:t xml:space="preserve"> [GC], no. 46410/99, § 54, ECHR 2006-XII).</w:t>
      </w:r>
    </w:p>
    <w:bookmarkStart w:id="15" w:name="paragraph00066"/>
    <w:p w14:paraId="23E00DA6" w14:textId="77777777" w:rsidR="00B9684E" w:rsidRPr="00EC5CB5" w:rsidRDefault="00B9684E" w:rsidP="00E07747">
      <w:pPr>
        <w:pStyle w:val="JuPara"/>
        <w:rPr>
          <w:color w:val="000000"/>
        </w:rPr>
      </w:pPr>
      <w:r w:rsidRPr="00EC5CB5">
        <w:fldChar w:fldCharType="begin"/>
      </w:r>
      <w:r w:rsidRPr="00EC5CB5">
        <w:instrText xml:space="preserve"> SEQ level0 \*arabic \* MERGEFORMAT </w:instrText>
      </w:r>
      <w:r w:rsidRPr="00EC5CB5">
        <w:fldChar w:fldCharType="separate"/>
      </w:r>
      <w:r w:rsidRPr="00EC5CB5">
        <w:rPr>
          <w:noProof/>
        </w:rPr>
        <w:t>70</w:t>
      </w:r>
      <w:r w:rsidRPr="00EC5CB5">
        <w:fldChar w:fldCharType="end"/>
      </w:r>
      <w:bookmarkEnd w:id="15"/>
      <w:r w:rsidRPr="00EC5CB5">
        <w:t xml:space="preserve">.  It underlines the importance of age assessment procedures in the context of migration. Domestic, European and international legislation protecting children's rights only becomes applicable from the moment that </w:t>
      </w:r>
      <w:bookmarkStart w:id="16" w:name="lt_pId1078"/>
      <w:r w:rsidRPr="00EC5CB5">
        <w:rPr>
          <w:color w:val="000000"/>
        </w:rPr>
        <w:t>these are recognized as such. The establishment of a person's minority is therefore the first step towards the recognition of his or her rights and the establishment of all the necessary care mechanisms.</w:t>
      </w:r>
      <w:r w:rsidRPr="00EC5CB5">
        <w:t xml:space="preserve"> If a minor is wrongly recognised as an adult, measures seriously infringing his or her rights may be taken in respect of </w:t>
      </w:r>
      <w:proofErr w:type="spellStart"/>
      <w:r w:rsidRPr="00EC5CB5">
        <w:t>him</w:t>
      </w:r>
      <w:proofErr w:type="spellEnd"/>
      <w:r w:rsidRPr="00EC5CB5">
        <w:t>/</w:t>
      </w:r>
      <w:proofErr w:type="spellStart"/>
      <w:r w:rsidRPr="00EC5CB5">
        <w:t>her.</w:t>
      </w:r>
      <w:r w:rsidRPr="00EC5CB5">
        <w:rPr>
          <w:i/>
          <w:iCs/>
          <w:color w:val="000000"/>
        </w:rPr>
        <w:t>Darboe</w:t>
      </w:r>
      <w:proofErr w:type="spellEnd"/>
      <w:r w:rsidRPr="00EC5CB5">
        <w:rPr>
          <w:i/>
          <w:iCs/>
          <w:color w:val="000000"/>
        </w:rPr>
        <w:t xml:space="preserve"> and Camara, </w:t>
      </w:r>
      <w:proofErr w:type="spellStart"/>
      <w:r w:rsidRPr="00EC5CB5">
        <w:rPr>
          <w:color w:val="000000"/>
        </w:rPr>
        <w:t>cited</w:t>
      </w:r>
      <w:proofErr w:type="spellEnd"/>
      <w:r w:rsidRPr="00EC5CB5">
        <w:rPr>
          <w:color w:val="000000"/>
        </w:rPr>
        <w:t xml:space="preserve"> </w:t>
      </w:r>
      <w:proofErr w:type="spellStart"/>
      <w:r w:rsidRPr="00EC5CB5">
        <w:rPr>
          <w:color w:val="000000"/>
        </w:rPr>
        <w:t>above</w:t>
      </w:r>
      <w:proofErr w:type="spellEnd"/>
      <w:r w:rsidRPr="00EC5CB5">
        <w:rPr>
          <w:color w:val="000000"/>
        </w:rPr>
        <w:t>, § 125).</w:t>
      </w:r>
      <w:bookmarkEnd w:id="16"/>
    </w:p>
    <w:p w14:paraId="65787072"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71</w:t>
      </w:r>
      <w:r w:rsidRPr="00EC5CB5">
        <w:rPr>
          <w:noProof/>
        </w:rPr>
        <w:fldChar w:fldCharType="end"/>
      </w:r>
      <w:r w:rsidRPr="00EC5CB5">
        <w:t xml:space="preserve">.  In this respect, the Court reiterates that the legitimate concern of States to thwart attempts to circumvent immigration restrictions must not deprive foreign minors, who are moreover unaccompanied, of the protection linked to their status. There is therefore the need to reconcile the protection of fundamental rights with the imperatives of the immigration policy of the </w:t>
      </w:r>
      <w:proofErr w:type="spellStart"/>
      <w:r w:rsidRPr="00EC5CB5">
        <w:t>Member</w:t>
      </w:r>
      <w:proofErr w:type="spellEnd"/>
      <w:r w:rsidRPr="00EC5CB5">
        <w:t xml:space="preserve"> </w:t>
      </w:r>
      <w:proofErr w:type="spellStart"/>
      <w:r w:rsidRPr="00EC5CB5">
        <w:t>States.</w:t>
      </w:r>
      <w:bookmarkStart w:id="17" w:name="_cl12351"/>
      <w:r w:rsidRPr="00EC5CB5">
        <w:rPr>
          <w:i/>
          <w:iCs/>
        </w:rPr>
        <w:t>Mubilanzila</w:t>
      </w:r>
      <w:proofErr w:type="spellEnd"/>
      <w:r w:rsidRPr="00EC5CB5">
        <w:rPr>
          <w:i/>
          <w:iCs/>
        </w:rPr>
        <w:t xml:space="preserve"> </w:t>
      </w:r>
      <w:proofErr w:type="spellStart"/>
      <w:r w:rsidRPr="00EC5CB5">
        <w:rPr>
          <w:i/>
          <w:iCs/>
        </w:rPr>
        <w:t>Mayeka</w:t>
      </w:r>
      <w:proofErr w:type="spellEnd"/>
      <w:r w:rsidRPr="00EC5CB5">
        <w:rPr>
          <w:i/>
          <w:iCs/>
        </w:rPr>
        <w:t xml:space="preserve"> and </w:t>
      </w:r>
      <w:proofErr w:type="spellStart"/>
      <w:r w:rsidRPr="00EC5CB5">
        <w:rPr>
          <w:i/>
          <w:iCs/>
        </w:rPr>
        <w:t>Kaniki</w:t>
      </w:r>
      <w:proofErr w:type="spellEnd"/>
      <w:r w:rsidRPr="00EC5CB5">
        <w:rPr>
          <w:i/>
          <w:iCs/>
        </w:rPr>
        <w:t xml:space="preserve"> </w:t>
      </w:r>
      <w:proofErr w:type="spellStart"/>
      <w:r w:rsidRPr="00EC5CB5">
        <w:rPr>
          <w:i/>
          <w:iCs/>
        </w:rPr>
        <w:t>Mitunga</w:t>
      </w:r>
      <w:proofErr w:type="spellEnd"/>
      <w:r w:rsidRPr="00EC5CB5">
        <w:rPr>
          <w:i/>
          <w:iCs/>
        </w:rPr>
        <w:t xml:space="preserve"> v. </w:t>
      </w:r>
      <w:proofErr w:type="spellStart"/>
      <w:r w:rsidRPr="00EC5CB5">
        <w:rPr>
          <w:i/>
          <w:iCs/>
        </w:rPr>
        <w:t>Belgium</w:t>
      </w:r>
      <w:bookmarkEnd w:id="17"/>
      <w:proofErr w:type="spellEnd"/>
      <w:r w:rsidRPr="00EC5CB5">
        <w:t>, no. 13178/03, § 81, ECHR 2006-XI).</w:t>
      </w:r>
    </w:p>
    <w:p w14:paraId="587EA8C5"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72</w:t>
      </w:r>
      <w:r w:rsidRPr="00EC5CB5">
        <w:rPr>
          <w:noProof/>
        </w:rPr>
        <w:fldChar w:fldCharType="end"/>
      </w:r>
      <w:r w:rsidRPr="00EC5CB5">
        <w:t xml:space="preserve">.  At the same time, the Court recognises that national authorities are faced with a delicate task when they have to assess the authenticity of civil status documents because of the difficulties sometimes resulting from the dysfunction of the civil registry services of certain migrants' countries of origin and the associated risks of fraud. Where the information submitted gives good reason to doubt the veracity of the asylum seeker's statements, the asylum seeker is required to provide a satisfactory explanation for the inconsistencies in his or her account or to rule out any relevant objections to the authenticity of the documents produced by him. The national authorities are in principle in a better position to establish the facts on the basis of the evidence gathered by them or produced before them and a certain discretion must therefore be reserved to them in this respect. The same is true of the decision to carry out a </w:t>
      </w:r>
      <w:proofErr w:type="spellStart"/>
      <w:r w:rsidRPr="00EC5CB5">
        <w:t>medical</w:t>
      </w:r>
      <w:proofErr w:type="spellEnd"/>
      <w:r w:rsidRPr="00EC5CB5">
        <w:t xml:space="preserve"> </w:t>
      </w:r>
      <w:proofErr w:type="spellStart"/>
      <w:r w:rsidRPr="00EC5CB5">
        <w:t>examination</w:t>
      </w:r>
      <w:proofErr w:type="spellEnd"/>
      <w:r w:rsidRPr="00EC5CB5">
        <w:t xml:space="preserve"> of </w:t>
      </w:r>
      <w:proofErr w:type="spellStart"/>
      <w:r w:rsidRPr="00EC5CB5">
        <w:t>children.</w:t>
      </w:r>
      <w:r w:rsidRPr="00EC5CB5">
        <w:rPr>
          <w:i/>
          <w:iCs/>
        </w:rPr>
        <w:t>Mugenzi</w:t>
      </w:r>
      <w:proofErr w:type="spellEnd"/>
      <w:r w:rsidRPr="00EC5CB5">
        <w:rPr>
          <w:i/>
          <w:iCs/>
        </w:rPr>
        <w:t xml:space="preserve"> v. France</w:t>
      </w:r>
      <w:r w:rsidRPr="00EC5CB5">
        <w:t>, no. 52701/09, §§ 47 and 51, 10 July 2014, with further references).</w:t>
      </w:r>
    </w:p>
    <w:bookmarkStart w:id="18" w:name="paragraph00069"/>
    <w:p w14:paraId="0E1D61DD" w14:textId="77777777" w:rsidR="00B9684E" w:rsidRPr="00EC5CB5" w:rsidRDefault="00B9684E" w:rsidP="00E07747">
      <w:pPr>
        <w:pStyle w:val="JuPara"/>
        <w:rPr>
          <w:color w:val="000000"/>
        </w:rPr>
      </w:pPr>
      <w:r w:rsidRPr="00EC5CB5">
        <w:fldChar w:fldCharType="begin"/>
      </w:r>
      <w:r w:rsidRPr="00EC5CB5">
        <w:instrText xml:space="preserve"> SEQ level0 \*arabic \* MERGEFORMAT </w:instrText>
      </w:r>
      <w:r w:rsidRPr="00EC5CB5">
        <w:fldChar w:fldCharType="separate"/>
      </w:r>
      <w:r w:rsidRPr="00EC5CB5">
        <w:rPr>
          <w:noProof/>
        </w:rPr>
        <w:t>73</w:t>
      </w:r>
      <w:r w:rsidRPr="00EC5CB5">
        <w:fldChar w:fldCharType="end"/>
      </w:r>
      <w:bookmarkEnd w:id="18"/>
      <w:r w:rsidRPr="00EC5CB5">
        <w:t>.  The Court recalls</w:t>
      </w:r>
      <w:bookmarkStart w:id="19" w:name="lt_pId1180"/>
      <w:r w:rsidRPr="00EC5CB5">
        <w:rPr>
          <w:color w:val="000000"/>
        </w:rPr>
        <w:t xml:space="preserve"> While the assessment by the national authorities of a person's age may be a necessary measure in the event of doubt as to his or her minority, the principle of the presumption of minority implies that the assessment procedure must be accompanied by </w:t>
      </w:r>
      <w:proofErr w:type="spellStart"/>
      <w:r w:rsidRPr="00EC5CB5">
        <w:rPr>
          <w:color w:val="000000"/>
        </w:rPr>
        <w:t>sufficient</w:t>
      </w:r>
      <w:proofErr w:type="spellEnd"/>
      <w:r w:rsidRPr="00EC5CB5">
        <w:rPr>
          <w:color w:val="000000"/>
        </w:rPr>
        <w:t xml:space="preserve"> </w:t>
      </w:r>
      <w:proofErr w:type="spellStart"/>
      <w:r w:rsidRPr="00EC5CB5">
        <w:rPr>
          <w:color w:val="000000"/>
        </w:rPr>
        <w:t>procedural</w:t>
      </w:r>
      <w:proofErr w:type="spellEnd"/>
      <w:r w:rsidRPr="00EC5CB5">
        <w:rPr>
          <w:color w:val="000000"/>
        </w:rPr>
        <w:t xml:space="preserve"> </w:t>
      </w:r>
      <w:proofErr w:type="spellStart"/>
      <w:r w:rsidRPr="00EC5CB5">
        <w:rPr>
          <w:color w:val="000000"/>
        </w:rPr>
        <w:t>safeguards.</w:t>
      </w:r>
      <w:r w:rsidRPr="00EC5CB5">
        <w:rPr>
          <w:i/>
          <w:iCs/>
          <w:color w:val="000000"/>
        </w:rPr>
        <w:t>Darboe</w:t>
      </w:r>
      <w:proofErr w:type="spellEnd"/>
      <w:r w:rsidRPr="00EC5CB5">
        <w:rPr>
          <w:i/>
          <w:iCs/>
          <w:color w:val="000000"/>
        </w:rPr>
        <w:t xml:space="preserve"> and Camara, </w:t>
      </w:r>
      <w:proofErr w:type="spellStart"/>
      <w:r w:rsidRPr="00EC5CB5">
        <w:rPr>
          <w:color w:val="000000"/>
        </w:rPr>
        <w:t>cited</w:t>
      </w:r>
      <w:proofErr w:type="spellEnd"/>
      <w:r w:rsidRPr="00EC5CB5">
        <w:rPr>
          <w:color w:val="000000"/>
        </w:rPr>
        <w:t xml:space="preserve"> </w:t>
      </w:r>
      <w:proofErr w:type="spellStart"/>
      <w:r w:rsidRPr="00EC5CB5">
        <w:rPr>
          <w:color w:val="000000"/>
        </w:rPr>
        <w:t>above</w:t>
      </w:r>
      <w:proofErr w:type="spellEnd"/>
      <w:r w:rsidRPr="00EC5CB5">
        <w:rPr>
          <w:color w:val="000000"/>
        </w:rPr>
        <w:t>, §</w:t>
      </w:r>
      <w:r w:rsidRPr="00EC5CB5">
        <w:rPr>
          <w:rFonts w:cstheme="minorHAnsi"/>
          <w:color w:val="000000"/>
        </w:rPr>
        <w:t>§</w:t>
      </w:r>
      <w:r w:rsidRPr="00EC5CB5">
        <w:rPr>
          <w:color w:val="000000"/>
        </w:rPr>
        <w:t xml:space="preserve"> 153-154).</w:t>
      </w:r>
      <w:bookmarkEnd w:id="19"/>
    </w:p>
    <w:p w14:paraId="18401C07" w14:textId="77777777" w:rsidR="00B9684E" w:rsidRPr="00EC5CB5" w:rsidRDefault="00B9684E" w:rsidP="00E07747">
      <w:pPr>
        <w:pStyle w:val="JuHa0"/>
        <w:numPr>
          <w:ilvl w:val="4"/>
          <w:numId w:val="17"/>
        </w:numPr>
        <w:tabs>
          <w:tab w:val="num" w:pos="360"/>
          <w:tab w:val="num" w:pos="3600"/>
        </w:tabs>
        <w:spacing w:before="0" w:beforeAutospacing="0" w:after="0"/>
        <w:ind w:left="0" w:firstLine="284"/>
      </w:pPr>
      <w:r w:rsidRPr="00EC5CB5">
        <w:t>Application to the present case</w:t>
      </w:r>
    </w:p>
    <w:p w14:paraId="6E7FE99E" w14:textId="77777777" w:rsidR="00B9684E" w:rsidRPr="00EC5CB5" w:rsidRDefault="00B9684E" w:rsidP="00E07747">
      <w:pPr>
        <w:pStyle w:val="JuHi"/>
        <w:numPr>
          <w:ilvl w:val="5"/>
          <w:numId w:val="17"/>
        </w:numPr>
        <w:tabs>
          <w:tab w:val="num" w:pos="360"/>
          <w:tab w:val="num" w:pos="4320"/>
        </w:tabs>
        <w:spacing w:before="0" w:beforeAutospacing="0" w:after="0" w:line="240" w:lineRule="auto"/>
        <w:ind w:left="0" w:firstLine="284"/>
      </w:pPr>
      <w:r w:rsidRPr="00EC5CB5">
        <w:t>The existence of interference</w:t>
      </w:r>
    </w:p>
    <w:p w14:paraId="3C3251A1"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74</w:t>
      </w:r>
      <w:r w:rsidRPr="00EC5CB5">
        <w:rPr>
          <w:noProof/>
        </w:rPr>
        <w:fldChar w:fldCharType="end"/>
      </w:r>
      <w:r w:rsidRPr="00EC5CB5">
        <w:t>.  The Government considered that there had been no interference with the applicant's right to respect for private life on the ground that she had validly consented to the triple bone test and that the decision on her majority had been taken at the end of a process surrounded by all the necessary guarantees provided for by the legislation.</w:t>
      </w:r>
    </w:p>
    <w:p w14:paraId="71725172"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75</w:t>
      </w:r>
      <w:r w:rsidRPr="00EC5CB5">
        <w:rPr>
          <w:noProof/>
        </w:rPr>
        <w:fldChar w:fldCharType="end"/>
      </w:r>
      <w:r w:rsidRPr="00EC5CB5">
        <w:t>.  The applicant denied that she had all the necessary facilities to give her free and informed consent to the carrying out of those tests, the results of which proved decisive in the decision to end her care as an unaccompanied foreign minor.</w:t>
      </w:r>
    </w:p>
    <w:p w14:paraId="49AB78F3"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76</w:t>
      </w:r>
      <w:r w:rsidRPr="00EC5CB5">
        <w:rPr>
          <w:noProof/>
        </w:rPr>
        <w:fldChar w:fldCharType="end"/>
      </w:r>
      <w:r w:rsidRPr="00EC5CB5">
        <w:t xml:space="preserve">.  The Court notes that the question whether the applicant validly consented to the performance of the triple bone test is disputed between the parties. It further notes that the applicant's complaints are not limited to the validity of her consent to the carrying out of that test, but relate to the entire age assessment procedure which led to the decision to cease her care as an unaccompanied foreign minor. The Court observes that this decision deprived her of all the rights deriving from that status and </w:t>
      </w:r>
      <w:r w:rsidRPr="00EC5CB5">
        <w:lastRenderedPageBreak/>
        <w:t>therefore considers that it constitutes an "interference" with the exercise of the applicant's right to respect for her private life, within the meaning of Article 8 of the Convention.</w:t>
      </w:r>
    </w:p>
    <w:p w14:paraId="524BE9E7" w14:textId="77777777" w:rsidR="00B9684E" w:rsidRPr="00EC5CB5" w:rsidRDefault="00B9684E" w:rsidP="00E07747">
      <w:pPr>
        <w:pStyle w:val="JuHi"/>
        <w:numPr>
          <w:ilvl w:val="5"/>
          <w:numId w:val="17"/>
        </w:numPr>
        <w:tabs>
          <w:tab w:val="num" w:pos="360"/>
          <w:tab w:val="num" w:pos="4320"/>
        </w:tabs>
        <w:spacing w:before="0" w:beforeAutospacing="0" w:after="0" w:line="240" w:lineRule="auto"/>
        <w:ind w:left="0" w:firstLine="284"/>
      </w:pPr>
      <w:r w:rsidRPr="00EC5CB5">
        <w:t>The lawfulness of the interference</w:t>
      </w:r>
    </w:p>
    <w:p w14:paraId="455924C6"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77</w:t>
      </w:r>
      <w:r w:rsidRPr="00EC5CB5">
        <w:rPr>
          <w:noProof/>
        </w:rPr>
        <w:fldChar w:fldCharType="end"/>
      </w:r>
      <w:r w:rsidRPr="00EC5CB5">
        <w:t xml:space="preserve">.  The Court notes that it is not disputed by the parties that the interference is based on a legal basis, namely Chapter 6 of Title XIII "Guardianship of unaccompanied foreign minors" of the Programme Law of 24 December 2002, and in particular on Article 7 thereof, which provides that in the event of doubts concerning the age of an alien declaring himself a minor,  A medical test is carried out "immediately", the result of which, if it reaches the age of majority, automatically entails the end of the care of the person concerned by the </w:t>
      </w:r>
      <w:proofErr w:type="spellStart"/>
      <w:r w:rsidRPr="00EC5CB5">
        <w:t>guardianship</w:t>
      </w:r>
      <w:proofErr w:type="spellEnd"/>
      <w:r w:rsidRPr="00EC5CB5">
        <w:t xml:space="preserve"> service (</w:t>
      </w:r>
      <w:proofErr w:type="spellStart"/>
      <w:r w:rsidRPr="00EC5CB5">
        <w:t>paragraph</w:t>
      </w:r>
      <w:proofErr w:type="spellEnd"/>
      <w:r w:rsidRPr="00EC5CB5">
        <w:t xml:space="preserve"> </w:t>
      </w:r>
      <w:r w:rsidRPr="00EC5CB5">
        <w:fldChar w:fldCharType="begin"/>
      </w:r>
      <w:r w:rsidRPr="00EC5CB5">
        <w:instrText xml:space="preserve">REF paragraph00031 \h \* CharFormat </w:instrText>
      </w:r>
      <w:r w:rsidRPr="00EC5CB5">
        <w:fldChar w:fldCharType="separate"/>
      </w:r>
      <w:r w:rsidRPr="00EC5CB5">
        <w:t>31</w:t>
      </w:r>
      <w:r w:rsidRPr="00EC5CB5">
        <w:fldChar w:fldCharType="end"/>
      </w:r>
      <w:r w:rsidRPr="00EC5CB5">
        <w:t xml:space="preserve"> </w:t>
      </w:r>
      <w:proofErr w:type="spellStart"/>
      <w:r w:rsidRPr="00EC5CB5">
        <w:t>above</w:t>
      </w:r>
      <w:proofErr w:type="spellEnd"/>
      <w:r w:rsidRPr="00EC5CB5">
        <w:t>).</w:t>
      </w:r>
    </w:p>
    <w:p w14:paraId="07E4A250" w14:textId="77777777" w:rsidR="00B9684E" w:rsidRPr="00EC5CB5" w:rsidRDefault="00B9684E" w:rsidP="00E07747">
      <w:pPr>
        <w:pStyle w:val="JuHi"/>
        <w:numPr>
          <w:ilvl w:val="5"/>
          <w:numId w:val="17"/>
        </w:numPr>
        <w:tabs>
          <w:tab w:val="num" w:pos="360"/>
          <w:tab w:val="num" w:pos="4320"/>
        </w:tabs>
        <w:spacing w:before="0" w:beforeAutospacing="0" w:after="0" w:line="240" w:lineRule="auto"/>
        <w:ind w:left="0" w:firstLine="284"/>
      </w:pPr>
      <w:r w:rsidRPr="00EC5CB5">
        <w:t>The existence of a legitimate aim</w:t>
      </w:r>
    </w:p>
    <w:bookmarkStart w:id="20" w:name="paragraphe80"/>
    <w:p w14:paraId="69339D7E"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78</w:t>
      </w:r>
      <w:r w:rsidRPr="00EC5CB5">
        <w:rPr>
          <w:lang w:bidi="en-US"/>
        </w:rPr>
        <w:fldChar w:fldCharType="end"/>
      </w:r>
      <w:bookmarkEnd w:id="20"/>
      <w:r w:rsidRPr="00EC5CB5">
        <w:rPr>
          <w:lang w:bidi="en-US"/>
        </w:rPr>
        <w:t>.  The Government maintained that the interference in question pursued a legitimate aim, namely the need to differentiate between minor migrants and adults in the same situation with a view to the special protection of the former by providing them with accommodation separate from adults.</w:t>
      </w:r>
    </w:p>
    <w:p w14:paraId="7C2DE115" w14:textId="77777777" w:rsidR="00B9684E" w:rsidRPr="00EC5CB5" w:rsidRDefault="00B9684E" w:rsidP="00E07747">
      <w:pPr>
        <w:pStyle w:val="JuPara"/>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79</w:t>
      </w:r>
      <w:r w:rsidRPr="00EC5CB5">
        <w:rPr>
          <w:lang w:bidi="en-US"/>
        </w:rPr>
        <w:fldChar w:fldCharType="end"/>
      </w:r>
      <w:r w:rsidRPr="00EC5CB5">
        <w:rPr>
          <w:lang w:bidi="en-US"/>
        </w:rPr>
        <w:t>.  The Court notes that the impugned measure was taken in the context of the control of the entry and residence of foreign nationals in the territory of the Belgian State. It has already recognized the legitimate interest of States in determining the age of a foreign national entering their territory, taking into account the consequences that that age implies for the application of the special protection regime for unaccompanied foreign minors, a category of the most vulnerable persons in society (</w:t>
      </w:r>
      <w:proofErr w:type="spellStart"/>
      <w:r w:rsidRPr="00EC5CB5">
        <w:rPr>
          <w:lang w:bidi="en-US"/>
        </w:rPr>
        <w:t>paragraph</w:t>
      </w:r>
      <w:proofErr w:type="spellEnd"/>
      <w:r w:rsidRPr="00EC5CB5">
        <w:rPr>
          <w:lang w:bidi="en-US"/>
        </w:rPr>
        <w:t xml:space="preserve"> </w:t>
      </w:r>
      <w:r w:rsidRPr="00EC5CB5">
        <w:fldChar w:fldCharType="begin"/>
      </w:r>
      <w:r w:rsidRPr="00EC5CB5">
        <w:instrText xml:space="preserve">REF paragraph00066 \h \* CharFormat  \* MERGEFORMAT </w:instrText>
      </w:r>
      <w:r w:rsidRPr="00EC5CB5">
        <w:fldChar w:fldCharType="separate"/>
      </w:r>
      <w:r w:rsidRPr="00EC5CB5">
        <w:t>70</w:t>
      </w:r>
      <w:r w:rsidRPr="00EC5CB5">
        <w:fldChar w:fldCharType="end"/>
      </w:r>
      <w:r w:rsidRPr="00EC5CB5">
        <w:t xml:space="preserve"> </w:t>
      </w:r>
      <w:proofErr w:type="spellStart"/>
      <w:r w:rsidRPr="00EC5CB5">
        <w:t>above</w:t>
      </w:r>
      <w:proofErr w:type="spellEnd"/>
      <w:r w:rsidRPr="00EC5CB5">
        <w:t>).</w:t>
      </w:r>
    </w:p>
    <w:bookmarkStart w:id="21" w:name="paragraphe82"/>
    <w:p w14:paraId="0720DB91"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80</w:t>
      </w:r>
      <w:r w:rsidRPr="00EC5CB5">
        <w:rPr>
          <w:lang w:bidi="en-US"/>
        </w:rPr>
        <w:fldChar w:fldCharType="end"/>
      </w:r>
      <w:bookmarkEnd w:id="21"/>
      <w:r w:rsidRPr="00EC5CB5">
        <w:rPr>
          <w:lang w:bidi="en-US"/>
        </w:rPr>
        <w:t>.  It therefore accepts that the interference in question fell within the scope of the application of a regulation, the objective of which is to guarantee special protection to underage migrants and may therefore be linked to objectives of the defence of public order and safety and the protection of the rights and freedoms of others, which constitute legitimate aims, in the light of the second paragraph of Article 8 of the Convention.</w:t>
      </w:r>
    </w:p>
    <w:p w14:paraId="129403C0" w14:textId="77777777" w:rsidR="00B9684E" w:rsidRPr="00EC5CB5" w:rsidRDefault="00B9684E" w:rsidP="00E07747">
      <w:pPr>
        <w:pStyle w:val="JuHi"/>
        <w:numPr>
          <w:ilvl w:val="5"/>
          <w:numId w:val="17"/>
        </w:numPr>
        <w:tabs>
          <w:tab w:val="num" w:pos="360"/>
          <w:tab w:val="num" w:pos="4320"/>
        </w:tabs>
        <w:spacing w:before="0" w:beforeAutospacing="0" w:after="0" w:line="240" w:lineRule="auto"/>
        <w:ind w:left="0" w:firstLine="284"/>
      </w:pPr>
      <w:r w:rsidRPr="00EC5CB5">
        <w:t>The necessity of the interference</w:t>
      </w:r>
    </w:p>
    <w:bookmarkStart w:id="22" w:name="arreteroyal"/>
    <w:bookmarkEnd w:id="22"/>
    <w:p w14:paraId="53608775" w14:textId="77777777" w:rsidR="00B9684E" w:rsidRPr="00EC5CB5" w:rsidRDefault="00B9684E" w:rsidP="00E07747">
      <w:pPr>
        <w:pStyle w:val="JuPara"/>
      </w:pPr>
      <w:r w:rsidRPr="00EC5CB5">
        <w:fldChar w:fldCharType="begin"/>
      </w:r>
      <w:r w:rsidRPr="00EC5CB5">
        <w:instrText xml:space="preserve"> SEQ level0 \*arabic \* MERGEFORMAT </w:instrText>
      </w:r>
      <w:r w:rsidRPr="00EC5CB5">
        <w:fldChar w:fldCharType="separate"/>
      </w:r>
      <w:r w:rsidRPr="00EC5CB5">
        <w:rPr>
          <w:noProof/>
        </w:rPr>
        <w:t>81</w:t>
      </w:r>
      <w:r w:rsidRPr="00EC5CB5">
        <w:fldChar w:fldCharType="end"/>
      </w:r>
      <w:r w:rsidRPr="00EC5CB5">
        <w:t xml:space="preserve">.  In the present case, the Court notes that on her arrival in Belgium, the applicant lodged an application for international protection, submitting a copy of her non-legalised birth certificate proving that she was a minor. She was placed, in accordance with the presumption of minority, in a juvenile centre, where she remained throughout the age assessment procedure. This leads from the outset to distinguish the present case </w:t>
      </w:r>
      <w:proofErr w:type="spellStart"/>
      <w:r w:rsidRPr="00EC5CB5">
        <w:t>from</w:t>
      </w:r>
      <w:proofErr w:type="spellEnd"/>
      <w:r w:rsidRPr="00EC5CB5">
        <w:t xml:space="preserve"> the case </w:t>
      </w:r>
      <w:proofErr w:type="spellStart"/>
      <w:r w:rsidRPr="00EC5CB5">
        <w:rPr>
          <w:i/>
          <w:iCs/>
        </w:rPr>
        <w:t>Darboe</w:t>
      </w:r>
      <w:proofErr w:type="spellEnd"/>
      <w:r w:rsidRPr="00EC5CB5">
        <w:rPr>
          <w:i/>
          <w:iCs/>
        </w:rPr>
        <w:t xml:space="preserve"> and Camara</w:t>
      </w:r>
      <w:r w:rsidRPr="00EC5CB5">
        <w:t xml:space="preserve"> (</w:t>
      </w:r>
      <w:proofErr w:type="spellStart"/>
      <w:r w:rsidRPr="00EC5CB5">
        <w:t>cited</w:t>
      </w:r>
      <w:proofErr w:type="spellEnd"/>
      <w:r w:rsidRPr="00EC5CB5">
        <w:t xml:space="preserve"> </w:t>
      </w:r>
      <w:proofErr w:type="spellStart"/>
      <w:r w:rsidRPr="00EC5CB5">
        <w:t>above</w:t>
      </w:r>
      <w:proofErr w:type="spellEnd"/>
      <w:r w:rsidRPr="00EC5CB5">
        <w:t>, § 150)</w:t>
      </w:r>
      <w:r w:rsidRPr="00EC5CB5">
        <w:rPr>
          <w:color w:val="000000"/>
        </w:rPr>
        <w:t xml:space="preserve"> where the Court found a violation of Article 8 of the Convention on account of the applicant's placement, having presented himself as a minor on his arrival in Italy and subsequently recognized as such, in an overcrowded adult detention centre for more than four months following an age assessment procedure devoid of sufficient procedural safeguards.</w:t>
      </w:r>
    </w:p>
    <w:p w14:paraId="393981E0"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82</w:t>
      </w:r>
      <w:r w:rsidRPr="00EC5CB5">
        <w:rPr>
          <w:noProof/>
        </w:rPr>
        <w:fldChar w:fldCharType="end"/>
      </w:r>
      <w:r w:rsidRPr="00EC5CB5">
        <w:t xml:space="preserve">.  The Court then notes that, following the lodging of her application for international protection, the applicant was heard by an officer of the Immigration Office. During that interview, the agent expressed doubts as to the applicant's minority. Noting in particular the lack of original identity documents, he immediately directed her to carry out a medical test consisting of an X-ray of the hand and wrist, an X-ray of the collarbone and a CT scan of the teeth. That triple test, carried out at the Saint Raphael University Hospital in Leuven, concluded that the applicant was 21.7 years old, with a standard deviation of </w:t>
      </w:r>
      <w:proofErr w:type="spellStart"/>
      <w:r w:rsidRPr="00EC5CB5">
        <w:t>two</w:t>
      </w:r>
      <w:proofErr w:type="spellEnd"/>
      <w:r w:rsidRPr="00EC5CB5">
        <w:t xml:space="preserve"> </w:t>
      </w:r>
      <w:proofErr w:type="spellStart"/>
      <w:r w:rsidRPr="00EC5CB5">
        <w:t>years</w:t>
      </w:r>
      <w:proofErr w:type="spellEnd"/>
      <w:r w:rsidRPr="00EC5CB5">
        <w:t xml:space="preserve"> (</w:t>
      </w:r>
      <w:proofErr w:type="spellStart"/>
      <w:r w:rsidRPr="00EC5CB5">
        <w:t>paragraph</w:t>
      </w:r>
      <w:proofErr w:type="spellEnd"/>
      <w:r w:rsidRPr="00EC5CB5">
        <w:t xml:space="preserve"> </w:t>
      </w:r>
      <w:r w:rsidRPr="00EC5CB5">
        <w:fldChar w:fldCharType="begin"/>
      </w:r>
      <w:r w:rsidRPr="00EC5CB5">
        <w:instrText xml:space="preserve">REF paragraph00011 \h \* CharFormat </w:instrText>
      </w:r>
      <w:r w:rsidRPr="00EC5CB5">
        <w:fldChar w:fldCharType="separate"/>
      </w:r>
      <w:r w:rsidRPr="00EC5CB5">
        <w:t>11</w:t>
      </w:r>
      <w:r w:rsidRPr="00EC5CB5">
        <w:fldChar w:fldCharType="end"/>
      </w:r>
      <w:r w:rsidRPr="00EC5CB5">
        <w:t xml:space="preserve"> </w:t>
      </w:r>
      <w:proofErr w:type="spellStart"/>
      <w:r w:rsidRPr="00EC5CB5">
        <w:t>above</w:t>
      </w:r>
      <w:proofErr w:type="spellEnd"/>
      <w:r w:rsidRPr="00EC5CB5">
        <w:t>).</w:t>
      </w:r>
    </w:p>
    <w:bookmarkStart w:id="23" w:name="paragraph00082"/>
    <w:p w14:paraId="6E383734" w14:textId="77777777" w:rsidR="00B9684E" w:rsidRPr="00EC5CB5" w:rsidRDefault="00B9684E" w:rsidP="00E07747">
      <w:pPr>
        <w:pStyle w:val="JuPara"/>
      </w:pPr>
      <w:r w:rsidRPr="00EC5CB5">
        <w:fldChar w:fldCharType="begin"/>
      </w:r>
      <w:r w:rsidRPr="00EC5CB5">
        <w:instrText xml:space="preserve"> SEQ level0 \*arabic \* MERGEFORMAT </w:instrText>
      </w:r>
      <w:r w:rsidRPr="00EC5CB5">
        <w:fldChar w:fldCharType="separate"/>
      </w:r>
      <w:r w:rsidRPr="00EC5CB5">
        <w:rPr>
          <w:noProof/>
        </w:rPr>
        <w:t>83</w:t>
      </w:r>
      <w:r w:rsidRPr="00EC5CB5">
        <w:fldChar w:fldCharType="end"/>
      </w:r>
      <w:bookmarkEnd w:id="23"/>
      <w:r w:rsidRPr="00EC5CB5">
        <w:t xml:space="preserve">.  It was only after that test had been carried out that the applicant was interviewed by an official of the guardianship service, to whom she presented, inter alia, copies of other identity documents, supplemented a few days later by the sending of the </w:t>
      </w:r>
      <w:proofErr w:type="spellStart"/>
      <w:r w:rsidRPr="00EC5CB5">
        <w:t>originals</w:t>
      </w:r>
      <w:proofErr w:type="spellEnd"/>
      <w:r w:rsidRPr="00EC5CB5">
        <w:t xml:space="preserve"> (</w:t>
      </w:r>
      <w:proofErr w:type="spellStart"/>
      <w:r w:rsidRPr="00EC5CB5">
        <w:t>see</w:t>
      </w:r>
      <w:proofErr w:type="spellEnd"/>
      <w:r w:rsidRPr="00EC5CB5">
        <w:t xml:space="preserve"> </w:t>
      </w:r>
      <w:proofErr w:type="spellStart"/>
      <w:r w:rsidRPr="00EC5CB5">
        <w:t>paragraphs</w:t>
      </w:r>
      <w:proofErr w:type="spellEnd"/>
      <w:r w:rsidRPr="00EC5CB5">
        <w:t xml:space="preserve"> </w:t>
      </w:r>
      <w:r w:rsidRPr="00EC5CB5">
        <w:fldChar w:fldCharType="begin"/>
      </w:r>
      <w:r w:rsidRPr="00EC5CB5">
        <w:instrText xml:space="preserve"> REF paragraph00013 \h </w:instrText>
      </w:r>
      <w:r w:rsidRPr="00EC5CB5">
        <w:fldChar w:fldCharType="separate"/>
      </w:r>
      <w:r w:rsidRPr="00EC5CB5">
        <w:rPr>
          <w:rFonts w:cstheme="minorHAnsi"/>
          <w:noProof/>
        </w:rPr>
        <w:t>13</w:t>
      </w:r>
      <w:r w:rsidRPr="00EC5CB5">
        <w:fldChar w:fldCharType="end"/>
      </w:r>
      <w:r w:rsidRPr="00EC5CB5">
        <w:t xml:space="preserve"> and </w:t>
      </w:r>
      <w:r w:rsidRPr="00EC5CB5">
        <w:fldChar w:fldCharType="begin"/>
      </w:r>
      <w:r w:rsidRPr="00EC5CB5">
        <w:instrText xml:space="preserve">REF paragraph00015 \h \* CharFormat </w:instrText>
      </w:r>
      <w:r w:rsidRPr="00EC5CB5">
        <w:fldChar w:fldCharType="separate"/>
      </w:r>
      <w:r w:rsidRPr="00EC5CB5">
        <w:t>15</w:t>
      </w:r>
      <w:r w:rsidRPr="00EC5CB5">
        <w:fldChar w:fldCharType="end"/>
      </w:r>
      <w:r w:rsidRPr="00EC5CB5">
        <w:t xml:space="preserve"> </w:t>
      </w:r>
      <w:proofErr w:type="spellStart"/>
      <w:r w:rsidRPr="00EC5CB5">
        <w:t>above</w:t>
      </w:r>
      <w:proofErr w:type="spellEnd"/>
      <w:r w:rsidRPr="00EC5CB5">
        <w:t xml:space="preserve">) and the authenticity of which was subsequently questioned by the </w:t>
      </w:r>
      <w:proofErr w:type="spellStart"/>
      <w:r w:rsidRPr="00EC5CB5">
        <w:t>Belgian</w:t>
      </w:r>
      <w:proofErr w:type="spellEnd"/>
      <w:r w:rsidRPr="00EC5CB5">
        <w:t xml:space="preserve"> </w:t>
      </w:r>
      <w:proofErr w:type="spellStart"/>
      <w:r w:rsidRPr="00EC5CB5">
        <w:t>authorities</w:t>
      </w:r>
      <w:proofErr w:type="spellEnd"/>
      <w:r w:rsidRPr="00EC5CB5">
        <w:t xml:space="preserve"> (</w:t>
      </w:r>
      <w:proofErr w:type="spellStart"/>
      <w:r w:rsidRPr="00EC5CB5">
        <w:t>paragraph</w:t>
      </w:r>
      <w:proofErr w:type="spellEnd"/>
      <w:r w:rsidRPr="00EC5CB5">
        <w:t xml:space="preserve"> </w:t>
      </w:r>
      <w:r w:rsidRPr="00EC5CB5">
        <w:fldChar w:fldCharType="begin"/>
      </w:r>
      <w:r w:rsidRPr="00EC5CB5">
        <w:instrText xml:space="preserve"> REF paragraph00016 \h </w:instrText>
      </w:r>
      <w:r w:rsidRPr="00EC5CB5">
        <w:fldChar w:fldCharType="separate"/>
      </w:r>
      <w:r w:rsidRPr="00EC5CB5">
        <w:rPr>
          <w:noProof/>
          <w:lang w:bidi="en-US"/>
        </w:rPr>
        <w:t>16</w:t>
      </w:r>
      <w:r w:rsidRPr="00EC5CB5">
        <w:fldChar w:fldCharType="end"/>
      </w:r>
      <w:r w:rsidRPr="00EC5CB5">
        <w:t xml:space="preserve"> </w:t>
      </w:r>
      <w:proofErr w:type="spellStart"/>
      <w:r w:rsidRPr="00EC5CB5">
        <w:t>above</w:t>
      </w:r>
      <w:proofErr w:type="spellEnd"/>
      <w:r w:rsidRPr="00EC5CB5">
        <w:t>).</w:t>
      </w:r>
    </w:p>
    <w:p w14:paraId="7DAAB501"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84</w:t>
      </w:r>
      <w:r w:rsidRPr="00EC5CB5">
        <w:rPr>
          <w:noProof/>
        </w:rPr>
        <w:fldChar w:fldCharType="end"/>
      </w:r>
      <w:r w:rsidRPr="00EC5CB5">
        <w:t xml:space="preserve">.  At the end of those assessments, on 11 September 2019, the guardianship service issued a decision to cease to take care of the applicant as an unaccompanied </w:t>
      </w:r>
      <w:proofErr w:type="spellStart"/>
      <w:r w:rsidRPr="00EC5CB5">
        <w:t>foreign</w:t>
      </w:r>
      <w:proofErr w:type="spellEnd"/>
      <w:r w:rsidRPr="00EC5CB5">
        <w:t xml:space="preserve"> minor (</w:t>
      </w:r>
      <w:proofErr w:type="spellStart"/>
      <w:r w:rsidRPr="00EC5CB5">
        <w:t>paragraph</w:t>
      </w:r>
      <w:proofErr w:type="spellEnd"/>
      <w:r w:rsidRPr="00EC5CB5">
        <w:t xml:space="preserve"> </w:t>
      </w:r>
      <w:r w:rsidRPr="00EC5CB5">
        <w:fldChar w:fldCharType="begin"/>
      </w:r>
      <w:r w:rsidRPr="00EC5CB5">
        <w:instrText xml:space="preserve">REF paragraph00017 \h \* CharFormat </w:instrText>
      </w:r>
      <w:r w:rsidRPr="00EC5CB5">
        <w:fldChar w:fldCharType="separate"/>
      </w:r>
      <w:r w:rsidRPr="00EC5CB5">
        <w:t>17</w:t>
      </w:r>
      <w:r w:rsidRPr="00EC5CB5">
        <w:fldChar w:fldCharType="end"/>
      </w:r>
      <w:r w:rsidRPr="00EC5CB5">
        <w:t xml:space="preserve"> </w:t>
      </w:r>
      <w:proofErr w:type="spellStart"/>
      <w:r w:rsidRPr="00EC5CB5">
        <w:t>above</w:t>
      </w:r>
      <w:proofErr w:type="spellEnd"/>
      <w:r w:rsidRPr="00EC5CB5">
        <w:t xml:space="preserve">). This decision is based on the results of the medical test as well as on the absence of legalised documents within the meaning of Article 30 of the Code of Private International Law. The guardianship service considered that the discrepancy of more than two years between the lower limit </w:t>
      </w:r>
      <w:r w:rsidRPr="00EC5CB5">
        <w:lastRenderedPageBreak/>
        <w:t xml:space="preserve">of the medical examination and the documents provided exceeded the reasonable margin and that, in those circumstances, the result of the age test should prevail over the documentation submitted by the </w:t>
      </w:r>
      <w:proofErr w:type="spellStart"/>
      <w:r w:rsidRPr="00EC5CB5">
        <w:t>person</w:t>
      </w:r>
      <w:proofErr w:type="spellEnd"/>
      <w:r w:rsidRPr="00EC5CB5">
        <w:t xml:space="preserve"> </w:t>
      </w:r>
      <w:proofErr w:type="spellStart"/>
      <w:r w:rsidRPr="00EC5CB5">
        <w:t>concerned.</w:t>
      </w:r>
      <w:r w:rsidRPr="00EC5CB5">
        <w:rPr>
          <w:i/>
          <w:iCs/>
        </w:rPr>
        <w:t>ibid</w:t>
      </w:r>
      <w:proofErr w:type="spellEnd"/>
      <w:r w:rsidRPr="00EC5CB5">
        <w:t>).</w:t>
      </w:r>
    </w:p>
    <w:p w14:paraId="18EEF5F4"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85</w:t>
      </w:r>
      <w:r w:rsidRPr="00EC5CB5">
        <w:rPr>
          <w:noProof/>
        </w:rPr>
        <w:fldChar w:fldCharType="end"/>
      </w:r>
      <w:r w:rsidRPr="00EC5CB5">
        <w:t xml:space="preserve">.  In the light of the foregoing, it is not for the Court, as an international court, to rule on the question whether the applicant was a minor on the date of </w:t>
      </w:r>
      <w:proofErr w:type="spellStart"/>
      <w:r w:rsidRPr="00EC5CB5">
        <w:t>her</w:t>
      </w:r>
      <w:proofErr w:type="spellEnd"/>
      <w:r w:rsidRPr="00EC5CB5">
        <w:t xml:space="preserve"> </w:t>
      </w:r>
      <w:proofErr w:type="spellStart"/>
      <w:r w:rsidRPr="00EC5CB5">
        <w:t>arrival</w:t>
      </w:r>
      <w:proofErr w:type="spellEnd"/>
      <w:r w:rsidRPr="00EC5CB5">
        <w:t xml:space="preserve"> in </w:t>
      </w:r>
      <w:proofErr w:type="spellStart"/>
      <w:r w:rsidRPr="00EC5CB5">
        <w:t>Belgium.</w:t>
      </w:r>
      <w:r w:rsidRPr="00EC5CB5">
        <w:rPr>
          <w:i/>
          <w:iCs/>
        </w:rPr>
        <w:t>Darboe</w:t>
      </w:r>
      <w:proofErr w:type="spellEnd"/>
      <w:r w:rsidRPr="00EC5CB5">
        <w:rPr>
          <w:i/>
          <w:iCs/>
        </w:rPr>
        <w:t xml:space="preserve"> and Camara</w:t>
      </w:r>
      <w:r w:rsidRPr="00EC5CB5">
        <w:t xml:space="preserve">, </w:t>
      </w:r>
      <w:proofErr w:type="spellStart"/>
      <w:r w:rsidRPr="00EC5CB5">
        <w:t>cited</w:t>
      </w:r>
      <w:proofErr w:type="spellEnd"/>
      <w:r w:rsidRPr="00EC5CB5">
        <w:t xml:space="preserve"> </w:t>
      </w:r>
      <w:proofErr w:type="spellStart"/>
      <w:r w:rsidRPr="00EC5CB5">
        <w:t>above</w:t>
      </w:r>
      <w:proofErr w:type="spellEnd"/>
      <w:r w:rsidRPr="00EC5CB5">
        <w:t>, § 131). The Court notes in this regard other factors relied on by the Government which came to light after the adoption of the decision of 11 September 2019 to terminate care and which tend to confirm the doubts previously expressed by the authorities. It thus notes that the applicant had already been registered as an adult with the asylum authorities in Germany (</w:t>
      </w:r>
      <w:proofErr w:type="spellStart"/>
      <w:r w:rsidRPr="00EC5CB5">
        <w:t>see</w:t>
      </w:r>
      <w:proofErr w:type="spellEnd"/>
      <w:r w:rsidRPr="00EC5CB5">
        <w:t xml:space="preserve"> </w:t>
      </w:r>
      <w:proofErr w:type="spellStart"/>
      <w:r w:rsidRPr="00EC5CB5">
        <w:t>paragraph</w:t>
      </w:r>
      <w:proofErr w:type="spellEnd"/>
      <w:r w:rsidRPr="00EC5CB5">
        <w:t xml:space="preserve"> </w:t>
      </w:r>
      <w:r w:rsidRPr="00EC5CB5">
        <w:fldChar w:fldCharType="begin"/>
      </w:r>
      <w:r w:rsidRPr="00EC5CB5">
        <w:instrText xml:space="preserve">REF paragraph00019 \h \* CharFormat </w:instrText>
      </w:r>
      <w:r w:rsidRPr="00EC5CB5">
        <w:fldChar w:fldCharType="separate"/>
      </w:r>
      <w:r w:rsidRPr="00EC5CB5">
        <w:t>19</w:t>
      </w:r>
      <w:r w:rsidRPr="00EC5CB5">
        <w:fldChar w:fldCharType="end"/>
      </w:r>
      <w:r w:rsidRPr="00EC5CB5">
        <w:t xml:space="preserve"> </w:t>
      </w:r>
      <w:proofErr w:type="spellStart"/>
      <w:r w:rsidRPr="00EC5CB5">
        <w:t>above</w:t>
      </w:r>
      <w:proofErr w:type="spellEnd"/>
      <w:r w:rsidRPr="00EC5CB5">
        <w:t xml:space="preserve">). It also takes note of the doubts expressed on 23 September 2019 by the FPS Foreign Affairs as to the authenticity of the documents produced by the </w:t>
      </w:r>
      <w:proofErr w:type="spellStart"/>
      <w:r w:rsidRPr="00EC5CB5">
        <w:t>applicant</w:t>
      </w:r>
      <w:proofErr w:type="spellEnd"/>
      <w:r w:rsidRPr="00EC5CB5">
        <w:t xml:space="preserve"> (</w:t>
      </w:r>
      <w:proofErr w:type="spellStart"/>
      <w:r w:rsidRPr="00EC5CB5">
        <w:t>paragraphs</w:t>
      </w:r>
      <w:proofErr w:type="spellEnd"/>
      <w:r w:rsidRPr="00EC5CB5">
        <w:t xml:space="preserve"> </w:t>
      </w:r>
      <w:r w:rsidRPr="00EC5CB5">
        <w:fldChar w:fldCharType="begin"/>
      </w:r>
      <w:r w:rsidRPr="00EC5CB5">
        <w:instrText xml:space="preserve">REF paragraph00016 \h \* CharFormat </w:instrText>
      </w:r>
      <w:r w:rsidRPr="00EC5CB5">
        <w:fldChar w:fldCharType="separate"/>
      </w:r>
      <w:r w:rsidRPr="00EC5CB5">
        <w:t>16</w:t>
      </w:r>
      <w:r w:rsidRPr="00EC5CB5">
        <w:fldChar w:fldCharType="end"/>
      </w:r>
      <w:r w:rsidRPr="00EC5CB5">
        <w:t xml:space="preserve"> and </w:t>
      </w:r>
      <w:r w:rsidRPr="00EC5CB5">
        <w:fldChar w:fldCharType="begin"/>
      </w:r>
      <w:r w:rsidRPr="00EC5CB5">
        <w:instrText xml:space="preserve"> REF paragraph00082 \h </w:instrText>
      </w:r>
      <w:r w:rsidRPr="00EC5CB5">
        <w:fldChar w:fldCharType="separate"/>
      </w:r>
      <w:r w:rsidRPr="00EC5CB5">
        <w:rPr>
          <w:noProof/>
        </w:rPr>
        <w:t>83</w:t>
      </w:r>
      <w:r w:rsidRPr="00EC5CB5">
        <w:fldChar w:fldCharType="end"/>
      </w:r>
      <w:r w:rsidRPr="00EC5CB5">
        <w:t xml:space="preserve"> </w:t>
      </w:r>
      <w:proofErr w:type="spellStart"/>
      <w:r w:rsidRPr="00EC5CB5">
        <w:t>above</w:t>
      </w:r>
      <w:proofErr w:type="spellEnd"/>
      <w:r w:rsidRPr="00EC5CB5">
        <w:t>).</w:t>
      </w:r>
    </w:p>
    <w:p w14:paraId="225E5E98" w14:textId="77777777" w:rsidR="00B9684E" w:rsidRPr="00EC5CB5" w:rsidRDefault="00B9684E" w:rsidP="00E07747">
      <w:pPr>
        <w:pStyle w:val="JuPara"/>
      </w:pPr>
      <w:r w:rsidRPr="00EC5CB5">
        <w:fldChar w:fldCharType="begin"/>
      </w:r>
      <w:r>
        <w:instrText xml:space="preserve"> SEQ level0 \*arabic \* MERGEFORMAT </w:instrText>
      </w:r>
      <w:r w:rsidRPr="00EC5CB5">
        <w:fldChar w:fldCharType="separate"/>
      </w:r>
      <w:r w:rsidRPr="00EC5CB5">
        <w:rPr>
          <w:noProof/>
        </w:rPr>
        <w:t>86</w:t>
      </w:r>
      <w:r w:rsidRPr="00EC5CB5">
        <w:rPr>
          <w:noProof/>
        </w:rPr>
        <w:fldChar w:fldCharType="end"/>
      </w:r>
      <w:r w:rsidRPr="00EC5CB5">
        <w:t>.  In the present case, the Court will examine, in accordance with Article 19 of the Convention, whether the national authorities have complied with the guarantees of Article 8 of the Convention in respect of the applicant, taking into account the margin of appreciation which they have in the processes of assessing the age of migrants who claim to be minors.</w:t>
      </w:r>
    </w:p>
    <w:p w14:paraId="195FB59A" w14:textId="77777777" w:rsidR="00B9684E" w:rsidRPr="00EC5CB5" w:rsidRDefault="00B9684E" w:rsidP="00E07747">
      <w:pPr>
        <w:pStyle w:val="JuPara"/>
        <w:rPr>
          <w:lang w:bidi="en-US"/>
        </w:rPr>
      </w:pPr>
      <w:r w:rsidRPr="00EC5CB5">
        <w:fldChar w:fldCharType="begin"/>
      </w:r>
      <w:r>
        <w:instrText xml:space="preserve"> SEQ level0 \*arabic \* MERGEFORMAT </w:instrText>
      </w:r>
      <w:r w:rsidRPr="00EC5CB5">
        <w:fldChar w:fldCharType="separate"/>
      </w:r>
      <w:r w:rsidRPr="00EC5CB5">
        <w:rPr>
          <w:noProof/>
        </w:rPr>
        <w:t>87</w:t>
      </w:r>
      <w:r w:rsidRPr="00EC5CB5">
        <w:rPr>
          <w:noProof/>
        </w:rPr>
        <w:fldChar w:fldCharType="end"/>
      </w:r>
      <w:r w:rsidRPr="00EC5CB5">
        <w:t>.</w:t>
      </w:r>
      <w:r w:rsidRPr="00EC5CB5">
        <w:rPr>
          <w:rFonts w:cstheme="minorHAnsi"/>
        </w:rPr>
        <w:t>At</w:t>
      </w:r>
      <w:r w:rsidRPr="00EC5CB5">
        <w:t xml:space="preserve"> to that end, the Court notes, in the first place, that the parties disagree as to whether the applicant was duly informed of her rights in the context of the performance of the bone test. They agree, however, that the medical test in question cannot be carried out without the consent of the person concerned and that this consent must be expressly given (see also to this effect the opinions of the National Council of the Order of </w:t>
      </w:r>
      <w:proofErr w:type="spellStart"/>
      <w:r w:rsidRPr="00EC5CB5">
        <w:t>Physicians</w:t>
      </w:r>
      <w:proofErr w:type="spellEnd"/>
      <w:r w:rsidRPr="00EC5CB5">
        <w:t xml:space="preserve">, </w:t>
      </w:r>
      <w:proofErr w:type="spellStart"/>
      <w:r w:rsidRPr="00EC5CB5">
        <w:t>paragraphs</w:t>
      </w:r>
      <w:proofErr w:type="spellEnd"/>
      <w:r w:rsidRPr="00EC5CB5">
        <w:t xml:space="preserve"> </w:t>
      </w:r>
      <w:r w:rsidRPr="00EC5CB5">
        <w:rPr>
          <w:lang w:bidi="en-US"/>
        </w:rPr>
        <w:fldChar w:fldCharType="begin"/>
      </w:r>
      <w:r w:rsidRPr="00EC5CB5">
        <w:rPr>
          <w:lang w:bidi="en-US"/>
        </w:rPr>
        <w:instrText xml:space="preserve">REF paragraph00034 \h \* CharFormat </w:instrText>
      </w:r>
      <w:r w:rsidRPr="00EC5CB5">
        <w:rPr>
          <w:lang w:bidi="en-US"/>
        </w:rPr>
      </w:r>
      <w:r w:rsidRPr="00EC5CB5">
        <w:rPr>
          <w:lang w:bidi="en-US"/>
        </w:rPr>
        <w:fldChar w:fldCharType="separate"/>
      </w:r>
      <w:r w:rsidRPr="00EC5CB5">
        <w:rPr>
          <w:lang w:bidi="en-US"/>
        </w:rPr>
        <w:t>35</w:t>
      </w:r>
      <w:r w:rsidRPr="00EC5CB5">
        <w:rPr>
          <w:lang w:bidi="en-US"/>
        </w:rPr>
        <w:fldChar w:fldCharType="end"/>
      </w:r>
      <w:r w:rsidRPr="00EC5CB5">
        <w:rPr>
          <w:lang w:bidi="en-US"/>
        </w:rPr>
        <w:t xml:space="preserve"> and </w:t>
      </w:r>
      <w:r w:rsidRPr="00EC5CB5">
        <w:rPr>
          <w:lang w:bidi="en-US"/>
        </w:rPr>
        <w:fldChar w:fldCharType="begin"/>
      </w:r>
      <w:r w:rsidRPr="00EC5CB5">
        <w:rPr>
          <w:lang w:bidi="en-US"/>
        </w:rPr>
        <w:instrText xml:space="preserve">REF paragraph00035 \h \* CharFormat </w:instrText>
      </w:r>
      <w:r w:rsidRPr="00EC5CB5">
        <w:rPr>
          <w:lang w:bidi="en-US"/>
        </w:rPr>
      </w:r>
      <w:r w:rsidRPr="00EC5CB5">
        <w:rPr>
          <w:lang w:bidi="en-US"/>
        </w:rPr>
        <w:fldChar w:fldCharType="separate"/>
      </w:r>
      <w:r w:rsidRPr="00EC5CB5">
        <w:rPr>
          <w:lang w:bidi="en-US"/>
        </w:rPr>
        <w:t>36</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 xml:space="preserve">). The Government explained that, in order to meet this requirement, the person was given a special booklet explaining in simple terms and in a language that he or she understood how the medical tests were </w:t>
      </w:r>
      <w:proofErr w:type="spellStart"/>
      <w:r w:rsidRPr="00EC5CB5">
        <w:rPr>
          <w:lang w:bidi="en-US"/>
        </w:rPr>
        <w:t>carried</w:t>
      </w:r>
      <w:proofErr w:type="spellEnd"/>
      <w:r w:rsidRPr="00EC5CB5">
        <w:rPr>
          <w:lang w:bidi="en-US"/>
        </w:rPr>
        <w:t xml:space="preserve"> out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REF paragraph00008 \h \* CharFormat </w:instrText>
      </w:r>
      <w:r w:rsidRPr="00EC5CB5">
        <w:rPr>
          <w:lang w:bidi="en-US"/>
        </w:rPr>
      </w:r>
      <w:r w:rsidRPr="00EC5CB5">
        <w:rPr>
          <w:lang w:bidi="en-US"/>
        </w:rPr>
        <w:fldChar w:fldCharType="separate"/>
      </w:r>
      <w:r w:rsidRPr="00EC5CB5">
        <w:rPr>
          <w:lang w:bidi="en-US"/>
        </w:rPr>
        <w:t>8</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 xml:space="preserve">). The fact that the booklet has been handed over to the person concerned and that he or she has not objected to the practice of these tests shall be recorded in the form pre-printed by the officer in charge of the interview during which the doubt as to the person's minority is expressed (paragraph </w:t>
      </w:r>
      <w:bookmarkStart w:id="24" w:name="entretieninitial"/>
      <w:bookmarkEnd w:id="24"/>
      <w:r w:rsidRPr="00EC5CB5">
        <w:rPr>
          <w:lang w:bidi="en-US"/>
        </w:rPr>
        <w:fldChar w:fldCharType="begin"/>
      </w:r>
      <w:r w:rsidRPr="00EC5CB5">
        <w:rPr>
          <w:lang w:bidi="en-US"/>
        </w:rPr>
        <w:instrText xml:space="preserve">REF paragraph00007 \h \* CharFormat </w:instrText>
      </w:r>
      <w:r w:rsidRPr="00EC5CB5">
        <w:rPr>
          <w:lang w:bidi="en-US"/>
        </w:rPr>
      </w:r>
      <w:r w:rsidRPr="00EC5CB5">
        <w:rPr>
          <w:lang w:bidi="en-US"/>
        </w:rPr>
        <w:fldChar w:fldCharType="separate"/>
      </w:r>
      <w:r w:rsidRPr="00EC5CB5">
        <w:rPr>
          <w:lang w:bidi="en-US"/>
        </w:rPr>
        <w:t>7</w:t>
      </w:r>
      <w:r w:rsidRPr="00EC5CB5">
        <w:rPr>
          <w:lang w:bidi="en-US"/>
        </w:rPr>
        <w:fldChar w:fldCharType="end"/>
      </w:r>
      <w:r w:rsidRPr="00EC5CB5">
        <w:rPr>
          <w:lang w:bidi="en-US"/>
        </w:rPr>
        <w:fldChar w:fldCharType="begin"/>
      </w:r>
      <w:r w:rsidRPr="00EC5CB5">
        <w:rPr>
          <w:lang w:bidi="en-US"/>
        </w:rPr>
        <w:instrText xml:space="preserve"> REF entretieninitial \h  \* MERGEFORMAT </w:instrText>
      </w:r>
      <w:r w:rsidRPr="00EC5CB5">
        <w:rPr>
          <w:lang w:bidi="en-US"/>
        </w:rPr>
      </w:r>
      <w:r w:rsidR="009F287C">
        <w:rPr>
          <w:lang w:bidi="en-US"/>
        </w:rPr>
        <w:fldChar w:fldCharType="separate"/>
      </w:r>
      <w:r w:rsidRPr="00EC5CB5">
        <w:rPr>
          <w:lang w:bidi="en-US"/>
        </w:rPr>
        <w:fldChar w:fldCharType="end"/>
      </w:r>
      <w:r w:rsidRPr="00EC5CB5">
        <w:rPr>
          <w:lang w:bidi="en-US"/>
        </w:rPr>
        <w:fldChar w:fldCharType="begin"/>
      </w:r>
      <w:r w:rsidRPr="00EC5CB5">
        <w:rPr>
          <w:lang w:bidi="en-US"/>
        </w:rPr>
        <w:instrText xml:space="preserve"> REF entretieninitial \h  \* MERGEFORMAT </w:instrText>
      </w:r>
      <w:r w:rsidRPr="00EC5CB5">
        <w:rPr>
          <w:lang w:bidi="en-US"/>
        </w:rPr>
      </w:r>
      <w:r w:rsidR="009F287C">
        <w:rPr>
          <w:lang w:bidi="en-US"/>
        </w:rPr>
        <w:fldChar w:fldCharType="separate"/>
      </w:r>
      <w:r w:rsidRPr="00EC5CB5">
        <w:rPr>
          <w:lang w:bidi="en-US"/>
        </w:rPr>
        <w:fldChar w:fldCharType="end"/>
      </w:r>
      <w:r w:rsidRPr="00EC5CB5">
        <w:rPr>
          <w:lang w:bidi="en-US"/>
        </w:rPr>
        <w:fldChar w:fldCharType="begin"/>
      </w:r>
      <w:r w:rsidRPr="00EC5CB5">
        <w:rPr>
          <w:lang w:bidi="en-US"/>
        </w:rPr>
        <w:instrText xml:space="preserve"> REF entretieninitial \h  \* MERGEFORMAT </w:instrText>
      </w:r>
      <w:r w:rsidRPr="00EC5CB5">
        <w:rPr>
          <w:lang w:bidi="en-US"/>
        </w:rPr>
      </w:r>
      <w:r w:rsidR="009F287C">
        <w:rPr>
          <w:lang w:bidi="en-US"/>
        </w:rPr>
        <w:fldChar w:fldCharType="separate"/>
      </w:r>
      <w:r w:rsidRPr="00EC5CB5">
        <w:rPr>
          <w:lang w:bidi="en-US"/>
        </w:rPr>
        <w:fldChar w:fldCharType="end"/>
      </w:r>
      <w:r w:rsidRPr="00EC5CB5">
        <w:rPr>
          <w:lang w:bidi="en-US"/>
        </w:rPr>
        <w:fldChar w:fldCharType="begin"/>
      </w:r>
      <w:r w:rsidRPr="00EC5CB5">
        <w:rPr>
          <w:lang w:bidi="en-US"/>
        </w:rPr>
        <w:instrText xml:space="preserve"> REF entretieninitial \h  \* MERGEFORMAT </w:instrText>
      </w:r>
      <w:r w:rsidRPr="00EC5CB5">
        <w:rPr>
          <w:lang w:bidi="en-US"/>
        </w:rPr>
      </w:r>
      <w:r w:rsidR="009F287C">
        <w:rPr>
          <w:lang w:bidi="en-US"/>
        </w:rPr>
        <w:fldChar w:fldCharType="separate"/>
      </w:r>
      <w:r w:rsidRPr="00EC5CB5">
        <w:rPr>
          <w:lang w:bidi="en-US"/>
        </w:rPr>
        <w:fldChar w:fldCharType="end"/>
      </w:r>
      <w:r w:rsidRPr="00EC5CB5">
        <w:rPr>
          <w:lang w:bidi="en-US"/>
        </w:rPr>
        <w:fldChar w:fldCharType="begin"/>
      </w:r>
      <w:r w:rsidRPr="00EC5CB5">
        <w:rPr>
          <w:lang w:bidi="en-US"/>
        </w:rPr>
        <w:instrText xml:space="preserve"> REF entretieninitial \h  \* MERGEFORMAT </w:instrText>
      </w:r>
      <w:r w:rsidRPr="00EC5CB5">
        <w:rPr>
          <w:lang w:bidi="en-US"/>
        </w:rPr>
      </w:r>
      <w:r w:rsidR="009F287C">
        <w:rPr>
          <w:lang w:bidi="en-US"/>
        </w:rPr>
        <w:fldChar w:fldCharType="separate"/>
      </w:r>
      <w:r w:rsidRPr="00EC5CB5">
        <w:rPr>
          <w:lang w:bidi="en-US"/>
        </w:rPr>
        <w:fldChar w:fldCharType="end"/>
      </w:r>
      <w:r w:rsidRPr="00EC5CB5">
        <w:rPr>
          <w:lang w:bidi="en-US"/>
        </w:rPr>
        <w:t xml:space="preserve"> above). However, no signature of the person concerned is required to attest to the delivery of the said booklet or on the pre-printed form to attest to the accuracy of the transcribed answers.</w:t>
      </w:r>
    </w:p>
    <w:p w14:paraId="07C69A42"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88</w:t>
      </w:r>
      <w:r w:rsidRPr="00EC5CB5">
        <w:rPr>
          <w:lang w:bidi="en-US"/>
        </w:rPr>
        <w:fldChar w:fldCharType="end"/>
      </w:r>
      <w:r w:rsidRPr="00EC5CB5">
        <w:rPr>
          <w:lang w:bidi="en-US"/>
        </w:rPr>
        <w:t>.  In the Court's view, the communication of that information is all the more important where, as in the present case, the person concerned, who is still presumed to be an unaccompanied minor and an applicant for international protection, is not assisted by either a representative or a lawyer during the age assessment phase.</w:t>
      </w:r>
    </w:p>
    <w:p w14:paraId="69188A20"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89</w:t>
      </w:r>
      <w:r w:rsidRPr="00EC5CB5">
        <w:rPr>
          <w:lang w:bidi="en-US"/>
        </w:rPr>
        <w:fldChar w:fldCharType="end"/>
      </w:r>
      <w:r w:rsidRPr="00EC5CB5">
        <w:rPr>
          <w:lang w:bidi="en-US"/>
        </w:rPr>
        <w:t>.  The Court does not, however, consider it necessary to decide whether the applicant actually received the information concerning the triple bone test since, even if the booklet in question had actually been given to her, it can only find that it does not mention the need for her consent, the document indicating only the possibility of "expressing [her] opinion on the subject" and the possibility,  in the event of disagreement, to challenge the final decision before the Council of State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REF paragraph00008 \h \* CharFormat </w:instrText>
      </w:r>
      <w:r w:rsidRPr="00EC5CB5">
        <w:rPr>
          <w:lang w:bidi="en-US"/>
        </w:rPr>
      </w:r>
      <w:r w:rsidRPr="00EC5CB5">
        <w:rPr>
          <w:lang w:bidi="en-US"/>
        </w:rPr>
        <w:fldChar w:fldCharType="separate"/>
      </w:r>
      <w:r w:rsidRPr="00EC5CB5">
        <w:rPr>
          <w:lang w:bidi="en-US"/>
        </w:rPr>
        <w:t>8</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 xml:space="preserve">). The decision to cease to take care of the applicant as an unaccompanied foreign minor also makes no mention of the existence of the applicant's consent and merely states that she was informed of the progress of the </w:t>
      </w:r>
      <w:proofErr w:type="spellStart"/>
      <w:r w:rsidRPr="00EC5CB5">
        <w:rPr>
          <w:lang w:bidi="en-US"/>
        </w:rPr>
        <w:t>medical</w:t>
      </w:r>
      <w:proofErr w:type="spellEnd"/>
      <w:r w:rsidRPr="00EC5CB5">
        <w:rPr>
          <w:lang w:bidi="en-US"/>
        </w:rPr>
        <w:t xml:space="preserve"> test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 REF paragraph00017 \h </w:instrText>
      </w:r>
      <w:r w:rsidRPr="00EC5CB5">
        <w:rPr>
          <w:lang w:bidi="en-US"/>
        </w:rPr>
      </w:r>
      <w:r w:rsidRPr="00EC5CB5">
        <w:rPr>
          <w:lang w:bidi="en-US"/>
        </w:rPr>
        <w:fldChar w:fldCharType="separate"/>
      </w:r>
      <w:r w:rsidRPr="00EC5CB5">
        <w:rPr>
          <w:rFonts w:cstheme="minorHAnsi"/>
          <w:noProof/>
          <w:lang w:bidi="en-US"/>
        </w:rPr>
        <w:t>17</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w:t>
      </w:r>
    </w:p>
    <w:p w14:paraId="6D77D7A5"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90</w:t>
      </w:r>
      <w:r w:rsidRPr="00EC5CB5">
        <w:rPr>
          <w:lang w:bidi="en-US"/>
        </w:rPr>
        <w:fldChar w:fldCharType="end"/>
      </w:r>
      <w:r w:rsidRPr="00EC5CB5">
        <w:rPr>
          <w:lang w:bidi="en-US"/>
        </w:rPr>
        <w:t xml:space="preserve">.  In that regard, the Court reiterates the importance of patients' free and informed consent to the performance of a medical act and points out that the absence of that consent may be regarded as an interference with their physical integrity involving the rights protected by Article 8 of the </w:t>
      </w:r>
      <w:proofErr w:type="spellStart"/>
      <w:r w:rsidRPr="00EC5CB5">
        <w:rPr>
          <w:lang w:bidi="en-US"/>
        </w:rPr>
        <w:t>Convention.</w:t>
      </w:r>
      <w:r w:rsidRPr="00EC5CB5">
        <w:rPr>
          <w:i/>
          <w:iCs/>
        </w:rPr>
        <w:t>Pindo</w:t>
      </w:r>
      <w:proofErr w:type="spellEnd"/>
      <w:r w:rsidRPr="00EC5CB5">
        <w:rPr>
          <w:i/>
          <w:iCs/>
        </w:rPr>
        <w:t xml:space="preserve"> Mulla</w:t>
      </w:r>
      <w:r w:rsidRPr="00EC5CB5">
        <w:t xml:space="preserve">, </w:t>
      </w:r>
      <w:proofErr w:type="spellStart"/>
      <w:r w:rsidRPr="00EC5CB5">
        <w:t>cited</w:t>
      </w:r>
      <w:proofErr w:type="spellEnd"/>
      <w:r w:rsidRPr="00EC5CB5">
        <w:t xml:space="preserve"> </w:t>
      </w:r>
      <w:proofErr w:type="spellStart"/>
      <w:r w:rsidRPr="00EC5CB5">
        <w:t>above</w:t>
      </w:r>
      <w:proofErr w:type="spellEnd"/>
      <w:r w:rsidRPr="00EC5CB5">
        <w:t>, §§ 138-139). The Court does not lose sight of the fact that this is a medical examination carried out for non-medical purposes. It considers, however, that that fact has little bearing on the application of the principles laid down in its case-law, since the principle of personal autonomy which lies at the heart of Article 8 of the Convention is also at stake.</w:t>
      </w:r>
      <w:r w:rsidRPr="00EC5CB5">
        <w:rPr>
          <w:i/>
          <w:iCs/>
          <w:lang w:bidi="en-US"/>
        </w:rPr>
        <w:t>ditto</w:t>
      </w:r>
      <w:r w:rsidRPr="00EC5CB5">
        <w:rPr>
          <w:lang w:bidi="en-US"/>
        </w:rPr>
        <w:t xml:space="preserve">, § 137). In this respect, it notes the invasive nature of the medical tests carried out for the purpose of assessing age, consisting, in this case, of a </w:t>
      </w:r>
      <w:proofErr w:type="spellStart"/>
      <w:r w:rsidRPr="00EC5CB5">
        <w:rPr>
          <w:lang w:bidi="en-US"/>
        </w:rPr>
        <w:t>triple</w:t>
      </w:r>
      <w:proofErr w:type="spellEnd"/>
      <w:r w:rsidRPr="00EC5CB5">
        <w:rPr>
          <w:lang w:bidi="en-US"/>
        </w:rPr>
        <w:t xml:space="preserve"> X-ray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REF paragraph00011 \h \* CharFormat </w:instrText>
      </w:r>
      <w:r w:rsidRPr="00EC5CB5">
        <w:rPr>
          <w:lang w:bidi="en-US"/>
        </w:rPr>
      </w:r>
      <w:r w:rsidRPr="00EC5CB5">
        <w:rPr>
          <w:lang w:bidi="en-US"/>
        </w:rPr>
        <w:fldChar w:fldCharType="separate"/>
      </w:r>
      <w:r w:rsidRPr="00EC5CB5">
        <w:rPr>
          <w:lang w:bidi="en-US"/>
        </w:rPr>
        <w:t>11</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w:t>
      </w:r>
    </w:p>
    <w:p w14:paraId="2998D5F8"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91</w:t>
      </w:r>
      <w:r w:rsidRPr="00EC5CB5">
        <w:rPr>
          <w:lang w:bidi="en-US"/>
        </w:rPr>
        <w:fldChar w:fldCharType="end"/>
      </w:r>
      <w:r w:rsidRPr="00EC5CB5">
        <w:rPr>
          <w:lang w:bidi="en-US"/>
        </w:rPr>
        <w:t>.  Secondly, the Court notes that bone tests were carried out immediately following the doubts expressed as to the applicant's minority by an officer of the Immigration Office (</w:t>
      </w:r>
      <w:proofErr w:type="spellStart"/>
      <w:r w:rsidRPr="00EC5CB5">
        <w:rPr>
          <w:lang w:bidi="en-US"/>
        </w:rPr>
        <w:t>see</w:t>
      </w:r>
      <w:proofErr w:type="spellEnd"/>
      <w:r w:rsidRPr="00EC5CB5">
        <w:rPr>
          <w:lang w:bidi="en-US"/>
        </w:rPr>
        <w:t xml:space="preserve">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REF paragraph00007 \h \* CharFormat </w:instrText>
      </w:r>
      <w:r w:rsidRPr="00EC5CB5">
        <w:rPr>
          <w:lang w:bidi="en-US"/>
        </w:rPr>
      </w:r>
      <w:r w:rsidRPr="00EC5CB5">
        <w:rPr>
          <w:lang w:bidi="en-US"/>
        </w:rPr>
        <w:fldChar w:fldCharType="separate"/>
      </w:r>
      <w:r w:rsidRPr="00EC5CB5">
        <w:rPr>
          <w:lang w:bidi="en-US"/>
        </w:rPr>
        <w:t>7</w:t>
      </w:r>
      <w:r w:rsidRPr="00EC5CB5">
        <w:rPr>
          <w:lang w:bidi="en-US"/>
        </w:rPr>
        <w:fldChar w:fldCharType="end"/>
      </w:r>
      <w:r w:rsidRPr="00EC5CB5">
        <w:rPr>
          <w:lang w:bidi="en-US"/>
        </w:rPr>
        <w:t xml:space="preserve"> </w:t>
      </w:r>
      <w:proofErr w:type="spellStart"/>
      <w:r w:rsidRPr="00EC5CB5">
        <w:rPr>
          <w:lang w:bidi="en-US"/>
        </w:rPr>
        <w:lastRenderedPageBreak/>
        <w:t>above</w:t>
      </w:r>
      <w:proofErr w:type="spellEnd"/>
      <w:r w:rsidRPr="00EC5CB5">
        <w:rPr>
          <w:lang w:bidi="en-US"/>
        </w:rPr>
        <w:t xml:space="preserve">). Belgian law expressly provides that these tests are to be carried out "immediately" in the event of doubt as to the age of the </w:t>
      </w:r>
      <w:proofErr w:type="spellStart"/>
      <w:r w:rsidRPr="00EC5CB5">
        <w:rPr>
          <w:lang w:bidi="en-US"/>
        </w:rPr>
        <w:t>person</w:t>
      </w:r>
      <w:proofErr w:type="spellEnd"/>
      <w:r w:rsidRPr="00EC5CB5">
        <w:rPr>
          <w:lang w:bidi="en-US"/>
        </w:rPr>
        <w:t xml:space="preserve"> </w:t>
      </w:r>
      <w:proofErr w:type="spellStart"/>
      <w:r w:rsidRPr="00EC5CB5">
        <w:rPr>
          <w:lang w:bidi="en-US"/>
        </w:rPr>
        <w:t>concerned</w:t>
      </w:r>
      <w:proofErr w:type="spellEnd"/>
      <w:r w:rsidRPr="00EC5CB5">
        <w:rPr>
          <w:lang w:bidi="en-US"/>
        </w:rPr>
        <w:t xml:space="preserve">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REF paragraph00031 \h \* CharFormat </w:instrText>
      </w:r>
      <w:r w:rsidRPr="00EC5CB5">
        <w:rPr>
          <w:lang w:bidi="en-US"/>
        </w:rPr>
      </w:r>
      <w:r w:rsidRPr="00EC5CB5">
        <w:rPr>
          <w:lang w:bidi="en-US"/>
        </w:rPr>
        <w:fldChar w:fldCharType="separate"/>
      </w:r>
      <w:r w:rsidRPr="00EC5CB5">
        <w:rPr>
          <w:lang w:bidi="en-US"/>
        </w:rPr>
        <w:t>31</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w:t>
      </w:r>
    </w:p>
    <w:p w14:paraId="67555CD7" w14:textId="77777777" w:rsidR="00B9684E" w:rsidRPr="00EC5CB5" w:rsidRDefault="00B9684E" w:rsidP="00E07747">
      <w:pPr>
        <w:pStyle w:val="JuPara"/>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92</w:t>
      </w:r>
      <w:r w:rsidRPr="00EC5CB5">
        <w:rPr>
          <w:lang w:bidi="en-US"/>
        </w:rPr>
        <w:fldChar w:fldCharType="end"/>
      </w:r>
      <w:r w:rsidRPr="00EC5CB5">
        <w:rPr>
          <w:lang w:bidi="en-US"/>
        </w:rPr>
        <w:t xml:space="preserve">.  The Court emphasises that, in view of their invasive nature in the present case, medical examinations should be carried out only as </w:t>
      </w:r>
      <w:proofErr w:type="gramStart"/>
      <w:r w:rsidRPr="00EC5CB5">
        <w:rPr>
          <w:lang w:bidi="en-US"/>
        </w:rPr>
        <w:t>a</w:t>
      </w:r>
      <w:proofErr w:type="gramEnd"/>
      <w:r w:rsidRPr="00EC5CB5">
        <w:rPr>
          <w:lang w:bidi="en-US"/>
        </w:rPr>
        <w:t xml:space="preserve"> last resort if other means of removing doubt as to the age of the person concerned have not led to conclusive results (</w:t>
      </w:r>
      <w:proofErr w:type="spellStart"/>
      <w:r w:rsidRPr="00EC5CB5">
        <w:rPr>
          <w:lang w:bidi="en-US"/>
        </w:rPr>
        <w:t>see</w:t>
      </w:r>
      <w:proofErr w:type="spellEnd"/>
      <w:r w:rsidRPr="00EC5CB5">
        <w:rPr>
          <w:lang w:bidi="en-US"/>
        </w:rPr>
        <w:t xml:space="preserve"> </w:t>
      </w:r>
      <w:proofErr w:type="spellStart"/>
      <w:r w:rsidRPr="00EC5CB5">
        <w:rPr>
          <w:lang w:bidi="en-US"/>
        </w:rPr>
        <w:t>also</w:t>
      </w:r>
      <w:proofErr w:type="spellEnd"/>
      <w:r w:rsidRPr="00EC5CB5">
        <w:rPr>
          <w:lang w:bidi="en-US"/>
        </w:rPr>
        <w:t xml:space="preserve"> </w:t>
      </w:r>
      <w:proofErr w:type="spellStart"/>
      <w:r w:rsidRPr="00EC5CB5">
        <w:rPr>
          <w:lang w:bidi="en-US"/>
        </w:rPr>
        <w:t>paragraph</w:t>
      </w:r>
      <w:proofErr w:type="spellEnd"/>
      <w:r w:rsidRPr="00EC5CB5">
        <w:rPr>
          <w:lang w:bidi="en-US"/>
        </w:rPr>
        <w:t xml:space="preserve"> </w:t>
      </w:r>
      <w:r w:rsidRPr="00EC5CB5">
        <w:rPr>
          <w:lang w:bidi="en-US"/>
        </w:rPr>
        <w:fldChar w:fldCharType="begin"/>
      </w:r>
      <w:r w:rsidRPr="00EC5CB5">
        <w:rPr>
          <w:lang w:bidi="en-US"/>
        </w:rPr>
        <w:instrText xml:space="preserve"> REF paragraph00040 \h </w:instrText>
      </w:r>
      <w:r w:rsidRPr="00EC5CB5">
        <w:rPr>
          <w:lang w:bidi="en-US"/>
        </w:rPr>
      </w:r>
      <w:r w:rsidRPr="00EC5CB5">
        <w:rPr>
          <w:lang w:bidi="en-US"/>
        </w:rPr>
        <w:fldChar w:fldCharType="separate"/>
      </w:r>
      <w:r w:rsidRPr="00EC5CB5">
        <w:rPr>
          <w:noProof/>
        </w:rPr>
        <w:t>41</w:t>
      </w:r>
      <w:r w:rsidRPr="00EC5CB5">
        <w:rPr>
          <w:lang w:bidi="en-US"/>
        </w:rPr>
        <w:fldChar w:fldCharType="end"/>
      </w:r>
      <w:r w:rsidRPr="00EC5CB5">
        <w:rPr>
          <w:lang w:bidi="en-US"/>
        </w:rPr>
        <w:t xml:space="preserve"> </w:t>
      </w:r>
      <w:proofErr w:type="spellStart"/>
      <w:r w:rsidRPr="00EC5CB5">
        <w:rPr>
          <w:lang w:bidi="en-US"/>
        </w:rPr>
        <w:t>above</w:t>
      </w:r>
      <w:proofErr w:type="spellEnd"/>
      <w:r w:rsidRPr="00EC5CB5">
        <w:rPr>
          <w:lang w:bidi="en-US"/>
        </w:rPr>
        <w:t>). It points out that, in order for a measure to be regarded as proportionate and necessary in a democratic society, the existence of a measure which is less seriously infringing the fundamental right at issue and which makes it possible to achieve the same aim must be excluded.</w:t>
      </w:r>
      <w:bookmarkStart w:id="25" w:name="_cl12589ENDROIT"/>
      <w:r w:rsidRPr="00EC5CB5">
        <w:rPr>
          <w:i/>
          <w:iCs/>
        </w:rPr>
        <w:t>Nada v. Switzerland</w:t>
      </w:r>
      <w:bookmarkEnd w:id="25"/>
      <w:r w:rsidRPr="00EC5CB5">
        <w:t xml:space="preserve"> [GC], no. 10593/08, § 183, ECHR 2012, and </w:t>
      </w:r>
      <w:bookmarkStart w:id="26" w:name="_cl15584ENDROIT"/>
      <w:r w:rsidRPr="00EC5CB5">
        <w:rPr>
          <w:i/>
          <w:iCs/>
        </w:rPr>
        <w:t>Saint-Paul Luxembourg S.A. v. Luxembourg</w:t>
      </w:r>
      <w:bookmarkEnd w:id="26"/>
      <w:r w:rsidRPr="00EC5CB5">
        <w:t>, no. 26419/10, § 44, 18 April 2013).</w:t>
      </w:r>
    </w:p>
    <w:p w14:paraId="50D78476" w14:textId="77777777" w:rsidR="00B9684E" w:rsidRPr="00EC5CB5" w:rsidRDefault="00B9684E" w:rsidP="00E07747">
      <w:pPr>
        <w:pStyle w:val="JuPara"/>
        <w:rPr>
          <w:lang w:bidi="en-US"/>
        </w:rPr>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93</w:t>
      </w:r>
      <w:r w:rsidRPr="00EC5CB5">
        <w:rPr>
          <w:lang w:bidi="en-US"/>
        </w:rPr>
        <w:fldChar w:fldCharType="end"/>
      </w:r>
      <w:r w:rsidRPr="00EC5CB5">
        <w:rPr>
          <w:lang w:bidi="en-US"/>
        </w:rPr>
        <w:t>.  In the present case, it must be stated that the applicant's interview with an agent of the guardianship service specially trained in the reception of minors took place only after the bone tests had been carried out. It was only during that interview that the applicant was questioned, inter alia, about her marital status, her family situation, her living conditions in her country of origin and her schooling. A preliminary interview with an official of the guardianship service could, if necessary, have made it possible, first, to ascertain whether the doubt as to the applicant's minority could be dispelled by other, less intrusive means and, secondly, to enable the qualified professional to satisfy himself that she had received all the information necessary to assert her rights validly.</w:t>
      </w:r>
    </w:p>
    <w:p w14:paraId="77019355" w14:textId="77777777" w:rsidR="00B9684E" w:rsidRPr="00EC5CB5" w:rsidRDefault="00B9684E" w:rsidP="00E07747">
      <w:pPr>
        <w:pStyle w:val="JuPara"/>
      </w:pPr>
      <w:r w:rsidRPr="00EC5CB5">
        <w:rPr>
          <w:lang w:bidi="en-US"/>
        </w:rPr>
        <w:fldChar w:fldCharType="begin"/>
      </w:r>
      <w:r w:rsidRPr="00EC5CB5">
        <w:rPr>
          <w:lang w:bidi="en-US"/>
        </w:rPr>
        <w:instrText xml:space="preserve"> SEQ level0 \*arabic \* MERGEFORMAT </w:instrText>
      </w:r>
      <w:r w:rsidRPr="00EC5CB5">
        <w:rPr>
          <w:lang w:bidi="en-US"/>
        </w:rPr>
        <w:fldChar w:fldCharType="separate"/>
      </w:r>
      <w:r w:rsidRPr="00EC5CB5">
        <w:rPr>
          <w:noProof/>
          <w:lang w:bidi="en-US"/>
        </w:rPr>
        <w:t>94</w:t>
      </w:r>
      <w:r w:rsidRPr="00EC5CB5">
        <w:rPr>
          <w:lang w:bidi="en-US"/>
        </w:rPr>
        <w:fldChar w:fldCharType="end"/>
      </w:r>
      <w:r w:rsidRPr="00EC5CB5">
        <w:rPr>
          <w:lang w:bidi="en-US"/>
        </w:rPr>
        <w:t xml:space="preserve">.  It is not for the Court to rule on the reliability of bone tests, which has been extensively discussed by the parties and third parties, and remains widely debated. </w:t>
      </w:r>
      <w:r w:rsidRPr="00EC5CB5">
        <w:rPr>
          <w:rFonts w:cstheme="minorHAnsi"/>
        </w:rPr>
        <w:t>In the present case, it observes, without having to rule on that point or on whether or not the applicant is a minor, that the decision-making process which led to the decision to cease her care as an unaccompanied foreign minor was not accompanied by sufficient guarantees in the light of Article 8 of the Convention.</w:t>
      </w:r>
    </w:p>
    <w:bookmarkStart w:id="27" w:name="paragraph0099"/>
    <w:p w14:paraId="127E165F" w14:textId="77777777" w:rsidR="00B9684E" w:rsidRPr="00EC5CB5" w:rsidRDefault="00B9684E" w:rsidP="00E07747">
      <w:pPr>
        <w:pStyle w:val="JuPara"/>
      </w:pPr>
      <w:r w:rsidRPr="00EC5CB5">
        <w:fldChar w:fldCharType="begin"/>
      </w:r>
      <w:r w:rsidRPr="00EC5CB5">
        <w:instrText xml:space="preserve"> SEQ level0 \*arabic \* MERGEFORMAT </w:instrText>
      </w:r>
      <w:r w:rsidRPr="00EC5CB5">
        <w:fldChar w:fldCharType="separate"/>
      </w:r>
      <w:r w:rsidRPr="00EC5CB5">
        <w:rPr>
          <w:noProof/>
        </w:rPr>
        <w:t>95</w:t>
      </w:r>
      <w:r w:rsidRPr="00EC5CB5">
        <w:fldChar w:fldCharType="end"/>
      </w:r>
      <w:bookmarkEnd w:id="27"/>
      <w:r w:rsidRPr="00EC5CB5">
        <w:t>.  Consequently, there has been a violation of this provision.</w:t>
      </w:r>
    </w:p>
    <w:p w14:paraId="0A2D02F9" w14:textId="51E90F67" w:rsidR="003F426C" w:rsidRDefault="003F426C">
      <w:pPr>
        <w:rPr>
          <w:szCs w:val="20"/>
          <w:lang w:eastAsia="ar-SA"/>
        </w:rPr>
      </w:pPr>
      <w:r>
        <w:br w:type="page"/>
      </w:r>
    </w:p>
    <w:p w14:paraId="7500BB94" w14:textId="77777777" w:rsidR="00B9684E" w:rsidRPr="00EC5CB5" w:rsidRDefault="00B9684E" w:rsidP="00E07747">
      <w:pPr>
        <w:pStyle w:val="JuPara"/>
      </w:pPr>
    </w:p>
    <w:p w14:paraId="7A8518A2" w14:textId="77777777" w:rsidR="00C73F0E" w:rsidRDefault="00C73F0E" w:rsidP="00E07747">
      <w:pPr>
        <w:pStyle w:val="Retraitcorpsdetexte2"/>
        <w:spacing w:line="240" w:lineRule="auto"/>
        <w:jc w:val="both"/>
        <w:rPr>
          <w:szCs w:val="24"/>
        </w:rPr>
      </w:pPr>
    </w:p>
    <w:p w14:paraId="57C85844" w14:textId="3C625A90" w:rsidR="00C73F0E" w:rsidRPr="00C73F0E" w:rsidRDefault="00C73F0E" w:rsidP="00E07747">
      <w:pPr>
        <w:pStyle w:val="Retraitcorpsdetexte2"/>
        <w:spacing w:line="240" w:lineRule="auto"/>
        <w:jc w:val="both"/>
        <w:rPr>
          <w:b/>
          <w:bCs/>
          <w:szCs w:val="24"/>
        </w:rPr>
      </w:pPr>
      <w:bookmarkStart w:id="28" w:name="_Hlk208320868"/>
      <w:r w:rsidRPr="00C73F0E">
        <w:rPr>
          <w:szCs w:val="24"/>
          <w:highlight w:val="yellow"/>
        </w:rPr>
        <w:t xml:space="preserve">Judgment of Cherrier v. France, 30 </w:t>
      </w:r>
      <w:proofErr w:type="spellStart"/>
      <w:r w:rsidRPr="00C73F0E">
        <w:rPr>
          <w:szCs w:val="24"/>
          <w:highlight w:val="yellow"/>
        </w:rPr>
        <w:t>January</w:t>
      </w:r>
      <w:proofErr w:type="spellEnd"/>
      <w:r w:rsidRPr="00C73F0E">
        <w:rPr>
          <w:szCs w:val="24"/>
          <w:highlight w:val="yellow"/>
        </w:rPr>
        <w:t xml:space="preserve"> 2024</w:t>
      </w:r>
    </w:p>
    <w:p w14:paraId="78EFA835" w14:textId="77777777" w:rsidR="00E07747" w:rsidRDefault="00E07747" w:rsidP="00E07747">
      <w:pPr>
        <w:pStyle w:val="JuH"/>
        <w:numPr>
          <w:ilvl w:val="0"/>
          <w:numId w:val="0"/>
        </w:numPr>
        <w:tabs>
          <w:tab w:val="num" w:pos="5760"/>
        </w:tabs>
        <w:spacing w:before="0" w:beforeAutospacing="0" w:after="0"/>
        <w:ind w:left="284"/>
      </w:pPr>
    </w:p>
    <w:p w14:paraId="27FD3711" w14:textId="35FAFE04" w:rsidR="00C73F0E" w:rsidRPr="006D652F" w:rsidRDefault="00C73F0E" w:rsidP="00E07747">
      <w:pPr>
        <w:pStyle w:val="JuH"/>
        <w:numPr>
          <w:ilvl w:val="0"/>
          <w:numId w:val="0"/>
        </w:numPr>
        <w:tabs>
          <w:tab w:val="num" w:pos="5760"/>
        </w:tabs>
        <w:spacing w:before="0" w:beforeAutospacing="0" w:after="0"/>
        <w:ind w:left="284"/>
      </w:pPr>
      <w:r w:rsidRPr="006D652F">
        <w:t>Balancing of competing rights and interests</w:t>
      </w:r>
    </w:p>
    <w:p w14:paraId="38365D58"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70</w:t>
      </w:r>
      <w:r w:rsidRPr="006D652F">
        <w:rPr>
          <w:noProof/>
        </w:rPr>
        <w:fldChar w:fldCharType="end"/>
      </w:r>
      <w:r w:rsidRPr="006D652F">
        <w:t>.  The question that arises is therefore whether, by rejecting the request for disclosure of the mother's identity, on the basis of the mother's wish not to lift the secrecy and on the balance thus desired by the legislature with regard to access to the origins of adopted persons and wards of the State,  the respondent State, having regard to the margin of appreciation available to it, relied on relevant and sufficient grounds and struck a fair balance between, on the one hand, the applicant's right to know her biological mother and, on the other, her rights and interests to maintain her anonymity.</w:t>
      </w:r>
    </w:p>
    <w:p w14:paraId="78A8685E" w14:textId="1E1013A0" w:rsidR="00C73F0E" w:rsidRPr="006D652F" w:rsidRDefault="00C73F0E" w:rsidP="00E07747">
      <w:pPr>
        <w:pStyle w:val="JuPara"/>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bookmarkStart w:id="29" w:name="paragraph00058"/>
      <w:r w:rsidRPr="006D652F">
        <w:rPr>
          <w:noProof/>
          <w:lang w:bidi="en-US"/>
        </w:rPr>
        <w:t>72</w:t>
      </w:r>
      <w:bookmarkEnd w:id="29"/>
      <w:r w:rsidRPr="006D652F">
        <w:rPr>
          <w:lang w:bidi="en-US"/>
        </w:rPr>
        <w:fldChar w:fldCharType="end"/>
      </w:r>
      <w:r w:rsidRPr="006D652F">
        <w:rPr>
          <w:lang w:bidi="en-US"/>
        </w:rPr>
        <w:t>.  In the present case, the Court recalls, in the first place, that it has already recognised that the rights and interests at issue, those of two adults, each enjoying autonomy of his or her own will, were difficult to reconcile.</w:t>
      </w:r>
      <w:r w:rsidRPr="006D652F">
        <w:rPr>
          <w:i/>
          <w:iCs/>
          <w:lang w:bidi="en-US"/>
        </w:rPr>
        <w:t>Odièvre</w:t>
      </w:r>
      <w:r w:rsidRPr="006D652F">
        <w:rPr>
          <w:lang w:bidi="en-US"/>
        </w:rPr>
        <w:t xml:space="preserve">, cited above, § 44). Indeed, on the one hand, giving birth in secret and lifting it are strictly personal acts, and we should not underestimate the impact that such a lifting could have on the private life of the mother during her lifetime or that of those around her. As regards the applicant's biological mother, the Court notes that she gave birth in secret in 1952, at a time when the legislation did not provide for the mother to be contacted to express her wish to accept or refuse to lift the secrecy of her identity. On the other hand, the pain that can be caused by maintaining secrecy, even when the adult child knows his or her birth mother is alive, must be taken seriously. In the applicant's case, the Court emphasises that the search for her origins appears to be a fundamental element in the construction of her identity, which is accompanied by moral and </w:t>
      </w:r>
      <w:proofErr w:type="spellStart"/>
      <w:r w:rsidRPr="006D652F">
        <w:rPr>
          <w:lang w:bidi="en-US"/>
        </w:rPr>
        <w:t>psychological</w:t>
      </w:r>
      <w:proofErr w:type="spellEnd"/>
      <w:r w:rsidRPr="006D652F">
        <w:rPr>
          <w:lang w:bidi="en-US"/>
        </w:rPr>
        <w:t xml:space="preserve"> </w:t>
      </w:r>
      <w:proofErr w:type="spellStart"/>
      <w:r w:rsidRPr="006D652F">
        <w:rPr>
          <w:lang w:bidi="en-US"/>
        </w:rPr>
        <w:t>suffering.</w:t>
      </w:r>
      <w:r w:rsidRPr="006D652F">
        <w:rPr>
          <w:i/>
        </w:rPr>
        <w:t>Godelli</w:t>
      </w:r>
      <w:proofErr w:type="spellEnd"/>
      <w:r w:rsidRPr="006D652F">
        <w:rPr>
          <w:i/>
        </w:rPr>
        <w:t xml:space="preserve">, </w:t>
      </w:r>
      <w:proofErr w:type="spellStart"/>
      <w:r w:rsidRPr="006D652F">
        <w:rPr>
          <w:iCs/>
        </w:rPr>
        <w:t>cited</w:t>
      </w:r>
      <w:proofErr w:type="spellEnd"/>
      <w:r w:rsidRPr="006D652F">
        <w:rPr>
          <w:iCs/>
        </w:rPr>
        <w:t xml:space="preserve"> </w:t>
      </w:r>
      <w:proofErr w:type="spellStart"/>
      <w:r w:rsidRPr="006D652F">
        <w:rPr>
          <w:iCs/>
        </w:rPr>
        <w:t>above</w:t>
      </w:r>
      <w:proofErr w:type="spellEnd"/>
      <w:r w:rsidRPr="006D652F">
        <w:rPr>
          <w:iCs/>
        </w:rPr>
        <w:t xml:space="preserve">, § 69, </w:t>
      </w:r>
      <w:proofErr w:type="spellStart"/>
      <w:r w:rsidRPr="006D652F">
        <w:rPr>
          <w:i/>
        </w:rPr>
        <w:t>Jäggi</w:t>
      </w:r>
      <w:proofErr w:type="spellEnd"/>
      <w:r w:rsidRPr="006D652F">
        <w:rPr>
          <w:i/>
        </w:rPr>
        <w:t xml:space="preserve"> v. </w:t>
      </w:r>
      <w:proofErr w:type="spellStart"/>
      <w:r w:rsidRPr="006D652F">
        <w:rPr>
          <w:i/>
        </w:rPr>
        <w:t>Switzerland</w:t>
      </w:r>
      <w:proofErr w:type="spellEnd"/>
      <w:r w:rsidRPr="006D652F">
        <w:t>, no. 58757/00, § 40, ECHR 2006X).</w:t>
      </w:r>
    </w:p>
    <w:p w14:paraId="701AC73C" w14:textId="69CDB4AB" w:rsidR="00C73F0E" w:rsidRPr="006D652F" w:rsidRDefault="00C73F0E" w:rsidP="00E07747">
      <w:pPr>
        <w:pStyle w:val="JuPara"/>
        <w:rPr>
          <w:lang w:bidi="en-US"/>
        </w:rPr>
      </w:pPr>
      <w:r w:rsidRPr="006D652F">
        <w:fldChar w:fldCharType="begin"/>
      </w:r>
      <w:r>
        <w:instrText xml:space="preserve"> SEQ level0 \*arabic \* MERGEFORMAT </w:instrText>
      </w:r>
      <w:r w:rsidRPr="006D652F">
        <w:fldChar w:fldCharType="separate"/>
      </w:r>
      <w:r w:rsidRPr="006D652F">
        <w:rPr>
          <w:noProof/>
        </w:rPr>
        <w:t>74</w:t>
      </w:r>
      <w:r w:rsidRPr="006D652F">
        <w:rPr>
          <w:noProof/>
        </w:rPr>
        <w:fldChar w:fldCharType="end"/>
      </w:r>
      <w:r w:rsidRPr="006D652F">
        <w:t>.  As regards this mechanism, and in the second place, the Court notes that, although its objective is to facilitate access to the origins of children born under X, it opts for an adjustment of that access which, in the event of the mother's refusal to reveal her identity, has the effect of depriving the child, who has become an adult, of the right to know that identity</w:t>
      </w:r>
    </w:p>
    <w:p w14:paraId="4E5A43D4" w14:textId="77777777" w:rsidR="00C73F0E" w:rsidRPr="006D652F" w:rsidRDefault="00C73F0E" w:rsidP="00E07747">
      <w:pPr>
        <w:pStyle w:val="JuPara"/>
        <w:rPr>
          <w:lang w:bidi="en-US"/>
        </w:rPr>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bookmarkStart w:id="30" w:name="paragraph00077"/>
      <w:r w:rsidRPr="006D652F">
        <w:rPr>
          <w:noProof/>
          <w:lang w:bidi="en-US"/>
        </w:rPr>
        <w:t>76</w:t>
      </w:r>
      <w:bookmarkEnd w:id="30"/>
      <w:r w:rsidRPr="006D652F">
        <w:rPr>
          <w:lang w:bidi="en-US"/>
        </w:rPr>
        <w:fldChar w:fldCharType="end"/>
      </w:r>
      <w:r w:rsidRPr="006D652F">
        <w:rPr>
          <w:lang w:bidi="en-US"/>
        </w:rPr>
        <w:t xml:space="preserve">.  In the judgment </w:t>
      </w:r>
      <w:r w:rsidRPr="006D652F">
        <w:rPr>
          <w:i/>
          <w:iCs/>
          <w:lang w:bidi="en-US"/>
        </w:rPr>
        <w:t>Odièvre</w:t>
      </w:r>
      <w:r w:rsidRPr="006D652F">
        <w:rPr>
          <w:lang w:bidi="en-US"/>
        </w:rPr>
        <w:t xml:space="preserve">, the Court recalls that it considered the balance struck by the domestic authorities to be fair and reasonable on the grounds that the applicant could have applied to the newly created CNAOP in an attempt to obtain the reversibility of the secrecy and that she had been able to have access to non-identifying data on her biological mother and her family. In the </w:t>
      </w:r>
      <w:proofErr w:type="spellStart"/>
      <w:r w:rsidRPr="006D652F">
        <w:rPr>
          <w:lang w:bidi="en-US"/>
        </w:rPr>
        <w:t>judgment</w:t>
      </w:r>
      <w:proofErr w:type="spellEnd"/>
      <w:r w:rsidRPr="006D652F">
        <w:rPr>
          <w:lang w:bidi="en-US"/>
        </w:rPr>
        <w:t xml:space="preserve"> </w:t>
      </w:r>
      <w:proofErr w:type="spellStart"/>
      <w:r w:rsidRPr="006D652F">
        <w:rPr>
          <w:i/>
          <w:iCs/>
        </w:rPr>
        <w:t>Godelli</w:t>
      </w:r>
      <w:proofErr w:type="spellEnd"/>
      <w:r w:rsidRPr="006D652F">
        <w:t xml:space="preserve">, </w:t>
      </w:r>
      <w:proofErr w:type="spellStart"/>
      <w:r w:rsidRPr="006D652F">
        <w:t>it</w:t>
      </w:r>
      <w:proofErr w:type="spellEnd"/>
      <w:r w:rsidRPr="006D652F">
        <w:t xml:space="preserve"> </w:t>
      </w:r>
      <w:proofErr w:type="spellStart"/>
      <w:r w:rsidRPr="006D652F">
        <w:t>held</w:t>
      </w:r>
      <w:proofErr w:type="spellEnd"/>
      <w:r w:rsidRPr="006D652F">
        <w:t xml:space="preserve"> </w:t>
      </w:r>
      <w:proofErr w:type="spellStart"/>
      <w:r w:rsidRPr="006D652F">
        <w:t>that</w:t>
      </w:r>
      <w:proofErr w:type="spellEnd"/>
      <w:r w:rsidRPr="006D652F">
        <w:t xml:space="preserve"> that was not the case in so far as Italian law did not offer the applicant a remedy for such an end or had given it the possibility of obtaining non-identifying information on its history. Thus, in those two judgments, the Court did not call into question the possibility for the States concerned to maintain the right for women to give birth anonymously, but considered it necessary for them to organise, in the presence of such a system of anonymity, a procedure enabling the reversibility of the secrecy of the mother's identity, subject to the mother's consent,  and to request non-identifying information about his origins.</w:t>
      </w:r>
      <w:r w:rsidRPr="006D652F">
        <w:rPr>
          <w:i/>
          <w:iCs/>
          <w:lang w:bidi="en-US"/>
        </w:rPr>
        <w:t>Odièvre</w:t>
      </w:r>
      <w:r w:rsidRPr="006D652F">
        <w:rPr>
          <w:lang w:bidi="en-US"/>
        </w:rPr>
        <w:t xml:space="preserve">, cited </w:t>
      </w:r>
      <w:proofErr w:type="spellStart"/>
      <w:r w:rsidRPr="006D652F">
        <w:rPr>
          <w:lang w:bidi="en-US"/>
        </w:rPr>
        <w:t>above</w:t>
      </w:r>
      <w:proofErr w:type="spellEnd"/>
      <w:r w:rsidRPr="006D652F">
        <w:rPr>
          <w:lang w:bidi="en-US"/>
        </w:rPr>
        <w:t xml:space="preserve">, § 49, </w:t>
      </w:r>
      <w:proofErr w:type="spellStart"/>
      <w:r w:rsidRPr="006D652F">
        <w:rPr>
          <w:i/>
          <w:iCs/>
          <w:lang w:bidi="en-US"/>
        </w:rPr>
        <w:t>Godelli</w:t>
      </w:r>
      <w:proofErr w:type="spellEnd"/>
      <w:r w:rsidRPr="006D652F">
        <w:rPr>
          <w:lang w:bidi="en-US"/>
        </w:rPr>
        <w:t xml:space="preserve">, </w:t>
      </w:r>
      <w:proofErr w:type="spellStart"/>
      <w:r w:rsidRPr="006D652F">
        <w:rPr>
          <w:lang w:bidi="en-US"/>
        </w:rPr>
        <w:t>cited</w:t>
      </w:r>
      <w:proofErr w:type="spellEnd"/>
      <w:r w:rsidRPr="006D652F">
        <w:rPr>
          <w:lang w:bidi="en-US"/>
        </w:rPr>
        <w:t xml:space="preserve"> </w:t>
      </w:r>
      <w:proofErr w:type="spellStart"/>
      <w:r w:rsidRPr="006D652F">
        <w:rPr>
          <w:lang w:bidi="en-US"/>
        </w:rPr>
        <w:t>above</w:t>
      </w:r>
      <w:proofErr w:type="spellEnd"/>
      <w:r w:rsidRPr="006D652F">
        <w:rPr>
          <w:lang w:bidi="en-US"/>
        </w:rPr>
        <w:t>, §§ 70 and 71).</w:t>
      </w:r>
    </w:p>
    <w:p w14:paraId="77E8FFBE" w14:textId="77777777" w:rsidR="00C73F0E" w:rsidRPr="006D652F" w:rsidRDefault="00C73F0E" w:rsidP="00E07747">
      <w:pPr>
        <w:pStyle w:val="JuPara"/>
        <w:rPr>
          <w:lang w:bidi="en-US"/>
        </w:rPr>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77</w:t>
      </w:r>
      <w:r w:rsidRPr="006D652F">
        <w:rPr>
          <w:lang w:bidi="en-US"/>
        </w:rPr>
        <w:fldChar w:fldCharType="end"/>
      </w:r>
      <w:r w:rsidRPr="006D652F">
        <w:rPr>
          <w:lang w:bidi="en-US"/>
        </w:rPr>
        <w:t>.  It follows, in the third place, and finally, that the Court sees no reason to call into question the balance between the rights found by the domestic authorities in the present case. While it is regrettable that access to origins weighed in the balance as a "legitimate wish" and not as a subjective right, like the right to give birth under X, the Court does not intend to draw substantive conclusions from this finding for the following reasons.</w:t>
      </w:r>
    </w:p>
    <w:p w14:paraId="40A81329" w14:textId="1398F245" w:rsidR="00C73F0E" w:rsidRPr="006D652F" w:rsidRDefault="00C73F0E" w:rsidP="00E07747">
      <w:pPr>
        <w:pStyle w:val="JuPara"/>
        <w:rPr>
          <w:lang w:bidi="en-US"/>
        </w:rPr>
      </w:pPr>
      <w:r w:rsidRPr="006D652F">
        <w:rPr>
          <w:lang w:bidi="en-US"/>
        </w:rPr>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78</w:t>
      </w:r>
      <w:r w:rsidRPr="006D652F">
        <w:rPr>
          <w:lang w:bidi="en-US"/>
        </w:rPr>
        <w:fldChar w:fldCharType="end"/>
      </w:r>
      <w:r w:rsidRPr="006D652F">
        <w:rPr>
          <w:lang w:bidi="en-US"/>
        </w:rPr>
        <w:t xml:space="preserve">.  The Court notes, first, that the CNAOP collected a certain amount of non-identifying information which it transmitted to the applicant (see paragraphs 6, 8 and </w:t>
      </w:r>
      <w:r w:rsidRPr="006D652F">
        <w:rPr>
          <w:lang w:bidi="en-US"/>
        </w:rPr>
        <w:fldChar w:fldCharType="begin"/>
      </w:r>
      <w:r w:rsidRPr="006D652F">
        <w:rPr>
          <w:lang w:bidi="en-US"/>
        </w:rPr>
        <w:instrText xml:space="preserve"> REF paragraph00010 \h  \* CharFormat  \* MERGEFORMAT </w:instrText>
      </w:r>
      <w:r w:rsidRPr="006D652F">
        <w:rPr>
          <w:lang w:bidi="en-US"/>
        </w:rPr>
      </w:r>
      <w:r w:rsidRPr="006D652F">
        <w:rPr>
          <w:lang w:bidi="en-US"/>
        </w:rPr>
        <w:fldChar w:fldCharType="separate"/>
      </w:r>
      <w:r w:rsidRPr="006D652F">
        <w:rPr>
          <w:lang w:bidi="en-US"/>
        </w:rPr>
        <w:t>10</w:t>
      </w:r>
      <w:r w:rsidRPr="006D652F">
        <w:rPr>
          <w:lang w:bidi="en-US"/>
        </w:rPr>
        <w:fldChar w:fldCharType="end"/>
      </w:r>
      <w:r w:rsidRPr="006D652F">
        <w:rPr>
          <w:lang w:bidi="en-US"/>
        </w:rPr>
        <w:t xml:space="preserve"> </w:t>
      </w:r>
      <w:proofErr w:type="spellStart"/>
      <w:r w:rsidRPr="006D652F">
        <w:rPr>
          <w:lang w:bidi="en-US"/>
        </w:rPr>
        <w:t>above</w:t>
      </w:r>
      <w:proofErr w:type="spellEnd"/>
      <w:r w:rsidRPr="006D652F">
        <w:rPr>
          <w:lang w:bidi="en-US"/>
        </w:rPr>
        <w:t xml:space="preserve">) and </w:t>
      </w:r>
      <w:proofErr w:type="spellStart"/>
      <w:r w:rsidRPr="006D652F">
        <w:rPr>
          <w:lang w:bidi="en-US"/>
        </w:rPr>
        <w:t>which</w:t>
      </w:r>
      <w:proofErr w:type="spellEnd"/>
      <w:r w:rsidRPr="006D652F">
        <w:rPr>
          <w:lang w:bidi="en-US"/>
        </w:rPr>
        <w:t xml:space="preserve"> allowed him to understand the circumstances of his birth. He also approached his biological mother, who was informed of the system for accessing personal origins and of the possibility of always reversing her decision by re-contacting him. </w:t>
      </w:r>
    </w:p>
    <w:p w14:paraId="0AF3DE8B" w14:textId="6D92F4FD" w:rsidR="00C73F0E" w:rsidRPr="006D652F" w:rsidRDefault="00C73F0E" w:rsidP="00E07747">
      <w:pPr>
        <w:pStyle w:val="JuPara"/>
      </w:pPr>
      <w:r w:rsidRPr="006D652F">
        <w:rPr>
          <w:lang w:bidi="en-US"/>
        </w:rPr>
        <w:lastRenderedPageBreak/>
        <w:fldChar w:fldCharType="begin"/>
      </w:r>
      <w:r w:rsidRPr="006D652F">
        <w:rPr>
          <w:lang w:bidi="en-US"/>
        </w:rPr>
        <w:instrText xml:space="preserve"> SEQ level0 \*arabic \* MERGEFORMAT </w:instrText>
      </w:r>
      <w:r w:rsidRPr="006D652F">
        <w:rPr>
          <w:lang w:bidi="en-US"/>
        </w:rPr>
        <w:fldChar w:fldCharType="separate"/>
      </w:r>
      <w:r w:rsidRPr="006D652F">
        <w:rPr>
          <w:noProof/>
          <w:lang w:bidi="en-US"/>
        </w:rPr>
        <w:t>79</w:t>
      </w:r>
      <w:r w:rsidRPr="006D652F">
        <w:rPr>
          <w:lang w:bidi="en-US"/>
        </w:rPr>
        <w:fldChar w:fldCharType="end"/>
      </w:r>
      <w:r w:rsidRPr="006D652F">
        <w:rPr>
          <w:lang w:bidi="en-US"/>
        </w:rPr>
        <w:t xml:space="preserve">.  The Court notes, secondly, that the applicant subsequently benefited from judicial proceedings before the domestic courts in the course of which she was able to put forward her arguments in an adversarial manner. </w:t>
      </w:r>
    </w:p>
    <w:p w14:paraId="48AD3B62"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80</w:t>
      </w:r>
      <w:r w:rsidRPr="006D652F">
        <w:rPr>
          <w:noProof/>
        </w:rPr>
        <w:fldChar w:fldCharType="end"/>
      </w:r>
      <w:r w:rsidRPr="006D652F">
        <w:t xml:space="preserve">.  The Court notes that, by referring to the legislature's choice not to authorise an unconditional lifting of the secrecy of identity, and by holding that the rules on access to non-identifying information had made it possible to fulfil the applicant's right under Article 8 of the Convention, the Council of State justified its decision by the purpose pursued by the 2002 legislative reform,  unchanged since then (paras. 25, </w:t>
      </w:r>
      <w:r w:rsidRPr="006D652F">
        <w:fldChar w:fldCharType="begin"/>
      </w:r>
      <w:r w:rsidRPr="006D652F">
        <w:instrText xml:space="preserve"> REF paragraph00018 \h  \* CharFormat  \* MERGEFORMAT </w:instrText>
      </w:r>
      <w:r w:rsidRPr="006D652F">
        <w:fldChar w:fldCharType="separate"/>
      </w:r>
      <w:r w:rsidRPr="006D652F">
        <w:t>38</w:t>
      </w:r>
      <w:r w:rsidRPr="006D652F">
        <w:fldChar w:fldCharType="end"/>
      </w:r>
      <w:r w:rsidRPr="006D652F">
        <w:t xml:space="preserve"> and </w:t>
      </w:r>
      <w:r w:rsidRPr="006D652F">
        <w:fldChar w:fldCharType="begin"/>
      </w:r>
      <w:r w:rsidRPr="006D652F">
        <w:instrText xml:space="preserve"> REF paragraph00064 \h  \* CharFormat  \* MERGEFORMAT </w:instrText>
      </w:r>
      <w:r w:rsidRPr="006D652F">
        <w:fldChar w:fldCharType="separate"/>
      </w:r>
      <w:r w:rsidRPr="006D652F">
        <w:t>64</w:t>
      </w:r>
      <w:r w:rsidRPr="006D652F">
        <w:fldChar w:fldCharType="end"/>
      </w:r>
      <w:r w:rsidRPr="006D652F">
        <w:t xml:space="preserve"> </w:t>
      </w:r>
      <w:proofErr w:type="spellStart"/>
      <w:r w:rsidRPr="006D652F">
        <w:t>above</w:t>
      </w:r>
      <w:proofErr w:type="spellEnd"/>
      <w:r w:rsidRPr="006D652F">
        <w:t>), except in favour of persons born under X (see paragraph 23 above), that is to say, the achievement of a compromise between the rights and interests at stake by means of a conciliation procedure aimed at facilitating access to origins without denying the expression of the mother's will and consent.</w:t>
      </w:r>
      <w:r w:rsidRPr="006D652F">
        <w:rPr>
          <w:i/>
          <w:iCs/>
        </w:rPr>
        <w:t>Odièvre</w:t>
      </w:r>
      <w:r w:rsidRPr="006D652F">
        <w:t xml:space="preserve">, §§ 16 and 17; see also the system of reconciliation of rights operated by the Italian authorities following the delivery of the </w:t>
      </w:r>
      <w:proofErr w:type="spellStart"/>
      <w:r w:rsidRPr="006D652F">
        <w:t>judgment</w:t>
      </w:r>
      <w:proofErr w:type="spellEnd"/>
      <w:r w:rsidRPr="006D652F">
        <w:t xml:space="preserve"> </w:t>
      </w:r>
      <w:proofErr w:type="spellStart"/>
      <w:r w:rsidRPr="006D652F">
        <w:rPr>
          <w:i/>
          <w:iCs/>
        </w:rPr>
        <w:t>Godelli</w:t>
      </w:r>
      <w:proofErr w:type="spellEnd"/>
      <w:r w:rsidRPr="006D652F">
        <w:t xml:space="preserve">, supra, </w:t>
      </w:r>
      <w:proofErr w:type="spellStart"/>
      <w:r w:rsidRPr="006D652F">
        <w:t>paragraph</w:t>
      </w:r>
      <w:proofErr w:type="spellEnd"/>
      <w:r w:rsidRPr="006D652F">
        <w:t xml:space="preserve"> </w:t>
      </w:r>
      <w:r w:rsidRPr="006D652F">
        <w:fldChar w:fldCharType="begin"/>
      </w:r>
      <w:r w:rsidRPr="006D652F">
        <w:instrText xml:space="preserve"> REF paragraph00041 \h  \* CharFormat  \* MERGEFORMAT </w:instrText>
      </w:r>
      <w:r w:rsidRPr="006D652F">
        <w:fldChar w:fldCharType="separate"/>
      </w:r>
      <w:r w:rsidRPr="006D652F">
        <w:t>41</w:t>
      </w:r>
      <w:r w:rsidRPr="006D652F">
        <w:fldChar w:fldCharType="end"/>
      </w:r>
      <w:r w:rsidRPr="006D652F">
        <w:t xml:space="preserve"> </w:t>
      </w:r>
      <w:proofErr w:type="spellStart"/>
      <w:r w:rsidRPr="006D652F">
        <w:t>above</w:t>
      </w:r>
      <w:proofErr w:type="spellEnd"/>
      <w:r w:rsidRPr="006D652F">
        <w:t>).</w:t>
      </w:r>
    </w:p>
    <w:p w14:paraId="38CC03FB"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81</w:t>
      </w:r>
      <w:r w:rsidRPr="006D652F">
        <w:rPr>
          <w:noProof/>
        </w:rPr>
        <w:fldChar w:fldCharType="end"/>
      </w:r>
      <w:r w:rsidRPr="006D652F">
        <w:t xml:space="preserve">.  The Court does not underestimate the impact that the contested refusal must have had on the applicant's private life. However, in light of what she </w:t>
      </w:r>
      <w:proofErr w:type="spellStart"/>
      <w:r w:rsidRPr="006D652F">
        <w:t>said</w:t>
      </w:r>
      <w:proofErr w:type="spellEnd"/>
      <w:r w:rsidRPr="006D652F">
        <w:t xml:space="preserve"> in </w:t>
      </w:r>
      <w:proofErr w:type="spellStart"/>
      <w:r w:rsidRPr="006D652F">
        <w:t>paragraphs</w:t>
      </w:r>
      <w:proofErr w:type="spellEnd"/>
      <w:r w:rsidRPr="006D652F">
        <w:t xml:space="preserve"> </w:t>
      </w:r>
      <w:r w:rsidRPr="006D652F">
        <w:fldChar w:fldCharType="begin"/>
      </w:r>
      <w:r w:rsidRPr="006D652F">
        <w:instrText xml:space="preserve"> REF paragraph00064 \h  \* CharFormat  \* MERGEFORMAT </w:instrText>
      </w:r>
      <w:r w:rsidRPr="006D652F">
        <w:fldChar w:fldCharType="separate"/>
      </w:r>
      <w:r w:rsidRPr="006D652F">
        <w:t>64</w:t>
      </w:r>
      <w:r w:rsidRPr="006D652F">
        <w:fldChar w:fldCharType="end"/>
      </w:r>
      <w:r w:rsidRPr="006D652F">
        <w:t xml:space="preserve"> and </w:t>
      </w:r>
      <w:r w:rsidRPr="006D652F">
        <w:fldChar w:fldCharType="begin"/>
      </w:r>
      <w:r w:rsidRPr="006D652F">
        <w:instrText xml:space="preserve"> REF paragraph00077 \h  \* CharFormat  \* MERGEFORMAT </w:instrText>
      </w:r>
      <w:r w:rsidRPr="006D652F">
        <w:fldChar w:fldCharType="separate"/>
      </w:r>
      <w:r w:rsidRPr="006D652F">
        <w:t>76</w:t>
      </w:r>
      <w:r w:rsidRPr="006D652F">
        <w:fldChar w:fldCharType="end"/>
      </w:r>
      <w:r w:rsidRPr="006D652F">
        <w:t xml:space="preserve"> </w:t>
      </w:r>
      <w:proofErr w:type="spellStart"/>
      <w:r w:rsidRPr="006D652F">
        <w:t>above</w:t>
      </w:r>
      <w:proofErr w:type="spellEnd"/>
      <w:r w:rsidRPr="006D652F">
        <w:t>, it considers that, in the circumstances of the case, there is no reason to depart from the solution adopted by the domestic court.</w:t>
      </w:r>
    </w:p>
    <w:p w14:paraId="05C184CF" w14:textId="77777777" w:rsidR="00C73F0E" w:rsidRPr="006D652F" w:rsidRDefault="00C73F0E" w:rsidP="00E07747">
      <w:pPr>
        <w:pStyle w:val="JuHi"/>
        <w:numPr>
          <w:ilvl w:val="0"/>
          <w:numId w:val="0"/>
        </w:numPr>
        <w:spacing w:before="0" w:beforeAutospacing="0" w:after="0" w:line="240" w:lineRule="auto"/>
        <w:ind w:firstLine="284"/>
      </w:pPr>
      <w:r w:rsidRPr="006D652F">
        <w:t>iii. Conclusion</w:t>
      </w:r>
    </w:p>
    <w:p w14:paraId="6C10BDC2"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82</w:t>
      </w:r>
      <w:r w:rsidRPr="006D652F">
        <w:rPr>
          <w:noProof/>
        </w:rPr>
        <w:fldChar w:fldCharType="end"/>
      </w:r>
      <w:r w:rsidRPr="006D652F">
        <w:t>.  On the basis of all the foregoing considerations, the Court concludes that the State did not exceed its margin of appreciation and that the proper balance between the applicant's right to know her origins and the rights and interests of her biological mother to maintain her anonymity had not been upset.</w:t>
      </w:r>
    </w:p>
    <w:p w14:paraId="594C9D08" w14:textId="77777777" w:rsidR="00C73F0E" w:rsidRPr="006D652F" w:rsidRDefault="00C73F0E" w:rsidP="00E07747">
      <w:pPr>
        <w:pStyle w:val="JuPara"/>
      </w:pPr>
      <w:r w:rsidRPr="006D652F">
        <w:fldChar w:fldCharType="begin"/>
      </w:r>
      <w:r>
        <w:instrText xml:space="preserve"> SEQ level0 \*arabic \* MERGEFORMAT </w:instrText>
      </w:r>
      <w:r w:rsidRPr="006D652F">
        <w:fldChar w:fldCharType="separate"/>
      </w:r>
      <w:r w:rsidRPr="006D652F">
        <w:rPr>
          <w:noProof/>
        </w:rPr>
        <w:t>83</w:t>
      </w:r>
      <w:r w:rsidRPr="006D652F">
        <w:rPr>
          <w:noProof/>
        </w:rPr>
        <w:fldChar w:fldCharType="end"/>
      </w:r>
      <w:r w:rsidRPr="006D652F">
        <w:t>.  Therefore, there has been no violation of Article 8 of the Convention.</w:t>
      </w:r>
    </w:p>
    <w:bookmarkEnd w:id="28"/>
    <w:p w14:paraId="2439198F" w14:textId="77777777" w:rsidR="00C73F0E" w:rsidRDefault="00C73F0E" w:rsidP="00E07747">
      <w:pPr>
        <w:pStyle w:val="Retraitcorpsdetexte2"/>
        <w:spacing w:line="240" w:lineRule="auto"/>
        <w:jc w:val="both"/>
        <w:rPr>
          <w:szCs w:val="24"/>
        </w:rPr>
      </w:pPr>
    </w:p>
    <w:bookmarkEnd w:id="7"/>
    <w:p w14:paraId="415FE884" w14:textId="382922D0" w:rsidR="003F426C" w:rsidRDefault="003F426C">
      <w:r>
        <w:br w:type="page"/>
      </w:r>
    </w:p>
    <w:p w14:paraId="1D295DC1" w14:textId="77777777" w:rsidR="00B9684E" w:rsidRDefault="00B9684E" w:rsidP="00E07747">
      <w:pPr>
        <w:ind w:firstLine="284"/>
      </w:pPr>
    </w:p>
    <w:p w14:paraId="724B63A2" w14:textId="5FABAAA9" w:rsidR="00D83FA0" w:rsidRPr="00D45F80" w:rsidRDefault="00AD3026" w:rsidP="00E07747">
      <w:pPr>
        <w:pStyle w:val="Retraitcorpsdetexte2"/>
        <w:spacing w:line="240" w:lineRule="auto"/>
        <w:ind w:firstLine="0"/>
        <w:jc w:val="both"/>
        <w:rPr>
          <w:szCs w:val="24"/>
        </w:rPr>
      </w:pPr>
      <w:bookmarkStart w:id="31" w:name="_Hlk50368924"/>
      <w:r w:rsidRPr="00D45F80">
        <w:rPr>
          <w:b/>
          <w:szCs w:val="24"/>
        </w:rPr>
        <w:t xml:space="preserve">Chapter 3: The scope of the </w:t>
      </w:r>
      <w:r w:rsidRPr="00D45F80">
        <w:rPr>
          <w:szCs w:val="24"/>
        </w:rPr>
        <w:t>ECtHR's judgments</w:t>
      </w:r>
    </w:p>
    <w:p w14:paraId="724B63A3" w14:textId="77777777" w:rsidR="00E352E5" w:rsidRPr="00D45F80" w:rsidRDefault="00E352E5" w:rsidP="00E07747">
      <w:pPr>
        <w:ind w:firstLine="284"/>
        <w:jc w:val="both"/>
      </w:pPr>
    </w:p>
    <w:p w14:paraId="724B63A4" w14:textId="72166E0A" w:rsidR="00E352E5" w:rsidRPr="00D45F80" w:rsidRDefault="00E352E5" w:rsidP="00E07747">
      <w:pPr>
        <w:pStyle w:val="Retraitcorpsdetexte2"/>
        <w:spacing w:line="240" w:lineRule="auto"/>
        <w:jc w:val="both"/>
        <w:rPr>
          <w:szCs w:val="24"/>
        </w:rPr>
      </w:pPr>
      <w:r w:rsidRPr="00D45F80">
        <w:rPr>
          <w:szCs w:val="24"/>
        </w:rPr>
        <w:t>The authority of ECHR decisions has undeniably been the subject of a renewal in recent years, particularly with regard to the evolution of French law as regards the scope of ECHR judgments in domestic law.  It is necessary to deal with three different issues: on the one hand, the relative force of res judicata of ECHR judgments, on the other hand, the authority of res judicata of ECHR judgments and, finally, the scope of ECHR judgments on res judicata in domestic law.</w:t>
      </w:r>
    </w:p>
    <w:p w14:paraId="724B63A5" w14:textId="77777777" w:rsidR="00E352E5" w:rsidRPr="00D45F80" w:rsidRDefault="00E352E5" w:rsidP="00E07747">
      <w:pPr>
        <w:pStyle w:val="Retraitcorpsdetexte2"/>
        <w:spacing w:line="240" w:lineRule="auto"/>
        <w:jc w:val="both"/>
        <w:rPr>
          <w:szCs w:val="24"/>
        </w:rPr>
      </w:pPr>
      <w:r w:rsidRPr="00D45F80">
        <w:rPr>
          <w:szCs w:val="24"/>
        </w:rPr>
        <w:br/>
      </w:r>
      <w:r w:rsidR="00156F3E" w:rsidRPr="002E4880">
        <w:rPr>
          <w:b/>
          <w:bCs/>
          <w:szCs w:val="24"/>
        </w:rPr>
        <w:t>Section I</w:t>
      </w:r>
      <w:r w:rsidR="00156F3E" w:rsidRPr="00D45F80">
        <w:rPr>
          <w:szCs w:val="24"/>
        </w:rPr>
        <w:t xml:space="preserve">:  </w:t>
      </w:r>
      <w:r w:rsidRPr="00D45F80">
        <w:rPr>
          <w:b/>
          <w:szCs w:val="24"/>
        </w:rPr>
        <w:t>The relative authority of res judicata of ECHR judgments</w:t>
      </w:r>
    </w:p>
    <w:bookmarkEnd w:id="31"/>
    <w:p w14:paraId="724B63A6" w14:textId="04F6EB2A" w:rsidR="00E352E5" w:rsidRPr="00D45F80" w:rsidRDefault="00E352E5" w:rsidP="00E07747">
      <w:pPr>
        <w:pStyle w:val="Retraitcorpsdetexte2"/>
        <w:spacing w:line="240" w:lineRule="auto"/>
        <w:jc w:val="both"/>
        <w:rPr>
          <w:szCs w:val="24"/>
        </w:rPr>
      </w:pPr>
      <w:r w:rsidRPr="00D45F80">
        <w:rPr>
          <w:szCs w:val="24"/>
        </w:rPr>
        <w:t xml:space="preserve">According to Article 46 § 1 of the Convention, States undertake to comply with the decisions of the Court in disputes to which they are parties. The authority of res judicata of the court's judgments is relative and does not apply </w:t>
      </w:r>
      <w:r w:rsidRPr="00960F1E">
        <w:rPr>
          <w:i/>
          <w:iCs/>
          <w:szCs w:val="24"/>
        </w:rPr>
        <w:t>erga omnes</w:t>
      </w:r>
      <w:r w:rsidRPr="00D45F80">
        <w:rPr>
          <w:szCs w:val="24"/>
        </w:rPr>
        <w:t xml:space="preserve">; the judgment binds only the parties to the dispute for the case resolved. </w:t>
      </w:r>
    </w:p>
    <w:p w14:paraId="724B63A7" w14:textId="711C12AD" w:rsidR="00E352E5" w:rsidRPr="00D45F80" w:rsidRDefault="00E352E5" w:rsidP="00E07747">
      <w:pPr>
        <w:pStyle w:val="Retraitcorpsdetexte2"/>
        <w:spacing w:line="240" w:lineRule="auto"/>
        <w:jc w:val="both"/>
        <w:rPr>
          <w:szCs w:val="24"/>
        </w:rPr>
      </w:pPr>
      <w:r w:rsidRPr="00D45F80">
        <w:rPr>
          <w:szCs w:val="24"/>
        </w:rPr>
        <w:t>Ruling on the conformity of a national decision or measure with the Convention, the court issues a declaratory judgment; Human rights litigation is a litigation of legality and not a litigation of annulment. The court cannot annul the impugned decision but, according to Article 41 of the Convention, must declare the national decision to be in line with the Convention. The declaration of incompatibility pronounced by the court does not entail the invalidity of the unlawful act: it is for the domestic order to choose the general and/or individual measures to be adopted in its domestic legal system in order to put an end to the violation found and to erase its consequences. The court cannot therefore prescribe corrective measures to the State or issue injunctions to it, even if it has tended to do so more and more, recognizing that it has the power to indicate in the field of a fair trial in particular.</w:t>
      </w:r>
    </w:p>
    <w:p w14:paraId="724B63A8" w14:textId="77777777" w:rsidR="00E352E5" w:rsidRPr="00D45F80" w:rsidRDefault="00E352E5" w:rsidP="00E07747">
      <w:pPr>
        <w:pStyle w:val="Retraitcorpsdetexte2"/>
        <w:spacing w:line="240" w:lineRule="auto"/>
        <w:jc w:val="both"/>
        <w:rPr>
          <w:szCs w:val="24"/>
        </w:rPr>
      </w:pPr>
      <w:r w:rsidRPr="00D45F80">
        <w:rPr>
          <w:szCs w:val="24"/>
        </w:rPr>
        <w:t>Moreover, if the court finds that there has been a breach, it may award the victim of the breach just satisfaction, i.e. compensation in kind for the damage suffered, if domestic law cannot or cannot completely erase the consequences of the measure complained of.</w:t>
      </w:r>
    </w:p>
    <w:p w14:paraId="724B63A9" w14:textId="6722E806" w:rsidR="00E352E5" w:rsidRDefault="00E352E5" w:rsidP="00E07747">
      <w:pPr>
        <w:pStyle w:val="Retraitcorpsdetexte2"/>
        <w:spacing w:line="240" w:lineRule="auto"/>
        <w:jc w:val="both"/>
        <w:rPr>
          <w:szCs w:val="24"/>
        </w:rPr>
      </w:pPr>
      <w:r w:rsidRPr="00D45F80">
        <w:rPr>
          <w:szCs w:val="24"/>
        </w:rPr>
        <w:t>It is the Committee of Ministers that is responsible for ensuring the execution of decisions, even though the court states that it has jurisdiction to "uphold a complaint that the reopening of proceedings at the domestic level, with a view to executing one of its judgments, has given rise to a new violation of the Convention".</w:t>
      </w:r>
    </w:p>
    <w:p w14:paraId="412C2CA9" w14:textId="7FAFFAB4" w:rsidR="002E4880" w:rsidRPr="00D45F80" w:rsidRDefault="002E4880" w:rsidP="00E07747">
      <w:pPr>
        <w:pStyle w:val="Retraitcorpsdetexte2"/>
        <w:spacing w:line="240" w:lineRule="auto"/>
        <w:jc w:val="both"/>
        <w:rPr>
          <w:szCs w:val="24"/>
        </w:rPr>
      </w:pPr>
      <w:r w:rsidRPr="00D45F80">
        <w:rPr>
          <w:szCs w:val="24"/>
        </w:rPr>
        <w:t>If the authority of res judicata of the judgments of the ECHR concerns only the case which is the subject of the decision, when a State is condemned it must not only erase or make reparation for the individual consequences of the violation found but also take general measures to ensure that such a violation does not occur again. The European Court sets out a principle of treaty loyalty stemming from Article 1 when it states that by ratifying the Convention States undertake to ensure that their domestic law is compatible with it</w:t>
      </w:r>
    </w:p>
    <w:p w14:paraId="724B63AB" w14:textId="77777777" w:rsidR="00E352E5" w:rsidRPr="00D45F80" w:rsidRDefault="00E352E5" w:rsidP="00E07747">
      <w:pPr>
        <w:pStyle w:val="Retraitcorpsdetexte2"/>
        <w:spacing w:line="240" w:lineRule="auto"/>
        <w:jc w:val="both"/>
        <w:rPr>
          <w:szCs w:val="24"/>
        </w:rPr>
      </w:pPr>
    </w:p>
    <w:p w14:paraId="724B63AC" w14:textId="77777777" w:rsidR="00E352E5" w:rsidRPr="00D45F80" w:rsidRDefault="00156F3E" w:rsidP="00E07747">
      <w:pPr>
        <w:pStyle w:val="Retraitcorpsdetexte2"/>
        <w:spacing w:line="240" w:lineRule="auto"/>
        <w:jc w:val="both"/>
        <w:rPr>
          <w:b/>
          <w:color w:val="FF0000"/>
          <w:szCs w:val="24"/>
        </w:rPr>
      </w:pPr>
      <w:bookmarkStart w:id="32" w:name="_Hlk50369004"/>
      <w:r w:rsidRPr="00D45F80">
        <w:rPr>
          <w:b/>
          <w:szCs w:val="24"/>
        </w:rPr>
        <w:t xml:space="preserve">Section II. : The authority of res interpretée of ECHR judgments </w:t>
      </w:r>
    </w:p>
    <w:bookmarkEnd w:id="32"/>
    <w:p w14:paraId="49C18211" w14:textId="77777777" w:rsidR="002E4880" w:rsidRPr="002E4880" w:rsidRDefault="00E352E5" w:rsidP="002E4880">
      <w:pPr>
        <w:pStyle w:val="Retraitcorpsdetexte2"/>
        <w:spacing w:line="240" w:lineRule="auto"/>
        <w:jc w:val="both"/>
        <w:rPr>
          <w:szCs w:val="24"/>
        </w:rPr>
      </w:pPr>
      <w:r w:rsidRPr="00D45F80">
        <w:rPr>
          <w:szCs w:val="24"/>
        </w:rPr>
        <w:t xml:space="preserve">This authority of res interpret has a conventional basis: the Convention, in its Article 32, assigns to the Court the specific task of interpreting the Convention.  And the European Court itself affirms that its judgments serve not only to decide the cases before it, but more broadly to clarify, safeguard and develop the standards of the Convention. In the Modinos judgment of 22 April 1993, the Court informed the State of Cyprus that it should have removed from its criminal arsenal a criminalisation of homosexual relations between consenting adults, similar to that for which the United Kingdom had been condemned in the Dudgeon judgment of 1981. Thus, France could be condemned for a decision rendered by the Court of Cassation and refusing, for example, the use of a post-mortem genetic expertise, while the European Court ruled in the Jäggi v. Switzerland judgment in 2006 that the right to know one's origins should prevail over the </w:t>
      </w:r>
      <w:proofErr w:type="spellStart"/>
      <w:r w:rsidRPr="00D45F80">
        <w:rPr>
          <w:szCs w:val="24"/>
        </w:rPr>
        <w:t>peace</w:t>
      </w:r>
      <w:proofErr w:type="spellEnd"/>
      <w:r w:rsidRPr="00D45F80">
        <w:rPr>
          <w:szCs w:val="24"/>
        </w:rPr>
        <w:t xml:space="preserve"> of the </w:t>
      </w:r>
      <w:proofErr w:type="spellStart"/>
      <w:r w:rsidRPr="00D45F80">
        <w:rPr>
          <w:szCs w:val="24"/>
        </w:rPr>
        <w:t>dead</w:t>
      </w:r>
      <w:proofErr w:type="spellEnd"/>
      <w:r w:rsidRPr="00D45F80">
        <w:rPr>
          <w:szCs w:val="24"/>
        </w:rPr>
        <w:t>.</w:t>
      </w:r>
    </w:p>
    <w:p w14:paraId="724B63AD" w14:textId="1FA79E4B" w:rsidR="00E352E5" w:rsidRDefault="00E352E5" w:rsidP="00E07747">
      <w:pPr>
        <w:pStyle w:val="Retraitcorpsdetexte2"/>
        <w:spacing w:line="240" w:lineRule="auto"/>
        <w:jc w:val="both"/>
        <w:rPr>
          <w:szCs w:val="24"/>
        </w:rPr>
      </w:pPr>
    </w:p>
    <w:p w14:paraId="2C613BBC" w14:textId="483344F7" w:rsidR="000B55B8" w:rsidRDefault="000B55B8" w:rsidP="00E07747">
      <w:pPr>
        <w:pStyle w:val="Retraitcorpsdetexte2"/>
        <w:spacing w:line="240" w:lineRule="auto"/>
        <w:jc w:val="both"/>
        <w:rPr>
          <w:szCs w:val="24"/>
        </w:rPr>
      </w:pPr>
      <w:r>
        <w:rPr>
          <w:szCs w:val="24"/>
        </w:rPr>
        <w:lastRenderedPageBreak/>
        <w:t xml:space="preserve">The conviction of a State may encourage other applicants to act in the same way before the European Court. Thus, the observation that our law is not in conformity with the law of the European Convention does not leave the national authorities indifferent. There are thus decisions of the Court of Cassation or the Council of State which refer to the convention as interpreted by the European Court. Sometimes the court does not formally refer to the case law of the European Court, but we know that the European Court's decision is behind a reversal of case law. </w:t>
      </w:r>
    </w:p>
    <w:p w14:paraId="71E9990F" w14:textId="77777777" w:rsidR="002E4880" w:rsidRDefault="002E4880" w:rsidP="00E07747">
      <w:pPr>
        <w:pStyle w:val="Retraitcorpsdetexte2"/>
        <w:spacing w:line="240" w:lineRule="auto"/>
        <w:jc w:val="both"/>
        <w:rPr>
          <w:szCs w:val="24"/>
        </w:rPr>
      </w:pPr>
    </w:p>
    <w:p w14:paraId="0BF9DBF5" w14:textId="32AEE231" w:rsidR="002E4880" w:rsidRDefault="002E4880" w:rsidP="00E07747">
      <w:pPr>
        <w:pStyle w:val="Retraitcorpsdetexte2"/>
        <w:spacing w:line="240" w:lineRule="auto"/>
        <w:jc w:val="both"/>
        <w:rPr>
          <w:szCs w:val="24"/>
        </w:rPr>
      </w:pPr>
      <w:bookmarkStart w:id="33" w:name="_Hlk208323089"/>
      <w:r w:rsidRPr="002E4880">
        <w:rPr>
          <w:szCs w:val="24"/>
          <w:highlight w:val="yellow"/>
        </w:rPr>
        <w:t>Find two examples of reversals of case law by the Court of Cassation or the Council of State and two examples of laws that originate from a condemnation of France by the European Court of Human Rights</w:t>
      </w:r>
      <w:r w:rsidR="000F12BB">
        <w:rPr>
          <w:szCs w:val="24"/>
        </w:rPr>
        <w:t>.</w:t>
      </w:r>
    </w:p>
    <w:bookmarkEnd w:id="33"/>
    <w:p w14:paraId="15AD677E" w14:textId="77777777" w:rsidR="00377207" w:rsidRPr="007F7860" w:rsidRDefault="00377207" w:rsidP="00E07747">
      <w:pPr>
        <w:pStyle w:val="Retraitcorpsdetexte2"/>
        <w:spacing w:line="240" w:lineRule="auto"/>
        <w:jc w:val="both"/>
        <w:rPr>
          <w:b/>
          <w:bCs/>
          <w:szCs w:val="24"/>
        </w:rPr>
      </w:pPr>
    </w:p>
    <w:p w14:paraId="724B63B2" w14:textId="77777777" w:rsidR="00E352E5" w:rsidRPr="00D45F80" w:rsidRDefault="005D0E2F" w:rsidP="00E07747">
      <w:pPr>
        <w:pStyle w:val="Retraitcorpsdetexte2"/>
        <w:spacing w:line="240" w:lineRule="auto"/>
        <w:jc w:val="both"/>
        <w:rPr>
          <w:b/>
          <w:szCs w:val="24"/>
        </w:rPr>
      </w:pPr>
      <w:bookmarkStart w:id="34" w:name="_Hlk50369018"/>
      <w:r w:rsidRPr="00D45F80">
        <w:rPr>
          <w:b/>
          <w:szCs w:val="24"/>
        </w:rPr>
        <w:t>Section III: The new scope of ECHR judgments in domestic law</w:t>
      </w:r>
    </w:p>
    <w:bookmarkEnd w:id="34"/>
    <w:p w14:paraId="724B63B3" w14:textId="2D56F33C" w:rsidR="007020A6" w:rsidRPr="00D45F80" w:rsidRDefault="007020A6" w:rsidP="00E07747">
      <w:pPr>
        <w:pStyle w:val="Retraitcorpsdetexte2"/>
        <w:spacing w:line="240" w:lineRule="auto"/>
        <w:jc w:val="both"/>
        <w:rPr>
          <w:bCs/>
          <w:szCs w:val="24"/>
        </w:rPr>
      </w:pPr>
      <w:r w:rsidRPr="00D45F80">
        <w:rPr>
          <w:bCs/>
          <w:szCs w:val="24"/>
        </w:rPr>
        <w:t xml:space="preserve">Two new provisions have strengthened the scope of the judgments of the European Court in domestic law: on the one hand, the extension of the scope of review and, on the other hand, the procedure for requesting an opinion accepted by France </w:t>
      </w:r>
      <w:proofErr w:type="spellStart"/>
      <w:r w:rsidRPr="00D45F80">
        <w:rPr>
          <w:bCs/>
          <w:szCs w:val="24"/>
        </w:rPr>
        <w:t>in</w:t>
      </w:r>
      <w:proofErr w:type="spellEnd"/>
      <w:r w:rsidRPr="00D45F80">
        <w:rPr>
          <w:bCs/>
          <w:szCs w:val="24"/>
        </w:rPr>
        <w:t xml:space="preserve"> 2019 (</w:t>
      </w:r>
      <w:proofErr w:type="spellStart"/>
      <w:r w:rsidRPr="00D45F80">
        <w:rPr>
          <w:bCs/>
          <w:szCs w:val="24"/>
        </w:rPr>
        <w:t>see</w:t>
      </w:r>
      <w:proofErr w:type="spellEnd"/>
      <w:r w:rsidRPr="00D45F80">
        <w:rPr>
          <w:bCs/>
          <w:szCs w:val="24"/>
        </w:rPr>
        <w:t xml:space="preserve"> </w:t>
      </w:r>
      <w:proofErr w:type="spellStart"/>
      <w:r w:rsidRPr="00D45F80">
        <w:rPr>
          <w:bCs/>
          <w:szCs w:val="24"/>
        </w:rPr>
        <w:t>above</w:t>
      </w:r>
      <w:proofErr w:type="spellEnd"/>
      <w:r w:rsidRPr="00D45F80">
        <w:rPr>
          <w:bCs/>
          <w:szCs w:val="24"/>
        </w:rPr>
        <w:t>).</w:t>
      </w:r>
    </w:p>
    <w:p w14:paraId="416E749A" w14:textId="77777777" w:rsidR="00007791" w:rsidRPr="00D45F80" w:rsidRDefault="00007791" w:rsidP="00E07747">
      <w:pPr>
        <w:pStyle w:val="Retraitcorpsdetexte2"/>
        <w:spacing w:line="240" w:lineRule="auto"/>
        <w:jc w:val="both"/>
        <w:rPr>
          <w:szCs w:val="24"/>
        </w:rPr>
      </w:pPr>
    </w:p>
    <w:p w14:paraId="724B63B5" w14:textId="77777777" w:rsidR="007020A6" w:rsidRPr="00D45F80" w:rsidRDefault="007020A6" w:rsidP="00E07747">
      <w:pPr>
        <w:pStyle w:val="Retraitcorpsdetexte2"/>
        <w:spacing w:line="240" w:lineRule="auto"/>
        <w:jc w:val="both"/>
        <w:rPr>
          <w:b/>
          <w:bCs/>
          <w:szCs w:val="24"/>
        </w:rPr>
      </w:pPr>
      <w:bookmarkStart w:id="35" w:name="_Hlk50369075"/>
      <w:r w:rsidRPr="00D45F80">
        <w:rPr>
          <w:b/>
          <w:bCs/>
          <w:szCs w:val="24"/>
        </w:rPr>
        <w:t>§1 The review of a domestic decision following a conviction by the European Court</w:t>
      </w:r>
    </w:p>
    <w:bookmarkEnd w:id="35"/>
    <w:p w14:paraId="0674528D" w14:textId="53F13E81" w:rsidR="00BF5E5F" w:rsidRDefault="00E352E5" w:rsidP="00E07747">
      <w:pPr>
        <w:pStyle w:val="Retraitcorpsdetexte2"/>
        <w:spacing w:line="240" w:lineRule="auto"/>
        <w:jc w:val="both"/>
        <w:rPr>
          <w:szCs w:val="24"/>
        </w:rPr>
      </w:pPr>
      <w:r w:rsidRPr="00D45F80">
        <w:rPr>
          <w:szCs w:val="24"/>
        </w:rPr>
        <w:t xml:space="preserve">Admittedly, the Convention does not in principle oblige States to call into question a domestic judicial decision that has become final, declared incompatible with the Convention by the European Court, but in view of the place taken by fundamental rights, the impossibility for a person who has obtained a conviction from his country for violation of his fundamental rights,  Obtaining a review of the internal decision seems increasingly difficult to accept. </w:t>
      </w:r>
    </w:p>
    <w:p w14:paraId="724B63B6" w14:textId="7A73B639" w:rsidR="00E352E5" w:rsidRPr="00D45F80" w:rsidRDefault="00E352E5" w:rsidP="00E07747">
      <w:pPr>
        <w:pStyle w:val="Retraitcorpsdetexte2"/>
        <w:spacing w:line="240" w:lineRule="auto"/>
        <w:jc w:val="both"/>
        <w:rPr>
          <w:szCs w:val="24"/>
        </w:rPr>
      </w:pPr>
      <w:r w:rsidRPr="00D45F80">
        <w:rPr>
          <w:szCs w:val="24"/>
        </w:rPr>
        <w:t>The possibility of a review after a European conviction gives new authority to the judgments of the European Court. This progress can be found in many European States (about thirty), especially in criminal matters (Germany, Austria, Belgium, Denmark, Lithuania, Luxembourg, Malta, Norway, Switzerland, etc.), and more rarely in civil matters (Lithuania, Malta, Norway and now France).</w:t>
      </w:r>
    </w:p>
    <w:p w14:paraId="724B63B9" w14:textId="63417959" w:rsidR="002E0949" w:rsidRDefault="00E352E5" w:rsidP="00E07747">
      <w:pPr>
        <w:pStyle w:val="Retraitcorpsdetexte2"/>
        <w:spacing w:line="240" w:lineRule="auto"/>
        <w:jc w:val="both"/>
        <w:rPr>
          <w:szCs w:val="24"/>
        </w:rPr>
      </w:pPr>
      <w:r w:rsidRPr="00D45F80">
        <w:rPr>
          <w:szCs w:val="24"/>
        </w:rPr>
        <w:t xml:space="preserve">In France, the admission of the direct authority of ECHR judgments has been done in two stages: first in criminal matters and more recently in civil matters. However, the administrative court accepted that the judgment of the European Court finding a violation of the Convention as a result of an administrative penalty is a new element that the competent authority, seized of an application for an increase in that penalty, must take into consideration in order to assess whether the continuation of enforcement infringes the requirements of the Convention and, if so, to terminate it in whole or in part. </w:t>
      </w:r>
    </w:p>
    <w:p w14:paraId="45F6194A" w14:textId="77777777" w:rsidR="008D1E1E" w:rsidRDefault="008D1E1E" w:rsidP="00E07747">
      <w:pPr>
        <w:pStyle w:val="Retraitcorpsdetexte2"/>
        <w:spacing w:line="240" w:lineRule="auto"/>
        <w:jc w:val="both"/>
        <w:rPr>
          <w:szCs w:val="24"/>
        </w:rPr>
      </w:pPr>
    </w:p>
    <w:p w14:paraId="724B63BA" w14:textId="0E4C4243" w:rsidR="00E352E5" w:rsidRPr="00D45F80" w:rsidRDefault="00E73780" w:rsidP="00E73780">
      <w:pPr>
        <w:pStyle w:val="Retraitcorpsdetexte2"/>
        <w:spacing w:line="240" w:lineRule="auto"/>
        <w:ind w:left="142" w:firstLine="0"/>
        <w:jc w:val="both"/>
        <w:rPr>
          <w:b/>
          <w:szCs w:val="24"/>
        </w:rPr>
      </w:pPr>
      <w:bookmarkStart w:id="36" w:name="_Hlk50369090"/>
      <w:r>
        <w:rPr>
          <w:b/>
          <w:szCs w:val="24"/>
        </w:rPr>
        <w:t>Has. Re-examination in criminal matters</w:t>
      </w:r>
    </w:p>
    <w:bookmarkEnd w:id="36"/>
    <w:p w14:paraId="724B63BB" w14:textId="61D92758" w:rsidR="00E352E5" w:rsidRPr="00D45F80" w:rsidRDefault="00E352E5" w:rsidP="00E07747">
      <w:pPr>
        <w:pStyle w:val="Retraitcorpsdetexte2"/>
        <w:spacing w:line="240" w:lineRule="auto"/>
        <w:jc w:val="both"/>
        <w:rPr>
          <w:szCs w:val="24"/>
        </w:rPr>
      </w:pPr>
      <w:r w:rsidRPr="00D45F80">
        <w:rPr>
          <w:szCs w:val="24"/>
        </w:rPr>
        <w:t>It was the Act of 15 June 2000 strengthening the protection of the presumption of innocence which introduced into Articles 626-1 et seq. of the Code of Criminal Procedure, the possibility of a review of a criminal decision following the delivery of a judgment of the ECHR for the benefit of any person found guilty of an offence when it is apparent from that judgment that the conviction was pronounced in violation of the provisions of the ECtHR, provided that by its nature and by its gravity, the violation found entails harmful consequences for the convicted person which the just satisfaction granted by the Court could not put an end to.</w:t>
      </w:r>
    </w:p>
    <w:p w14:paraId="724B63BC" w14:textId="18750FB0" w:rsidR="00E352E5" w:rsidRPr="00D45F80" w:rsidRDefault="00E352E5" w:rsidP="00E07747">
      <w:pPr>
        <w:pStyle w:val="Retraitcorpsdetexte2"/>
        <w:spacing w:line="240" w:lineRule="auto"/>
        <w:jc w:val="both"/>
        <w:rPr>
          <w:szCs w:val="24"/>
        </w:rPr>
      </w:pPr>
      <w:r w:rsidRPr="00D45F80">
        <w:rPr>
          <w:szCs w:val="24"/>
        </w:rPr>
        <w:t>This is the case when there has been a violation of the rights of the defence, of the requirement of impartiality or of the adversarial principle.</w:t>
      </w:r>
    </w:p>
    <w:p w14:paraId="724B63BD" w14:textId="746A9770" w:rsidR="00E352E5" w:rsidRPr="00D45F80" w:rsidRDefault="00E352E5" w:rsidP="00E07747">
      <w:pPr>
        <w:pStyle w:val="Retraitcorpsdetexte2"/>
        <w:spacing w:line="240" w:lineRule="auto"/>
        <w:jc w:val="both"/>
        <w:rPr>
          <w:szCs w:val="24"/>
        </w:rPr>
      </w:pPr>
      <w:r w:rsidRPr="00D45F80">
        <w:rPr>
          <w:szCs w:val="24"/>
        </w:rPr>
        <w:t xml:space="preserve">The convicted person, or his successors, the Minister of Justice, the Public Prosecutor at the Court of Cassation may request, within one year of the judgment of the European Court, the revision of the convictions to a specific commission. If the commission accepts the re-examination, the appeal will be re-examined by the Court of Cassation, or if necessary a new decision will be issued by a trial court. </w:t>
      </w:r>
    </w:p>
    <w:p w14:paraId="242B97EB" w14:textId="77777777" w:rsidR="00204119" w:rsidRPr="00D45F80" w:rsidRDefault="00204119" w:rsidP="00E07747">
      <w:pPr>
        <w:pStyle w:val="Retraitcorpsdetexte2"/>
        <w:spacing w:line="240" w:lineRule="auto"/>
        <w:jc w:val="both"/>
        <w:rPr>
          <w:szCs w:val="24"/>
        </w:rPr>
      </w:pPr>
    </w:p>
    <w:p w14:paraId="724B63C1" w14:textId="1E96BF89" w:rsidR="00E352E5" w:rsidRDefault="00E352E5" w:rsidP="00E07747">
      <w:pPr>
        <w:pStyle w:val="Retraitcorpsdetexte2"/>
        <w:numPr>
          <w:ilvl w:val="2"/>
          <w:numId w:val="10"/>
        </w:numPr>
        <w:spacing w:line="240" w:lineRule="auto"/>
        <w:ind w:left="0" w:firstLine="284"/>
        <w:jc w:val="both"/>
        <w:rPr>
          <w:b/>
          <w:szCs w:val="24"/>
        </w:rPr>
      </w:pPr>
      <w:bookmarkStart w:id="37" w:name="_Hlk50369113"/>
      <w:r w:rsidRPr="00D45F80">
        <w:rPr>
          <w:b/>
          <w:szCs w:val="24"/>
        </w:rPr>
        <w:t>The Civil Review</w:t>
      </w:r>
    </w:p>
    <w:p w14:paraId="183EB148" w14:textId="77777777" w:rsidR="00E73780" w:rsidRDefault="00E73780" w:rsidP="00E73780">
      <w:pPr>
        <w:pStyle w:val="Retraitcorpsdetexte2"/>
        <w:spacing w:line="240" w:lineRule="auto"/>
        <w:ind w:left="284" w:firstLine="0"/>
        <w:jc w:val="both"/>
        <w:rPr>
          <w:b/>
          <w:szCs w:val="24"/>
        </w:rPr>
      </w:pPr>
    </w:p>
    <w:p w14:paraId="1F1FEB04" w14:textId="60637E72" w:rsidR="002D1914" w:rsidRDefault="00E27A03" w:rsidP="00E07747">
      <w:pPr>
        <w:pStyle w:val="Retraitcorpsdetexte2"/>
        <w:spacing w:line="240" w:lineRule="auto"/>
        <w:jc w:val="both"/>
        <w:rPr>
          <w:bCs/>
          <w:szCs w:val="24"/>
        </w:rPr>
      </w:pPr>
      <w:r w:rsidRPr="00B35E5B">
        <w:rPr>
          <w:bCs/>
          <w:szCs w:val="24"/>
          <w:highlight w:val="yellow"/>
        </w:rPr>
        <w:lastRenderedPageBreak/>
        <w:t xml:space="preserve">To make a timeline of the stages of the procedure from the first decision of the Court of Cassation </w:t>
      </w:r>
      <w:r w:rsidR="000F12BB">
        <w:rPr>
          <w:bCs/>
          <w:szCs w:val="24"/>
        </w:rPr>
        <w:t xml:space="preserve">to </w:t>
      </w:r>
      <w:r w:rsidR="000F12BB" w:rsidRPr="005F1ABF">
        <w:rPr>
          <w:bCs/>
          <w:szCs w:val="24"/>
          <w:highlight w:val="yellow"/>
        </w:rPr>
        <w:t>that of October 5, 2018</w:t>
      </w:r>
    </w:p>
    <w:p w14:paraId="4A28C7AF" w14:textId="77777777" w:rsidR="000F12BB" w:rsidRPr="00B35E5B" w:rsidRDefault="000F12BB" w:rsidP="00E07747">
      <w:pPr>
        <w:pStyle w:val="Retraitcorpsdetexte2"/>
        <w:spacing w:line="240" w:lineRule="auto"/>
        <w:jc w:val="both"/>
        <w:rPr>
          <w:bCs/>
          <w:szCs w:val="24"/>
        </w:rPr>
      </w:pPr>
    </w:p>
    <w:p w14:paraId="27D39576" w14:textId="02234BCF" w:rsidR="00690652" w:rsidRPr="000F12BB" w:rsidRDefault="00690652" w:rsidP="00E07747">
      <w:pPr>
        <w:pStyle w:val="Retraitcorpsdetexte2"/>
        <w:spacing w:line="240" w:lineRule="auto"/>
        <w:jc w:val="both"/>
        <w:rPr>
          <w:b/>
          <w:bCs/>
          <w:szCs w:val="24"/>
        </w:rPr>
      </w:pPr>
      <w:r w:rsidRPr="000F12BB">
        <w:rPr>
          <w:b/>
          <w:bCs/>
          <w:szCs w:val="24"/>
        </w:rPr>
        <w:t>Court of Cassation, Plenary Assembly 5 October 2018</w:t>
      </w:r>
    </w:p>
    <w:p w14:paraId="7B1986C9" w14:textId="4C23DE7D" w:rsidR="00690652" w:rsidRPr="001F338E" w:rsidRDefault="00690652" w:rsidP="00E07747">
      <w:pPr>
        <w:pStyle w:val="Retraitcorpsdetexte2"/>
        <w:spacing w:line="240" w:lineRule="auto"/>
        <w:jc w:val="both"/>
        <w:rPr>
          <w:szCs w:val="24"/>
        </w:rPr>
      </w:pPr>
      <w:r w:rsidRPr="001F338E">
        <w:rPr>
          <w:szCs w:val="24"/>
        </w:rPr>
        <w:t xml:space="preserve">Having regard to the judgment of the European Court of Human Rights of 21 July 2016 (Y... and X... v. France, App. Nos. 9063/14 and 10410/14) which held that there had been a violation of Article 8 of the Convention for the Protection of Human Rights and Fundamental Freedoms with regard to the right to Z... X... and A... </w:t>
      </w:r>
      <w:proofErr w:type="gramStart"/>
      <w:r w:rsidRPr="001F338E">
        <w:rPr>
          <w:szCs w:val="24"/>
        </w:rPr>
        <w:t>X...</w:t>
      </w:r>
      <w:proofErr w:type="gramEnd"/>
      <w:r w:rsidRPr="001F338E">
        <w:rPr>
          <w:szCs w:val="24"/>
        </w:rPr>
        <w:t xml:space="preserve"> respect for </w:t>
      </w:r>
      <w:proofErr w:type="spellStart"/>
      <w:r w:rsidRPr="001F338E">
        <w:rPr>
          <w:szCs w:val="24"/>
        </w:rPr>
        <w:t>their</w:t>
      </w:r>
      <w:proofErr w:type="spellEnd"/>
      <w:r w:rsidRPr="001F338E">
        <w:rPr>
          <w:szCs w:val="24"/>
        </w:rPr>
        <w:t xml:space="preserve"> </w:t>
      </w:r>
      <w:proofErr w:type="spellStart"/>
      <w:r w:rsidRPr="001F338E">
        <w:rPr>
          <w:szCs w:val="24"/>
        </w:rPr>
        <w:t>privacy</w:t>
      </w:r>
      <w:proofErr w:type="spellEnd"/>
      <w:r w:rsidRPr="001F338E">
        <w:rPr>
          <w:szCs w:val="24"/>
        </w:rPr>
        <w:t>;</w:t>
      </w:r>
    </w:p>
    <w:p w14:paraId="1D54D2B2" w14:textId="77777777" w:rsidR="00690652" w:rsidRPr="001F338E" w:rsidRDefault="00690652" w:rsidP="00E07747">
      <w:pPr>
        <w:pStyle w:val="Retraitcorpsdetexte2"/>
        <w:spacing w:line="240" w:lineRule="auto"/>
        <w:jc w:val="both"/>
        <w:rPr>
          <w:szCs w:val="24"/>
        </w:rPr>
      </w:pPr>
      <w:r w:rsidRPr="001F338E">
        <w:rPr>
          <w:szCs w:val="24"/>
        </w:rPr>
        <w:t xml:space="preserve">Having regard to the request for reconsideration, submitted on 8 June 2017 by SCP Thouin-Palat et Boucard, lawyer at the Conseil d'Etat and the Court of Cassation, on behalf of Mr Philippe X..., acting both in his personal capacity and in his capacity as legal representative of his sons Z... and A... X..., of the appeal on a point of law brought against the judgment of the Rennes Court of Appeal of 21 February 2012, which ordered the transcription in the registers of the Nantes Central Civil Registry Office of the birth certificates of the children A... and Z... X..., judgment quashed by the Court of Cassation on 3 September 2013 (1st Civ., 13 September 2013, appeal no. 12-30.138, Bull. 2013, I, no. </w:t>
      </w:r>
      <w:proofErr w:type="gramStart"/>
      <w:r w:rsidRPr="001F338E">
        <w:rPr>
          <w:szCs w:val="24"/>
        </w:rPr>
        <w:t>176);</w:t>
      </w:r>
      <w:proofErr w:type="gramEnd"/>
    </w:p>
    <w:p w14:paraId="5A23ABF0" w14:textId="77777777" w:rsidR="00690652" w:rsidRPr="001F338E" w:rsidRDefault="00690652" w:rsidP="00E07747">
      <w:pPr>
        <w:pStyle w:val="Retraitcorpsdetexte2"/>
        <w:spacing w:line="240" w:lineRule="auto"/>
        <w:jc w:val="both"/>
        <w:rPr>
          <w:szCs w:val="24"/>
        </w:rPr>
      </w:pPr>
      <w:r w:rsidRPr="001F338E">
        <w:rPr>
          <w:szCs w:val="24"/>
        </w:rPr>
        <w:t>Having regard to the judgment of the Court for the Reconsideration of Civil Decisions of 16 February 2018, granting the request for reconsideration of the appeal and stating that the proceedings will continue before the plenary session of the Court of Cassation;</w:t>
      </w:r>
    </w:p>
    <w:p w14:paraId="6BE7A483" w14:textId="77777777" w:rsidR="00690652" w:rsidRPr="001F338E" w:rsidRDefault="00690652" w:rsidP="00E07747">
      <w:pPr>
        <w:pStyle w:val="Retraitcorpsdetexte2"/>
        <w:spacing w:line="240" w:lineRule="auto"/>
        <w:jc w:val="both"/>
        <w:rPr>
          <w:szCs w:val="24"/>
        </w:rPr>
      </w:pPr>
      <w:r w:rsidRPr="001F338E">
        <w:rPr>
          <w:szCs w:val="24"/>
        </w:rPr>
        <w:t>Motivation</w:t>
      </w:r>
    </w:p>
    <w:p w14:paraId="309F332C" w14:textId="77777777" w:rsidR="00690652" w:rsidRPr="001F338E" w:rsidRDefault="00690652" w:rsidP="00E07747">
      <w:pPr>
        <w:pStyle w:val="Retraitcorpsdetexte2"/>
        <w:spacing w:line="240" w:lineRule="auto"/>
        <w:jc w:val="both"/>
        <w:rPr>
          <w:szCs w:val="24"/>
        </w:rPr>
      </w:pPr>
      <w:r w:rsidRPr="001F338E">
        <w:rPr>
          <w:szCs w:val="24"/>
        </w:rPr>
        <w:t>However, it follows from Article 47 of the Civil Code and Article 7 of the Decree of 3 August 1962 amending certain rules relating to civil status, interpreted in the light of Article 8 of the Convention for the Protection of Human Rights and Fundamental Freedoms, that the existence of a surrogacy agreement does not in itself preclude the transcription of a birth certificate drawn up abroad and that the surrogacy certificate a birth concerning a French citizen, drawn up in a foreign country and drawn up in the forms used in that country, shall be transcribed in the civil registers unless other documents or documents held, external data or elements taken from the act itself establish, if necessary after all relevant checks, that the act is irregular, falsified or that the facts declared therein do not correspond to reality;</w:t>
      </w:r>
    </w:p>
    <w:p w14:paraId="667AE2F1" w14:textId="77777777" w:rsidR="00690652" w:rsidRDefault="00690652" w:rsidP="00E07747">
      <w:pPr>
        <w:pStyle w:val="Retraitcorpsdetexte2"/>
        <w:spacing w:line="240" w:lineRule="auto"/>
        <w:jc w:val="both"/>
        <w:rPr>
          <w:szCs w:val="24"/>
        </w:rPr>
      </w:pPr>
      <w:r w:rsidRPr="001F338E">
        <w:rPr>
          <w:szCs w:val="24"/>
        </w:rPr>
        <w:t xml:space="preserve">And considering that, having found that it was not seized of the validity of a surrogacy agreement, but of the transcription of a civil status act, the formal regularity of which was not disputed or the conformity with reality of its statements, the Court of Appeal correctly inferred that it was necessary to order the transcription in the consular registers and the Central Civil Registry Service of the Ministry of Foreign Affairs of the acts of birth of A... and Z... X..., born on [...] in Mumbai (India), to Philippe X... and Mrs. </w:t>
      </w:r>
      <w:proofErr w:type="gramStart"/>
      <w:r w:rsidRPr="001F338E">
        <w:rPr>
          <w:szCs w:val="24"/>
        </w:rPr>
        <w:t>C...</w:t>
      </w:r>
      <w:proofErr w:type="gramEnd"/>
      <w:r w:rsidRPr="001F338E">
        <w:rPr>
          <w:szCs w:val="24"/>
        </w:rPr>
        <w:t xml:space="preserve"> ;</w:t>
      </w:r>
    </w:p>
    <w:bookmarkEnd w:id="37"/>
    <w:p w14:paraId="2D018C8A" w14:textId="77777777" w:rsidR="00A83E35" w:rsidRDefault="00A83E35" w:rsidP="00E07747">
      <w:pPr>
        <w:pStyle w:val="Retraitcorpsdetexte2"/>
        <w:spacing w:line="240" w:lineRule="auto"/>
        <w:jc w:val="both"/>
        <w:rPr>
          <w:szCs w:val="24"/>
        </w:rPr>
      </w:pPr>
      <w:r>
        <w:rPr>
          <w:szCs w:val="24"/>
        </w:rPr>
        <w:t>Dismisses the appeal</w:t>
      </w:r>
    </w:p>
    <w:p w14:paraId="724B63EB" w14:textId="2F7944A7" w:rsidR="00D76270" w:rsidRDefault="00A83E35" w:rsidP="00E07747">
      <w:pPr>
        <w:pStyle w:val="Retraitcorpsdetexte2"/>
        <w:spacing w:line="240" w:lineRule="auto"/>
        <w:jc w:val="both"/>
        <w:rPr>
          <w:szCs w:val="24"/>
        </w:rPr>
      </w:pPr>
      <w:r>
        <w:rPr>
          <w:szCs w:val="24"/>
        </w:rPr>
        <w:t xml:space="preserve">ORDERS that the birth certificates of A... X... and Z... </w:t>
      </w:r>
      <w:proofErr w:type="gramStart"/>
      <w:r>
        <w:rPr>
          <w:szCs w:val="24"/>
        </w:rPr>
        <w:t>X...</w:t>
      </w:r>
      <w:proofErr w:type="gramEnd"/>
      <w:r>
        <w:rPr>
          <w:szCs w:val="24"/>
        </w:rPr>
        <w:t>, of the present judgment dismissing the appeal brought against the judgment of the Rennes Court of Appeal of 21 February 2012 which confirmed the judgment of the Nantes Regional Court of 17 March 2011 ordering the transcription in the registers of the consular civil status and the central civil status service of the Ministry of Foreign Affairs of the birth certificates of children X... ;</w:t>
      </w:r>
    </w:p>
    <w:p w14:paraId="0EA721E4" w14:textId="77777777" w:rsidR="00A83E35" w:rsidRDefault="00A83E35" w:rsidP="00E07747">
      <w:pPr>
        <w:pStyle w:val="Retraitcorpsdetexte2"/>
        <w:spacing w:line="240" w:lineRule="auto"/>
        <w:jc w:val="both"/>
        <w:rPr>
          <w:szCs w:val="24"/>
        </w:rPr>
      </w:pPr>
    </w:p>
    <w:p w14:paraId="63FF1B8B" w14:textId="77777777" w:rsidR="005F1ABF" w:rsidRDefault="005F1ABF" w:rsidP="00E07747">
      <w:pPr>
        <w:pStyle w:val="Retraitcorpsdetexte2"/>
        <w:spacing w:line="240" w:lineRule="auto"/>
        <w:jc w:val="both"/>
        <w:rPr>
          <w:b/>
          <w:bCs/>
          <w:szCs w:val="24"/>
        </w:rPr>
      </w:pPr>
    </w:p>
    <w:p w14:paraId="7664F267" w14:textId="77777777" w:rsidR="005F1ABF" w:rsidRDefault="005F1ABF" w:rsidP="00E07747">
      <w:pPr>
        <w:pStyle w:val="Retraitcorpsdetexte2"/>
        <w:spacing w:line="240" w:lineRule="auto"/>
        <w:jc w:val="both"/>
        <w:rPr>
          <w:b/>
          <w:bCs/>
          <w:szCs w:val="24"/>
        </w:rPr>
      </w:pPr>
    </w:p>
    <w:p w14:paraId="3394C07A" w14:textId="77777777" w:rsidR="005F1ABF" w:rsidRDefault="005F1ABF" w:rsidP="00E07747">
      <w:pPr>
        <w:pStyle w:val="Retraitcorpsdetexte2"/>
        <w:spacing w:line="240" w:lineRule="auto"/>
        <w:jc w:val="both"/>
        <w:rPr>
          <w:b/>
          <w:bCs/>
          <w:szCs w:val="24"/>
        </w:rPr>
      </w:pPr>
    </w:p>
    <w:p w14:paraId="24F93C14" w14:textId="77777777" w:rsidR="005F1ABF" w:rsidRDefault="005F1ABF" w:rsidP="00E07747">
      <w:pPr>
        <w:pStyle w:val="Retraitcorpsdetexte2"/>
        <w:spacing w:line="240" w:lineRule="auto"/>
        <w:jc w:val="both"/>
        <w:rPr>
          <w:b/>
          <w:bCs/>
          <w:szCs w:val="24"/>
        </w:rPr>
      </w:pPr>
    </w:p>
    <w:p w14:paraId="146FAC3A" w14:textId="77777777" w:rsidR="005F1ABF" w:rsidRDefault="005F1ABF" w:rsidP="00E07747">
      <w:pPr>
        <w:pStyle w:val="Retraitcorpsdetexte2"/>
        <w:spacing w:line="240" w:lineRule="auto"/>
        <w:jc w:val="both"/>
        <w:rPr>
          <w:b/>
          <w:bCs/>
          <w:szCs w:val="24"/>
        </w:rPr>
      </w:pPr>
    </w:p>
    <w:p w14:paraId="74687E7D" w14:textId="77777777" w:rsidR="005F1ABF" w:rsidRDefault="005F1ABF" w:rsidP="00E07747">
      <w:pPr>
        <w:pStyle w:val="Retraitcorpsdetexte2"/>
        <w:spacing w:line="240" w:lineRule="auto"/>
        <w:jc w:val="both"/>
        <w:rPr>
          <w:b/>
          <w:bCs/>
          <w:szCs w:val="24"/>
        </w:rPr>
      </w:pPr>
    </w:p>
    <w:p w14:paraId="76974F40" w14:textId="1B2EFB39" w:rsidR="00A83E35" w:rsidRPr="00615CDB" w:rsidRDefault="00615CDB" w:rsidP="00E07747">
      <w:pPr>
        <w:pStyle w:val="Retraitcorpsdetexte2"/>
        <w:spacing w:line="240" w:lineRule="auto"/>
        <w:jc w:val="both"/>
        <w:rPr>
          <w:b/>
          <w:bCs/>
          <w:szCs w:val="24"/>
        </w:rPr>
      </w:pPr>
      <w:r w:rsidRPr="00615CDB">
        <w:rPr>
          <w:b/>
          <w:bCs/>
          <w:szCs w:val="24"/>
        </w:rPr>
        <w:t>§2: The request for an opinion from the European Court of Human Rights</w:t>
      </w:r>
    </w:p>
    <w:p w14:paraId="2BC3381F" w14:textId="20CC6F5F" w:rsidR="00615CDB" w:rsidRDefault="00615CDB" w:rsidP="00E07747">
      <w:pPr>
        <w:pStyle w:val="Retraitcorpsdetexte2"/>
        <w:spacing w:line="240" w:lineRule="auto"/>
        <w:jc w:val="both"/>
        <w:rPr>
          <w:szCs w:val="24"/>
        </w:rPr>
      </w:pPr>
    </w:p>
    <w:p w14:paraId="5DD94888" w14:textId="75CE7E5A" w:rsidR="003D5D15" w:rsidRPr="00D45F80" w:rsidRDefault="003D5D15" w:rsidP="00E07747">
      <w:pPr>
        <w:pStyle w:val="Retraitcorpsdetexte2"/>
        <w:spacing w:line="240" w:lineRule="auto"/>
        <w:jc w:val="both"/>
        <w:rPr>
          <w:szCs w:val="24"/>
        </w:rPr>
      </w:pPr>
      <w:r w:rsidRPr="003D5D15">
        <w:rPr>
          <w:szCs w:val="24"/>
          <w:highlight w:val="yellow"/>
        </w:rPr>
        <w:t>Read the European Court's opinion of 10 April 2019</w:t>
      </w:r>
      <w:r>
        <w:rPr>
          <w:szCs w:val="24"/>
        </w:rPr>
        <w:t xml:space="preserve"> (Moodle)</w:t>
      </w:r>
    </w:p>
    <w:sectPr w:rsidR="003D5D15" w:rsidRPr="00D45F80" w:rsidSect="00E07747">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F5383" w14:textId="77777777" w:rsidR="009F287C" w:rsidRDefault="009F287C">
      <w:r>
        <w:separator/>
      </w:r>
    </w:p>
  </w:endnote>
  <w:endnote w:type="continuationSeparator" w:id="0">
    <w:p w14:paraId="69774499" w14:textId="77777777" w:rsidR="009F287C" w:rsidRDefault="009F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5168" w14:textId="77777777" w:rsidR="00B9684E" w:rsidRPr="00F25EFC" w:rsidRDefault="00B9684E" w:rsidP="00954AD6">
    <w:pPr>
      <w:pStyle w:val="JuHead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82D7" w14:textId="327C5BD1" w:rsidR="00B9684E" w:rsidRPr="00150BFA" w:rsidRDefault="00B9684E" w:rsidP="00B9684E">
    <w:pPr>
      <w:tabs>
        <w:tab w:val="center" w:pos="3679"/>
      </w:tabs>
    </w:pPr>
  </w:p>
  <w:p w14:paraId="1378267C" w14:textId="77777777" w:rsidR="00B9684E" w:rsidRPr="00F25EFC" w:rsidRDefault="00B9684E" w:rsidP="00F27D13">
    <w:pPr>
      <w:pStyle w:val="Pieddepage"/>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4ED2" w14:textId="658A15B9" w:rsidR="00B9684E" w:rsidRPr="00150BFA" w:rsidRDefault="00B9684E" w:rsidP="0020718E">
    <w:pPr>
      <w:jc w:val="center"/>
    </w:pPr>
  </w:p>
  <w:p w14:paraId="3879C5A7" w14:textId="77777777" w:rsidR="00B9684E" w:rsidRPr="00F25EFC" w:rsidRDefault="00B9684E" w:rsidP="00902601">
    <w:pPr>
      <w:pStyle w:val="Pieddepage"/>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4FEC" w14:textId="77777777" w:rsidR="004C4282" w:rsidRDefault="004C428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A430" w14:textId="77777777" w:rsidR="004C4282" w:rsidRDefault="004C4282">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558A" w14:textId="77777777" w:rsidR="004C4282" w:rsidRDefault="004C428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FB20" w14:textId="77777777" w:rsidR="009F287C" w:rsidRDefault="009F287C">
      <w:r>
        <w:separator/>
      </w:r>
    </w:p>
  </w:footnote>
  <w:footnote w:type="continuationSeparator" w:id="0">
    <w:p w14:paraId="461F062C" w14:textId="77777777" w:rsidR="009F287C" w:rsidRDefault="009F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63F0" w14:textId="77777777" w:rsidR="00EB6F3A" w:rsidRDefault="00EB6F3A" w:rsidP="00DC4F9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24B63F1" w14:textId="77777777" w:rsidR="00EB6F3A" w:rsidRDefault="00EB6F3A" w:rsidP="00CA353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63F2" w14:textId="22FFB7C7" w:rsidR="00EB6F3A" w:rsidRDefault="009F287C" w:rsidP="00DC4F9E">
    <w:pPr>
      <w:pStyle w:val="En-tte"/>
      <w:framePr w:wrap="around" w:vAnchor="text" w:hAnchor="margin" w:xAlign="right" w:y="1"/>
      <w:rPr>
        <w:rStyle w:val="Numrodepage"/>
      </w:rPr>
    </w:pPr>
    <w:sdt>
      <w:sdtPr>
        <w:rPr>
          <w:rStyle w:val="Numrodepage"/>
        </w:rPr>
        <w:id w:val="-1905054117"/>
        <w:docPartObj>
          <w:docPartGallery w:val="Watermarks"/>
          <w:docPartUnique/>
        </w:docPartObj>
      </w:sdtPr>
      <w:sdtEndPr>
        <w:rPr>
          <w:rStyle w:val="Numrodepage"/>
        </w:rPr>
      </w:sdtEndPr>
      <w:sdtContent>
        <w:r>
          <w:rPr>
            <w:rStyle w:val="Numrodepage"/>
          </w:rPr>
          <w:pict w14:anchorId="0804A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66095" o:spid="_x0000_s2050" type="#_x0000_t136" style="position:absolute;margin-left:0;margin-top:0;width:467.95pt;height:155.95pt;z-index:-251658752;mso-position-horizontal:center;mso-position-horizontal-relative:margin;mso-position-vertical:center;mso-position-vertical-relative:margin" o:allowincell="f" fillcolor="silver" stroked="f">
              <v:fill opacity=".5"/>
              <v:textpath style="font-family:&quot;calibri&quot;;font-size:1pt" string="NE PAS COPIER"/>
              <w10:wrap anchorx="margin" anchory="margin"/>
            </v:shape>
          </w:pict>
        </w:r>
      </w:sdtContent>
    </w:sdt>
    <w:r w:rsidR="00EB6F3A">
      <w:rPr>
        <w:rStyle w:val="Numrodepage"/>
      </w:rPr>
      <w:fldChar w:fldCharType="begin"/>
    </w:r>
    <w:r w:rsidR="00EB6F3A">
      <w:rPr>
        <w:rStyle w:val="Numrodepage"/>
      </w:rPr>
      <w:instrText xml:space="preserve">PAGE  </w:instrText>
    </w:r>
    <w:r w:rsidR="00EB6F3A">
      <w:rPr>
        <w:rStyle w:val="Numrodepage"/>
      </w:rPr>
      <w:fldChar w:fldCharType="separate"/>
    </w:r>
    <w:r w:rsidR="00A068F0">
      <w:rPr>
        <w:rStyle w:val="Numrodepage"/>
        <w:noProof/>
      </w:rPr>
      <w:t>25</w:t>
    </w:r>
    <w:r w:rsidR="00EB6F3A">
      <w:rPr>
        <w:rStyle w:val="Numrodepage"/>
      </w:rPr>
      <w:fldChar w:fldCharType="end"/>
    </w:r>
  </w:p>
  <w:p w14:paraId="724B63F3" w14:textId="77777777" w:rsidR="00EB6F3A" w:rsidRDefault="00EB6F3A" w:rsidP="00CA3530">
    <w:pPr>
      <w:pStyle w:val="En-tt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1C5D" w14:textId="77777777" w:rsidR="004C4282" w:rsidRDefault="004C42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552A83EC"/>
    <w:lvl w:ilvl="0">
      <w:start w:val="1"/>
      <w:numFmt w:val="bullet"/>
      <w:pStyle w:val="Listepuce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85AC83C"/>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012B0163"/>
    <w:multiLevelType w:val="hybridMultilevel"/>
    <w:tmpl w:val="35068500"/>
    <w:lvl w:ilvl="0" w:tplc="6960E2C4">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01D91556"/>
    <w:multiLevelType w:val="hybridMultilevel"/>
    <w:tmpl w:val="23D40016"/>
    <w:lvl w:ilvl="0" w:tplc="040C0019">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A565F8"/>
    <w:multiLevelType w:val="hybridMultilevel"/>
    <w:tmpl w:val="33AE26EE"/>
    <w:lvl w:ilvl="0" w:tplc="C452122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0C0F5BFC"/>
    <w:multiLevelType w:val="multilevel"/>
    <w:tmpl w:val="89668DF0"/>
    <w:lvl w:ilvl="0">
      <w:start w:val="1"/>
      <w:numFmt w:val="none"/>
      <w:pStyle w:val="JuHHead"/>
      <w:suff w:val="nothing"/>
      <w:lvlText w:val="%1"/>
      <w:lvlJc w:val="left"/>
      <w:pPr>
        <w:ind w:left="0" w:firstLine="0"/>
      </w:pPr>
    </w:lvl>
    <w:lvl w:ilvl="1">
      <w:start w:val="1"/>
      <w:numFmt w:val="upperRoman"/>
      <w:pStyle w:val="JuHIRoman"/>
      <w:suff w:val="space"/>
      <w:lvlText w:val="%2."/>
      <w:lvlJc w:val="left"/>
      <w:pPr>
        <w:ind w:left="357" w:hanging="357"/>
      </w:pPr>
    </w:lvl>
    <w:lvl w:ilvl="2">
      <w:start w:val="1"/>
      <w:numFmt w:val="upperLetter"/>
      <w:pStyle w:val="JuHA"/>
      <w:lvlText w:val="%3."/>
      <w:lvlJc w:val="left"/>
      <w:pPr>
        <w:ind w:left="584" w:hanging="352"/>
      </w:pPr>
    </w:lvl>
    <w:lvl w:ilvl="3">
      <w:start w:val="1"/>
      <w:numFmt w:val="decimal"/>
      <w:pStyle w:val="JuH1"/>
      <w:lvlText w:val="%4."/>
      <w:lvlJc w:val="left"/>
      <w:pPr>
        <w:ind w:left="731" w:hanging="300"/>
      </w:pPr>
    </w:lvl>
    <w:lvl w:ilvl="4">
      <w:start w:val="1"/>
      <w:numFmt w:val="lowerLetter"/>
      <w:pStyle w:val="JuHa0"/>
      <w:lvlText w:val="(%5)"/>
      <w:lvlJc w:val="left"/>
      <w:pPr>
        <w:ind w:left="975" w:hanging="340"/>
      </w:pPr>
    </w:lvl>
    <w:lvl w:ilvl="5">
      <w:start w:val="1"/>
      <w:numFmt w:val="lowerRoman"/>
      <w:pStyle w:val="JuHi"/>
      <w:suff w:val="space"/>
      <w:lvlText w:val="(%6)"/>
      <w:lvlJc w:val="left"/>
      <w:pPr>
        <w:ind w:left="1191" w:hanging="358"/>
      </w:pPr>
    </w:lvl>
    <w:lvl w:ilvl="6">
      <w:start w:val="1"/>
      <w:numFmt w:val="decimal"/>
      <w:pStyle w:val="JuHalpha"/>
      <w:lvlText w:val="(%7)"/>
      <w:lvlJc w:val="left"/>
      <w:pPr>
        <w:ind w:left="1372" w:hanging="334"/>
      </w:p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6" w15:restartNumberingAfterBreak="0">
    <w:nsid w:val="1BDA4146"/>
    <w:multiLevelType w:val="hybridMultilevel"/>
    <w:tmpl w:val="1A56AF1E"/>
    <w:lvl w:ilvl="0" w:tplc="52365B9E">
      <w:start w:val="1"/>
      <w:numFmt w:val="bullet"/>
      <w:lvlText w:val=""/>
      <w:lvlJc w:val="left"/>
      <w:pPr>
        <w:ind w:left="644" w:hanging="360"/>
      </w:pPr>
      <w:rPr>
        <w:rFonts w:ascii="Symbol" w:eastAsia="Times New Roman" w:hAnsi="Symbol"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FBD3C95"/>
    <w:multiLevelType w:val="hybridMultilevel"/>
    <w:tmpl w:val="FBF45F7C"/>
    <w:lvl w:ilvl="0" w:tplc="00287190">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8" w15:restartNumberingAfterBreak="0">
    <w:nsid w:val="20395097"/>
    <w:multiLevelType w:val="hybridMultilevel"/>
    <w:tmpl w:val="ADD69410"/>
    <w:lvl w:ilvl="0" w:tplc="B862F8AC">
      <w:start w:val="1"/>
      <w:numFmt w:val="decimal"/>
      <w:pStyle w:val="Numro"/>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A6940BE"/>
    <w:multiLevelType w:val="hybridMultilevel"/>
    <w:tmpl w:val="7BCCB7BA"/>
    <w:lvl w:ilvl="0" w:tplc="015C60DE">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7352D97"/>
    <w:multiLevelType w:val="hybridMultilevel"/>
    <w:tmpl w:val="8780CB42"/>
    <w:lvl w:ilvl="0" w:tplc="7CF43714">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1" w15:restartNumberingAfterBreak="0">
    <w:nsid w:val="40A12DE5"/>
    <w:multiLevelType w:val="hybridMultilevel"/>
    <w:tmpl w:val="45565888"/>
    <w:lvl w:ilvl="0" w:tplc="040C0015">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A30C0"/>
    <w:multiLevelType w:val="hybridMultilevel"/>
    <w:tmpl w:val="BA143EC0"/>
    <w:lvl w:ilvl="0" w:tplc="564C0E6C">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38A3D19"/>
    <w:multiLevelType w:val="hybridMultilevel"/>
    <w:tmpl w:val="91862D7C"/>
    <w:lvl w:ilvl="0" w:tplc="A0E2A07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52C5DC6"/>
    <w:multiLevelType w:val="hybridMultilevel"/>
    <w:tmpl w:val="2DC8C7D6"/>
    <w:lvl w:ilvl="0" w:tplc="4740C690">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E5253C"/>
    <w:multiLevelType w:val="hybridMultilevel"/>
    <w:tmpl w:val="4C48BBAA"/>
    <w:lvl w:ilvl="0" w:tplc="5D3C6404">
      <w:start w:val="1"/>
      <w:numFmt w:val="upp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7" w15:restartNumberingAfterBreak="0">
    <w:nsid w:val="4ADE5D76"/>
    <w:multiLevelType w:val="multilevel"/>
    <w:tmpl w:val="8F0A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90230"/>
    <w:multiLevelType w:val="hybridMultilevel"/>
    <w:tmpl w:val="43A6CD10"/>
    <w:lvl w:ilvl="0" w:tplc="60A2B542">
      <w:start w:val="1"/>
      <w:numFmt w:val="upperRoman"/>
      <w:lvlText w:val="%1."/>
      <w:lvlJc w:val="right"/>
      <w:pPr>
        <w:tabs>
          <w:tab w:val="num" w:pos="540"/>
        </w:tabs>
        <w:ind w:left="540" w:hanging="180"/>
      </w:pPr>
      <w:rPr>
        <w:rFonts w:ascii="Arial" w:hAnsi="Arial" w:hint="default"/>
        <w:b/>
        <w:i w:val="0"/>
        <w:sz w:val="28"/>
        <w:szCs w:val="28"/>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6B9429C"/>
    <w:multiLevelType w:val="multilevel"/>
    <w:tmpl w:val="4CD28D7E"/>
    <w:lvl w:ilvl="0">
      <w:start w:val="1"/>
      <w:numFmt w:val="none"/>
      <w:suff w:val="nothing"/>
      <w:lvlText w:val=""/>
      <w:lvlJc w:val="left"/>
      <w:pPr>
        <w:ind w:left="0" w:firstLine="0"/>
      </w:pPr>
    </w:lvl>
    <w:lvl w:ilvl="1">
      <w:start w:val="1"/>
      <w:numFmt w:val="upperRoman"/>
      <w:suff w:val="space"/>
      <w:lvlText w:val="%2."/>
      <w:lvlJc w:val="left"/>
      <w:pPr>
        <w:ind w:left="499" w:hanging="357"/>
      </w:pPr>
      <w:rPr>
        <w:sz w:val="24"/>
      </w:rPr>
    </w:lvl>
    <w:lvl w:ilvl="2">
      <w:start w:val="1"/>
      <w:numFmt w:val="upperLetter"/>
      <w:lvlText w:val="%3."/>
      <w:lvlJc w:val="left"/>
      <w:pPr>
        <w:ind w:left="494" w:hanging="352"/>
      </w:pPr>
    </w:lvl>
    <w:lvl w:ilvl="3">
      <w:start w:val="1"/>
      <w:numFmt w:val="decimal"/>
      <w:lvlText w:val="%4."/>
      <w:lvlJc w:val="left"/>
      <w:pPr>
        <w:ind w:left="1010" w:hanging="300"/>
      </w:pPr>
    </w:lvl>
    <w:lvl w:ilvl="4">
      <w:start w:val="1"/>
      <w:numFmt w:val="lowerLetter"/>
      <w:lvlText w:val="%5)"/>
      <w:lvlJc w:val="left"/>
      <w:pPr>
        <w:ind w:left="340" w:hanging="340"/>
      </w:pPr>
    </w:lvl>
    <w:lvl w:ilvl="5">
      <w:start w:val="1"/>
      <w:numFmt w:val="lowerRoman"/>
      <w:suff w:val="space"/>
      <w:lvlText w:val="%6."/>
      <w:lvlJc w:val="left"/>
      <w:pPr>
        <w:ind w:left="1191" w:hanging="358"/>
      </w:p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cs="Times New Roman" w:hint="default"/>
        <w:color w:val="auto"/>
      </w:rPr>
    </w:lvl>
    <w:lvl w:ilvl="8">
      <w:start w:val="1"/>
      <w:numFmt w:val="none"/>
      <w:lvlText w:val="%9"/>
      <w:lvlJc w:val="right"/>
      <w:pPr>
        <w:ind w:left="7313" w:hanging="180"/>
      </w:pPr>
    </w:lvl>
  </w:abstractNum>
  <w:abstractNum w:abstractNumId="20" w15:restartNumberingAfterBreak="0">
    <w:nsid w:val="66940DBB"/>
    <w:multiLevelType w:val="hybridMultilevel"/>
    <w:tmpl w:val="06E274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71F75929"/>
    <w:multiLevelType w:val="hybridMultilevel"/>
    <w:tmpl w:val="57C81824"/>
    <w:lvl w:ilvl="0" w:tplc="6B5AEED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77B832AD"/>
    <w:multiLevelType w:val="hybridMultilevel"/>
    <w:tmpl w:val="4D4E2874"/>
    <w:lvl w:ilvl="0" w:tplc="EEA6E538">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13"/>
  </w:num>
  <w:num w:numId="2">
    <w:abstractNumId w:val="10"/>
  </w:num>
  <w:num w:numId="3">
    <w:abstractNumId w:val="8"/>
  </w:num>
  <w:num w:numId="4">
    <w:abstractNumId w:val="16"/>
  </w:num>
  <w:num w:numId="5">
    <w:abstractNumId w:val="7"/>
  </w:num>
  <w:num w:numId="6">
    <w:abstractNumId w:val="4"/>
  </w:num>
  <w:num w:numId="7">
    <w:abstractNumId w:val="2"/>
  </w:num>
  <w:num w:numId="8">
    <w:abstractNumId w:val="1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1">
    <w:abstractNumId w:val="21"/>
  </w:num>
  <w:num w:numId="12">
    <w:abstractNumId w:val="11"/>
  </w:num>
  <w:num w:numId="13">
    <w:abstractNumId w:val="18"/>
  </w:num>
  <w:num w:numId="14">
    <w:abstractNumId w:val="20"/>
  </w:num>
  <w:num w:numId="15">
    <w:abstractNumId w:val="22"/>
  </w:num>
  <w:num w:numId="16">
    <w:abstractNumId w:val="0"/>
  </w:num>
  <w:num w:numId="17">
    <w:abstractNumId w:val="5"/>
  </w:num>
  <w:num w:numId="18">
    <w:abstractNumId w:val="15"/>
  </w:num>
  <w:num w:numId="19">
    <w:abstractNumId w:val="9"/>
  </w:num>
  <w:num w:numId="20">
    <w:abstractNumId w:val="14"/>
  </w:num>
  <w:num w:numId="21">
    <w:abstractNumId w:val="3"/>
  </w:num>
  <w:num w:numId="22">
    <w:abstractNumId w:val="19"/>
  </w:num>
  <w:num w:numId="23">
    <w:abstractNumId w:val="12"/>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3"/>
    <w:rsid w:val="000018B0"/>
    <w:rsid w:val="00003BCC"/>
    <w:rsid w:val="00007791"/>
    <w:rsid w:val="000117C7"/>
    <w:rsid w:val="00011F0D"/>
    <w:rsid w:val="0002449F"/>
    <w:rsid w:val="0002532C"/>
    <w:rsid w:val="00031313"/>
    <w:rsid w:val="00033E9B"/>
    <w:rsid w:val="00037E2E"/>
    <w:rsid w:val="000402D1"/>
    <w:rsid w:val="00046C32"/>
    <w:rsid w:val="00051723"/>
    <w:rsid w:val="00054C1C"/>
    <w:rsid w:val="00061FCB"/>
    <w:rsid w:val="00070807"/>
    <w:rsid w:val="000744AB"/>
    <w:rsid w:val="00082498"/>
    <w:rsid w:val="0008304F"/>
    <w:rsid w:val="00084373"/>
    <w:rsid w:val="00084AA7"/>
    <w:rsid w:val="000902F6"/>
    <w:rsid w:val="00091005"/>
    <w:rsid w:val="00091E53"/>
    <w:rsid w:val="00093257"/>
    <w:rsid w:val="00093A39"/>
    <w:rsid w:val="00096BCE"/>
    <w:rsid w:val="000A2B3C"/>
    <w:rsid w:val="000A62B5"/>
    <w:rsid w:val="000B00D1"/>
    <w:rsid w:val="000B359E"/>
    <w:rsid w:val="000B4584"/>
    <w:rsid w:val="000B55B8"/>
    <w:rsid w:val="000B56CD"/>
    <w:rsid w:val="000B6DCB"/>
    <w:rsid w:val="000C104D"/>
    <w:rsid w:val="000D4081"/>
    <w:rsid w:val="000D521B"/>
    <w:rsid w:val="000E09B2"/>
    <w:rsid w:val="000E1D8B"/>
    <w:rsid w:val="000E2839"/>
    <w:rsid w:val="000F12BB"/>
    <w:rsid w:val="000F3D0E"/>
    <w:rsid w:val="001003A4"/>
    <w:rsid w:val="00101E36"/>
    <w:rsid w:val="00102384"/>
    <w:rsid w:val="00107391"/>
    <w:rsid w:val="00111D37"/>
    <w:rsid w:val="001153BA"/>
    <w:rsid w:val="00121E5C"/>
    <w:rsid w:val="00124972"/>
    <w:rsid w:val="001262D6"/>
    <w:rsid w:val="00131119"/>
    <w:rsid w:val="00131A4B"/>
    <w:rsid w:val="00137942"/>
    <w:rsid w:val="00140D63"/>
    <w:rsid w:val="0014301C"/>
    <w:rsid w:val="00147FBB"/>
    <w:rsid w:val="00150D74"/>
    <w:rsid w:val="00156B3B"/>
    <w:rsid w:val="00156F3E"/>
    <w:rsid w:val="001610B1"/>
    <w:rsid w:val="0016421F"/>
    <w:rsid w:val="0016748E"/>
    <w:rsid w:val="00167CA7"/>
    <w:rsid w:val="00171820"/>
    <w:rsid w:val="00177096"/>
    <w:rsid w:val="00187086"/>
    <w:rsid w:val="00187D94"/>
    <w:rsid w:val="00187ED4"/>
    <w:rsid w:val="00192DDF"/>
    <w:rsid w:val="001934EE"/>
    <w:rsid w:val="00193FBA"/>
    <w:rsid w:val="001A00B8"/>
    <w:rsid w:val="001A08E3"/>
    <w:rsid w:val="001A4C2A"/>
    <w:rsid w:val="001B2F24"/>
    <w:rsid w:val="001B5EFC"/>
    <w:rsid w:val="001B7B7C"/>
    <w:rsid w:val="001C3CCE"/>
    <w:rsid w:val="001D290C"/>
    <w:rsid w:val="001D2B57"/>
    <w:rsid w:val="001D351E"/>
    <w:rsid w:val="001D3640"/>
    <w:rsid w:val="001D3977"/>
    <w:rsid w:val="001D5DE4"/>
    <w:rsid w:val="001D5FAF"/>
    <w:rsid w:val="001F13AE"/>
    <w:rsid w:val="001F1FFC"/>
    <w:rsid w:val="001F518F"/>
    <w:rsid w:val="00201DB9"/>
    <w:rsid w:val="00204119"/>
    <w:rsid w:val="00204B98"/>
    <w:rsid w:val="0021355D"/>
    <w:rsid w:val="00221E15"/>
    <w:rsid w:val="002263B3"/>
    <w:rsid w:val="0023534A"/>
    <w:rsid w:val="0024036F"/>
    <w:rsid w:val="002409FC"/>
    <w:rsid w:val="00240A39"/>
    <w:rsid w:val="00246A5D"/>
    <w:rsid w:val="002477E2"/>
    <w:rsid w:val="00247A35"/>
    <w:rsid w:val="00256139"/>
    <w:rsid w:val="002563C4"/>
    <w:rsid w:val="00257552"/>
    <w:rsid w:val="00260EE2"/>
    <w:rsid w:val="00262A08"/>
    <w:rsid w:val="002675A1"/>
    <w:rsid w:val="002702E6"/>
    <w:rsid w:val="00273883"/>
    <w:rsid w:val="00273EF3"/>
    <w:rsid w:val="00276CB3"/>
    <w:rsid w:val="00284D03"/>
    <w:rsid w:val="00284E78"/>
    <w:rsid w:val="00286E5D"/>
    <w:rsid w:val="00287951"/>
    <w:rsid w:val="00290F01"/>
    <w:rsid w:val="002943C6"/>
    <w:rsid w:val="002969A5"/>
    <w:rsid w:val="002A029A"/>
    <w:rsid w:val="002A66AC"/>
    <w:rsid w:val="002B0791"/>
    <w:rsid w:val="002B225D"/>
    <w:rsid w:val="002B3EC6"/>
    <w:rsid w:val="002B5610"/>
    <w:rsid w:val="002B6636"/>
    <w:rsid w:val="002C3B07"/>
    <w:rsid w:val="002C43F6"/>
    <w:rsid w:val="002C6A42"/>
    <w:rsid w:val="002C6D4E"/>
    <w:rsid w:val="002D1914"/>
    <w:rsid w:val="002D3E1E"/>
    <w:rsid w:val="002D5303"/>
    <w:rsid w:val="002D5819"/>
    <w:rsid w:val="002D5BA9"/>
    <w:rsid w:val="002E0949"/>
    <w:rsid w:val="002E1150"/>
    <w:rsid w:val="002E36B2"/>
    <w:rsid w:val="002E4880"/>
    <w:rsid w:val="002E5229"/>
    <w:rsid w:val="002E5EF3"/>
    <w:rsid w:val="002E7799"/>
    <w:rsid w:val="002F42A8"/>
    <w:rsid w:val="002F7C3F"/>
    <w:rsid w:val="00300704"/>
    <w:rsid w:val="003100B4"/>
    <w:rsid w:val="00311997"/>
    <w:rsid w:val="00315735"/>
    <w:rsid w:val="00315D82"/>
    <w:rsid w:val="00317925"/>
    <w:rsid w:val="00323650"/>
    <w:rsid w:val="00341B4B"/>
    <w:rsid w:val="003543B9"/>
    <w:rsid w:val="003619C4"/>
    <w:rsid w:val="00376770"/>
    <w:rsid w:val="00377207"/>
    <w:rsid w:val="003779E1"/>
    <w:rsid w:val="003808B2"/>
    <w:rsid w:val="00383159"/>
    <w:rsid w:val="0038426C"/>
    <w:rsid w:val="00385E32"/>
    <w:rsid w:val="003862EA"/>
    <w:rsid w:val="00386A52"/>
    <w:rsid w:val="00393693"/>
    <w:rsid w:val="003944E4"/>
    <w:rsid w:val="003971BA"/>
    <w:rsid w:val="003A0E40"/>
    <w:rsid w:val="003A2E88"/>
    <w:rsid w:val="003A52FA"/>
    <w:rsid w:val="003A6B8B"/>
    <w:rsid w:val="003B1ECC"/>
    <w:rsid w:val="003B2367"/>
    <w:rsid w:val="003B26F5"/>
    <w:rsid w:val="003B6EA5"/>
    <w:rsid w:val="003C7575"/>
    <w:rsid w:val="003C7617"/>
    <w:rsid w:val="003D0D07"/>
    <w:rsid w:val="003D26F7"/>
    <w:rsid w:val="003D30FB"/>
    <w:rsid w:val="003D3E01"/>
    <w:rsid w:val="003D5D15"/>
    <w:rsid w:val="003D7EE3"/>
    <w:rsid w:val="003E3A55"/>
    <w:rsid w:val="003E54E9"/>
    <w:rsid w:val="003F1BBB"/>
    <w:rsid w:val="003F1F4F"/>
    <w:rsid w:val="003F426C"/>
    <w:rsid w:val="003F524A"/>
    <w:rsid w:val="003F5C0E"/>
    <w:rsid w:val="00402463"/>
    <w:rsid w:val="004045ED"/>
    <w:rsid w:val="00405AEF"/>
    <w:rsid w:val="004121E1"/>
    <w:rsid w:val="00412A39"/>
    <w:rsid w:val="00414608"/>
    <w:rsid w:val="00415D97"/>
    <w:rsid w:val="00417021"/>
    <w:rsid w:val="00420A9F"/>
    <w:rsid w:val="00421DA4"/>
    <w:rsid w:val="00424A56"/>
    <w:rsid w:val="00424AEE"/>
    <w:rsid w:val="00424DB6"/>
    <w:rsid w:val="004253CF"/>
    <w:rsid w:val="004320CF"/>
    <w:rsid w:val="00432C31"/>
    <w:rsid w:val="00433556"/>
    <w:rsid w:val="00433C27"/>
    <w:rsid w:val="00434EE0"/>
    <w:rsid w:val="0043545D"/>
    <w:rsid w:val="004366E8"/>
    <w:rsid w:val="00436B73"/>
    <w:rsid w:val="004456DF"/>
    <w:rsid w:val="00446E4F"/>
    <w:rsid w:val="00447CEE"/>
    <w:rsid w:val="00452F9A"/>
    <w:rsid w:val="00455258"/>
    <w:rsid w:val="004633A5"/>
    <w:rsid w:val="00464640"/>
    <w:rsid w:val="00465C59"/>
    <w:rsid w:val="00466A70"/>
    <w:rsid w:val="00471B96"/>
    <w:rsid w:val="00472B40"/>
    <w:rsid w:val="00480899"/>
    <w:rsid w:val="00482D4B"/>
    <w:rsid w:val="00483A29"/>
    <w:rsid w:val="00485339"/>
    <w:rsid w:val="00487847"/>
    <w:rsid w:val="00487D3D"/>
    <w:rsid w:val="00491941"/>
    <w:rsid w:val="00491CC1"/>
    <w:rsid w:val="00491E14"/>
    <w:rsid w:val="00496F62"/>
    <w:rsid w:val="004A7FCD"/>
    <w:rsid w:val="004B5045"/>
    <w:rsid w:val="004B7AA1"/>
    <w:rsid w:val="004C2FB9"/>
    <w:rsid w:val="004C4282"/>
    <w:rsid w:val="004C4EBE"/>
    <w:rsid w:val="004D55A6"/>
    <w:rsid w:val="004D7701"/>
    <w:rsid w:val="004E267B"/>
    <w:rsid w:val="004E79FE"/>
    <w:rsid w:val="004E7C17"/>
    <w:rsid w:val="004F62C5"/>
    <w:rsid w:val="004F7E59"/>
    <w:rsid w:val="00501F8D"/>
    <w:rsid w:val="00505198"/>
    <w:rsid w:val="005062F3"/>
    <w:rsid w:val="00514FC9"/>
    <w:rsid w:val="0051574B"/>
    <w:rsid w:val="00522329"/>
    <w:rsid w:val="00523D0B"/>
    <w:rsid w:val="00526526"/>
    <w:rsid w:val="0055205A"/>
    <w:rsid w:val="005576CE"/>
    <w:rsid w:val="005660E8"/>
    <w:rsid w:val="00566CE4"/>
    <w:rsid w:val="00567DC5"/>
    <w:rsid w:val="00570968"/>
    <w:rsid w:val="00573279"/>
    <w:rsid w:val="00573442"/>
    <w:rsid w:val="005740AA"/>
    <w:rsid w:val="0058171D"/>
    <w:rsid w:val="00581D96"/>
    <w:rsid w:val="00587622"/>
    <w:rsid w:val="0059045F"/>
    <w:rsid w:val="00591C59"/>
    <w:rsid w:val="005936F7"/>
    <w:rsid w:val="005A0B1D"/>
    <w:rsid w:val="005A3A3A"/>
    <w:rsid w:val="005A3D46"/>
    <w:rsid w:val="005A4358"/>
    <w:rsid w:val="005A45BE"/>
    <w:rsid w:val="005A71C2"/>
    <w:rsid w:val="005B11DB"/>
    <w:rsid w:val="005B1ED7"/>
    <w:rsid w:val="005B6ACB"/>
    <w:rsid w:val="005C696B"/>
    <w:rsid w:val="005D0E2F"/>
    <w:rsid w:val="005D2226"/>
    <w:rsid w:val="005D668D"/>
    <w:rsid w:val="005D77CB"/>
    <w:rsid w:val="005D7A4F"/>
    <w:rsid w:val="005E2F74"/>
    <w:rsid w:val="005E62A2"/>
    <w:rsid w:val="005F009A"/>
    <w:rsid w:val="005F1ABF"/>
    <w:rsid w:val="005F1BEC"/>
    <w:rsid w:val="005F1D48"/>
    <w:rsid w:val="005F2298"/>
    <w:rsid w:val="005F6C92"/>
    <w:rsid w:val="005F72E5"/>
    <w:rsid w:val="00601D14"/>
    <w:rsid w:val="00601E53"/>
    <w:rsid w:val="00603377"/>
    <w:rsid w:val="00603F02"/>
    <w:rsid w:val="006147D1"/>
    <w:rsid w:val="00615CDB"/>
    <w:rsid w:val="00617A5F"/>
    <w:rsid w:val="00621360"/>
    <w:rsid w:val="00624463"/>
    <w:rsid w:val="00632568"/>
    <w:rsid w:val="006329E4"/>
    <w:rsid w:val="00633493"/>
    <w:rsid w:val="0063774F"/>
    <w:rsid w:val="00651ABB"/>
    <w:rsid w:val="00654782"/>
    <w:rsid w:val="006645F9"/>
    <w:rsid w:val="00664DC3"/>
    <w:rsid w:val="0066709E"/>
    <w:rsid w:val="0067754B"/>
    <w:rsid w:val="006858EC"/>
    <w:rsid w:val="00690652"/>
    <w:rsid w:val="00691484"/>
    <w:rsid w:val="0069218E"/>
    <w:rsid w:val="0069252D"/>
    <w:rsid w:val="0069495B"/>
    <w:rsid w:val="006956AF"/>
    <w:rsid w:val="0069586D"/>
    <w:rsid w:val="006A4676"/>
    <w:rsid w:val="006B1822"/>
    <w:rsid w:val="006B25F1"/>
    <w:rsid w:val="006B470E"/>
    <w:rsid w:val="006B79FD"/>
    <w:rsid w:val="006C1182"/>
    <w:rsid w:val="006C3A85"/>
    <w:rsid w:val="006C54BD"/>
    <w:rsid w:val="006D373C"/>
    <w:rsid w:val="006D39B4"/>
    <w:rsid w:val="006D5194"/>
    <w:rsid w:val="006D54A8"/>
    <w:rsid w:val="006E040E"/>
    <w:rsid w:val="006E1AA9"/>
    <w:rsid w:val="006E7206"/>
    <w:rsid w:val="006F22E0"/>
    <w:rsid w:val="00701622"/>
    <w:rsid w:val="007020A6"/>
    <w:rsid w:val="00704A1B"/>
    <w:rsid w:val="00706FB3"/>
    <w:rsid w:val="0071027E"/>
    <w:rsid w:val="00712A10"/>
    <w:rsid w:val="00715101"/>
    <w:rsid w:val="0071528B"/>
    <w:rsid w:val="007458F5"/>
    <w:rsid w:val="0074646A"/>
    <w:rsid w:val="0075082F"/>
    <w:rsid w:val="0075236E"/>
    <w:rsid w:val="00753EFC"/>
    <w:rsid w:val="0075566A"/>
    <w:rsid w:val="007571A4"/>
    <w:rsid w:val="00760005"/>
    <w:rsid w:val="007636DC"/>
    <w:rsid w:val="007644FE"/>
    <w:rsid w:val="007736BC"/>
    <w:rsid w:val="00773738"/>
    <w:rsid w:val="0077779D"/>
    <w:rsid w:val="00780146"/>
    <w:rsid w:val="0078158A"/>
    <w:rsid w:val="00781885"/>
    <w:rsid w:val="00781E31"/>
    <w:rsid w:val="00784DCD"/>
    <w:rsid w:val="00786DF7"/>
    <w:rsid w:val="00787ABC"/>
    <w:rsid w:val="00790B7E"/>
    <w:rsid w:val="0079324F"/>
    <w:rsid w:val="007A07C0"/>
    <w:rsid w:val="007A30DC"/>
    <w:rsid w:val="007A3A14"/>
    <w:rsid w:val="007B09E1"/>
    <w:rsid w:val="007B5E2E"/>
    <w:rsid w:val="007C64C0"/>
    <w:rsid w:val="007D141E"/>
    <w:rsid w:val="007D20A1"/>
    <w:rsid w:val="007D37A0"/>
    <w:rsid w:val="007D3DCC"/>
    <w:rsid w:val="007D3F3C"/>
    <w:rsid w:val="007D538A"/>
    <w:rsid w:val="007D59EF"/>
    <w:rsid w:val="007E2411"/>
    <w:rsid w:val="007E2863"/>
    <w:rsid w:val="007E29B0"/>
    <w:rsid w:val="007E3DB2"/>
    <w:rsid w:val="007E777C"/>
    <w:rsid w:val="007F11FC"/>
    <w:rsid w:val="007F382D"/>
    <w:rsid w:val="007F3EFD"/>
    <w:rsid w:val="007F49E0"/>
    <w:rsid w:val="007F6F7C"/>
    <w:rsid w:val="007F7860"/>
    <w:rsid w:val="00805326"/>
    <w:rsid w:val="00813FBF"/>
    <w:rsid w:val="008219CE"/>
    <w:rsid w:val="00826EB6"/>
    <w:rsid w:val="00827DD4"/>
    <w:rsid w:val="00841159"/>
    <w:rsid w:val="0084214E"/>
    <w:rsid w:val="008446E8"/>
    <w:rsid w:val="00845D8C"/>
    <w:rsid w:val="00855011"/>
    <w:rsid w:val="00855603"/>
    <w:rsid w:val="00855834"/>
    <w:rsid w:val="00855C7F"/>
    <w:rsid w:val="00862842"/>
    <w:rsid w:val="00865DE8"/>
    <w:rsid w:val="008667E6"/>
    <w:rsid w:val="00870262"/>
    <w:rsid w:val="008773B5"/>
    <w:rsid w:val="00880C20"/>
    <w:rsid w:val="00883ABC"/>
    <w:rsid w:val="00884591"/>
    <w:rsid w:val="00892DAC"/>
    <w:rsid w:val="008A17C3"/>
    <w:rsid w:val="008A1AFE"/>
    <w:rsid w:val="008A1B22"/>
    <w:rsid w:val="008A4576"/>
    <w:rsid w:val="008A62BA"/>
    <w:rsid w:val="008A7871"/>
    <w:rsid w:val="008B23C5"/>
    <w:rsid w:val="008B42E5"/>
    <w:rsid w:val="008B48FC"/>
    <w:rsid w:val="008B4C99"/>
    <w:rsid w:val="008C1A57"/>
    <w:rsid w:val="008C48BB"/>
    <w:rsid w:val="008C6131"/>
    <w:rsid w:val="008D1C14"/>
    <w:rsid w:val="008D1E1E"/>
    <w:rsid w:val="008D3016"/>
    <w:rsid w:val="008D779F"/>
    <w:rsid w:val="008D7997"/>
    <w:rsid w:val="008E0305"/>
    <w:rsid w:val="008E0992"/>
    <w:rsid w:val="008E249E"/>
    <w:rsid w:val="008F2C17"/>
    <w:rsid w:val="00912882"/>
    <w:rsid w:val="00924A02"/>
    <w:rsid w:val="009273BB"/>
    <w:rsid w:val="00927BC5"/>
    <w:rsid w:val="00930931"/>
    <w:rsid w:val="00930C0C"/>
    <w:rsid w:val="009354C8"/>
    <w:rsid w:val="00936872"/>
    <w:rsid w:val="00936ACA"/>
    <w:rsid w:val="009444D8"/>
    <w:rsid w:val="009512CF"/>
    <w:rsid w:val="00960F1E"/>
    <w:rsid w:val="0096580A"/>
    <w:rsid w:val="009677D9"/>
    <w:rsid w:val="00970139"/>
    <w:rsid w:val="009859BE"/>
    <w:rsid w:val="009A35B0"/>
    <w:rsid w:val="009A5C36"/>
    <w:rsid w:val="009B360E"/>
    <w:rsid w:val="009B780E"/>
    <w:rsid w:val="009C1591"/>
    <w:rsid w:val="009C26C7"/>
    <w:rsid w:val="009C4A0D"/>
    <w:rsid w:val="009C58A3"/>
    <w:rsid w:val="009C66AB"/>
    <w:rsid w:val="009D291A"/>
    <w:rsid w:val="009E1B78"/>
    <w:rsid w:val="009E1CF3"/>
    <w:rsid w:val="009E3888"/>
    <w:rsid w:val="009F1C43"/>
    <w:rsid w:val="009F2715"/>
    <w:rsid w:val="009F287C"/>
    <w:rsid w:val="009F2D26"/>
    <w:rsid w:val="009F5192"/>
    <w:rsid w:val="009F5305"/>
    <w:rsid w:val="009F5C80"/>
    <w:rsid w:val="009F642C"/>
    <w:rsid w:val="009F7B2F"/>
    <w:rsid w:val="00A00C7F"/>
    <w:rsid w:val="00A02ED4"/>
    <w:rsid w:val="00A0324F"/>
    <w:rsid w:val="00A03312"/>
    <w:rsid w:val="00A068F0"/>
    <w:rsid w:val="00A17916"/>
    <w:rsid w:val="00A30396"/>
    <w:rsid w:val="00A3535F"/>
    <w:rsid w:val="00A4026A"/>
    <w:rsid w:val="00A45759"/>
    <w:rsid w:val="00A46870"/>
    <w:rsid w:val="00A62833"/>
    <w:rsid w:val="00A62B8D"/>
    <w:rsid w:val="00A641F0"/>
    <w:rsid w:val="00A64B91"/>
    <w:rsid w:val="00A6526B"/>
    <w:rsid w:val="00A71F48"/>
    <w:rsid w:val="00A7270E"/>
    <w:rsid w:val="00A73B12"/>
    <w:rsid w:val="00A742E9"/>
    <w:rsid w:val="00A74643"/>
    <w:rsid w:val="00A74B05"/>
    <w:rsid w:val="00A7583F"/>
    <w:rsid w:val="00A83E35"/>
    <w:rsid w:val="00A86E14"/>
    <w:rsid w:val="00A9283C"/>
    <w:rsid w:val="00A94A8F"/>
    <w:rsid w:val="00A96AC0"/>
    <w:rsid w:val="00A970E4"/>
    <w:rsid w:val="00A97344"/>
    <w:rsid w:val="00AA158E"/>
    <w:rsid w:val="00AA4C79"/>
    <w:rsid w:val="00AA5932"/>
    <w:rsid w:val="00AB37E7"/>
    <w:rsid w:val="00AC1A54"/>
    <w:rsid w:val="00AC298E"/>
    <w:rsid w:val="00AC40C1"/>
    <w:rsid w:val="00AC74D0"/>
    <w:rsid w:val="00AD3026"/>
    <w:rsid w:val="00AD5F76"/>
    <w:rsid w:val="00AD6689"/>
    <w:rsid w:val="00AE78E4"/>
    <w:rsid w:val="00AF0577"/>
    <w:rsid w:val="00AF11F9"/>
    <w:rsid w:val="00B014F1"/>
    <w:rsid w:val="00B074D6"/>
    <w:rsid w:val="00B13E8F"/>
    <w:rsid w:val="00B14804"/>
    <w:rsid w:val="00B20D70"/>
    <w:rsid w:val="00B27D7D"/>
    <w:rsid w:val="00B3058C"/>
    <w:rsid w:val="00B3175C"/>
    <w:rsid w:val="00B33F34"/>
    <w:rsid w:val="00B34890"/>
    <w:rsid w:val="00B35E5B"/>
    <w:rsid w:val="00B35F84"/>
    <w:rsid w:val="00B40E0C"/>
    <w:rsid w:val="00B41E21"/>
    <w:rsid w:val="00B4618C"/>
    <w:rsid w:val="00B50330"/>
    <w:rsid w:val="00B509A1"/>
    <w:rsid w:val="00B5133D"/>
    <w:rsid w:val="00B537E9"/>
    <w:rsid w:val="00B5643B"/>
    <w:rsid w:val="00B600E0"/>
    <w:rsid w:val="00B66FC0"/>
    <w:rsid w:val="00B725D4"/>
    <w:rsid w:val="00B76276"/>
    <w:rsid w:val="00B769D8"/>
    <w:rsid w:val="00B8042A"/>
    <w:rsid w:val="00B80F16"/>
    <w:rsid w:val="00B826D4"/>
    <w:rsid w:val="00B8563B"/>
    <w:rsid w:val="00B923A6"/>
    <w:rsid w:val="00B92697"/>
    <w:rsid w:val="00B9684E"/>
    <w:rsid w:val="00BA21A1"/>
    <w:rsid w:val="00BA2DBB"/>
    <w:rsid w:val="00BA4D65"/>
    <w:rsid w:val="00BB24BD"/>
    <w:rsid w:val="00BB46BC"/>
    <w:rsid w:val="00BB72E7"/>
    <w:rsid w:val="00BC1D81"/>
    <w:rsid w:val="00BC585D"/>
    <w:rsid w:val="00BC7896"/>
    <w:rsid w:val="00BD21A0"/>
    <w:rsid w:val="00BD3CE3"/>
    <w:rsid w:val="00BD4456"/>
    <w:rsid w:val="00BD4ECE"/>
    <w:rsid w:val="00BD5BA5"/>
    <w:rsid w:val="00BD5F75"/>
    <w:rsid w:val="00BD7001"/>
    <w:rsid w:val="00BD7D3C"/>
    <w:rsid w:val="00BF0D2D"/>
    <w:rsid w:val="00BF2E6E"/>
    <w:rsid w:val="00BF4186"/>
    <w:rsid w:val="00BF432F"/>
    <w:rsid w:val="00BF5E5F"/>
    <w:rsid w:val="00C02817"/>
    <w:rsid w:val="00C02A94"/>
    <w:rsid w:val="00C1523D"/>
    <w:rsid w:val="00C15935"/>
    <w:rsid w:val="00C21C3B"/>
    <w:rsid w:val="00C22CC7"/>
    <w:rsid w:val="00C22F63"/>
    <w:rsid w:val="00C2750A"/>
    <w:rsid w:val="00C403FD"/>
    <w:rsid w:val="00C41E0F"/>
    <w:rsid w:val="00C42F8A"/>
    <w:rsid w:val="00C45A66"/>
    <w:rsid w:val="00C4785A"/>
    <w:rsid w:val="00C56309"/>
    <w:rsid w:val="00C64597"/>
    <w:rsid w:val="00C71E00"/>
    <w:rsid w:val="00C71E40"/>
    <w:rsid w:val="00C73F0E"/>
    <w:rsid w:val="00C756CC"/>
    <w:rsid w:val="00C82346"/>
    <w:rsid w:val="00C82DB8"/>
    <w:rsid w:val="00C84FD0"/>
    <w:rsid w:val="00C85B91"/>
    <w:rsid w:val="00C94C34"/>
    <w:rsid w:val="00C96086"/>
    <w:rsid w:val="00CA12DE"/>
    <w:rsid w:val="00CA1748"/>
    <w:rsid w:val="00CA34EA"/>
    <w:rsid w:val="00CA3530"/>
    <w:rsid w:val="00CA3800"/>
    <w:rsid w:val="00CA3813"/>
    <w:rsid w:val="00CA4AAC"/>
    <w:rsid w:val="00CB2210"/>
    <w:rsid w:val="00CB6F1A"/>
    <w:rsid w:val="00CC03A3"/>
    <w:rsid w:val="00CC7873"/>
    <w:rsid w:val="00CD1034"/>
    <w:rsid w:val="00CD4D91"/>
    <w:rsid w:val="00CD5009"/>
    <w:rsid w:val="00CD6269"/>
    <w:rsid w:val="00CD6404"/>
    <w:rsid w:val="00CD6E15"/>
    <w:rsid w:val="00CD7569"/>
    <w:rsid w:val="00CE1114"/>
    <w:rsid w:val="00CE1C35"/>
    <w:rsid w:val="00CE1FDE"/>
    <w:rsid w:val="00CE2350"/>
    <w:rsid w:val="00CE2DFE"/>
    <w:rsid w:val="00CE30A7"/>
    <w:rsid w:val="00CF7468"/>
    <w:rsid w:val="00D102B8"/>
    <w:rsid w:val="00D14A9F"/>
    <w:rsid w:val="00D15CF4"/>
    <w:rsid w:val="00D21F6F"/>
    <w:rsid w:val="00D25C3D"/>
    <w:rsid w:val="00D31875"/>
    <w:rsid w:val="00D3316B"/>
    <w:rsid w:val="00D33C54"/>
    <w:rsid w:val="00D45B4D"/>
    <w:rsid w:val="00D45F80"/>
    <w:rsid w:val="00D57A92"/>
    <w:rsid w:val="00D6194C"/>
    <w:rsid w:val="00D71D0B"/>
    <w:rsid w:val="00D725C0"/>
    <w:rsid w:val="00D72D2F"/>
    <w:rsid w:val="00D76270"/>
    <w:rsid w:val="00D81BC2"/>
    <w:rsid w:val="00D82FD8"/>
    <w:rsid w:val="00D83FA0"/>
    <w:rsid w:val="00D964E0"/>
    <w:rsid w:val="00D96913"/>
    <w:rsid w:val="00DA4C94"/>
    <w:rsid w:val="00DA569B"/>
    <w:rsid w:val="00DB6738"/>
    <w:rsid w:val="00DC3838"/>
    <w:rsid w:val="00DC3CF4"/>
    <w:rsid w:val="00DC4380"/>
    <w:rsid w:val="00DC4F9E"/>
    <w:rsid w:val="00DC5E1D"/>
    <w:rsid w:val="00DC5F65"/>
    <w:rsid w:val="00DC71B9"/>
    <w:rsid w:val="00DD0A95"/>
    <w:rsid w:val="00DD1B9B"/>
    <w:rsid w:val="00DD2156"/>
    <w:rsid w:val="00DD338B"/>
    <w:rsid w:val="00DD3514"/>
    <w:rsid w:val="00DE189E"/>
    <w:rsid w:val="00DE2B83"/>
    <w:rsid w:val="00DE360C"/>
    <w:rsid w:val="00DE7C96"/>
    <w:rsid w:val="00DF0144"/>
    <w:rsid w:val="00DF1BF9"/>
    <w:rsid w:val="00DF535A"/>
    <w:rsid w:val="00DF72D2"/>
    <w:rsid w:val="00DF781E"/>
    <w:rsid w:val="00E03E4B"/>
    <w:rsid w:val="00E06F63"/>
    <w:rsid w:val="00E07747"/>
    <w:rsid w:val="00E0774D"/>
    <w:rsid w:val="00E10B85"/>
    <w:rsid w:val="00E137BD"/>
    <w:rsid w:val="00E14C63"/>
    <w:rsid w:val="00E17565"/>
    <w:rsid w:val="00E1791A"/>
    <w:rsid w:val="00E20B13"/>
    <w:rsid w:val="00E21B8E"/>
    <w:rsid w:val="00E2276F"/>
    <w:rsid w:val="00E24AF6"/>
    <w:rsid w:val="00E258E2"/>
    <w:rsid w:val="00E259B4"/>
    <w:rsid w:val="00E25CF7"/>
    <w:rsid w:val="00E2601F"/>
    <w:rsid w:val="00E26957"/>
    <w:rsid w:val="00E27A03"/>
    <w:rsid w:val="00E329B5"/>
    <w:rsid w:val="00E3497F"/>
    <w:rsid w:val="00E352E5"/>
    <w:rsid w:val="00E35A93"/>
    <w:rsid w:val="00E414B7"/>
    <w:rsid w:val="00E61009"/>
    <w:rsid w:val="00E61884"/>
    <w:rsid w:val="00E62122"/>
    <w:rsid w:val="00E649E2"/>
    <w:rsid w:val="00E671B3"/>
    <w:rsid w:val="00E70052"/>
    <w:rsid w:val="00E71C61"/>
    <w:rsid w:val="00E72EAB"/>
    <w:rsid w:val="00E73780"/>
    <w:rsid w:val="00E74AE1"/>
    <w:rsid w:val="00E77481"/>
    <w:rsid w:val="00E80D19"/>
    <w:rsid w:val="00E8209F"/>
    <w:rsid w:val="00E831A1"/>
    <w:rsid w:val="00E86ED2"/>
    <w:rsid w:val="00E941A4"/>
    <w:rsid w:val="00EA14AD"/>
    <w:rsid w:val="00EA206B"/>
    <w:rsid w:val="00EA67F3"/>
    <w:rsid w:val="00EB1440"/>
    <w:rsid w:val="00EB2335"/>
    <w:rsid w:val="00EB6224"/>
    <w:rsid w:val="00EB6857"/>
    <w:rsid w:val="00EB6F3A"/>
    <w:rsid w:val="00ED1F1D"/>
    <w:rsid w:val="00ED4FF9"/>
    <w:rsid w:val="00EE18D7"/>
    <w:rsid w:val="00EE35AC"/>
    <w:rsid w:val="00EE47F5"/>
    <w:rsid w:val="00EF13C5"/>
    <w:rsid w:val="00EF6E2F"/>
    <w:rsid w:val="00F015E0"/>
    <w:rsid w:val="00F02AE8"/>
    <w:rsid w:val="00F13AE3"/>
    <w:rsid w:val="00F147B3"/>
    <w:rsid w:val="00F2130F"/>
    <w:rsid w:val="00F22D67"/>
    <w:rsid w:val="00F252AD"/>
    <w:rsid w:val="00F26B91"/>
    <w:rsid w:val="00F30E2D"/>
    <w:rsid w:val="00F333E4"/>
    <w:rsid w:val="00F34334"/>
    <w:rsid w:val="00F37106"/>
    <w:rsid w:val="00F37263"/>
    <w:rsid w:val="00F37FE7"/>
    <w:rsid w:val="00F40680"/>
    <w:rsid w:val="00F418E1"/>
    <w:rsid w:val="00F41F1B"/>
    <w:rsid w:val="00F41F56"/>
    <w:rsid w:val="00F47D0A"/>
    <w:rsid w:val="00F55592"/>
    <w:rsid w:val="00F55862"/>
    <w:rsid w:val="00F56967"/>
    <w:rsid w:val="00F56BA2"/>
    <w:rsid w:val="00F61D28"/>
    <w:rsid w:val="00F711C5"/>
    <w:rsid w:val="00F73B80"/>
    <w:rsid w:val="00F75101"/>
    <w:rsid w:val="00F824F3"/>
    <w:rsid w:val="00F826D0"/>
    <w:rsid w:val="00F8396A"/>
    <w:rsid w:val="00F8471E"/>
    <w:rsid w:val="00F9370E"/>
    <w:rsid w:val="00F94150"/>
    <w:rsid w:val="00F956E7"/>
    <w:rsid w:val="00F96A55"/>
    <w:rsid w:val="00F97E84"/>
    <w:rsid w:val="00FA13A1"/>
    <w:rsid w:val="00FA7FE6"/>
    <w:rsid w:val="00FB022A"/>
    <w:rsid w:val="00FB27F1"/>
    <w:rsid w:val="00FB409C"/>
    <w:rsid w:val="00FB429B"/>
    <w:rsid w:val="00FB5DF1"/>
    <w:rsid w:val="00FC18B9"/>
    <w:rsid w:val="00FD0E2A"/>
    <w:rsid w:val="00FD44F3"/>
    <w:rsid w:val="00FD696F"/>
    <w:rsid w:val="00FD70DF"/>
    <w:rsid w:val="00FD7BF3"/>
    <w:rsid w:val="00FF3A4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4B6256"/>
  <w15:chartTrackingRefBased/>
  <w15:docId w15:val="{10C6C754-C7F6-4170-A0A1-3EC56AD0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8"/>
    <w:lsdException w:name="footer" w:uiPriority="98"/>
    <w:lsdException w:name="caption" w:semiHidden="1" w:unhideWhenUsed="1" w:qFormat="1"/>
    <w:lsdException w:name="footnote reference" w:uiPriority="99"/>
    <w:lsdException w:name="List Bullet 4" w:uiPriority="98"/>
    <w:lsdException w:name="List Bullet 5" w:uiPriority="98"/>
    <w:lsdException w:name="Title" w:qFormat="1"/>
    <w:lsdException w:name="Subtitle" w:qFormat="1"/>
    <w:lsdException w:name="Strong" w:qFormat="1"/>
    <w:lsdException w:name="Emphasis" w:qFormat="1"/>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link w:val="Titre1Car"/>
    <w:qFormat/>
    <w:rsid w:val="002F7C3F"/>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nhideWhenUsed/>
    <w:qFormat/>
    <w:rsid w:val="002F7C3F"/>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semiHidden/>
    <w:unhideWhenUsed/>
    <w:qFormat/>
    <w:rsid w:val="002F7C3F"/>
    <w:pPr>
      <w:keepNext/>
      <w:spacing w:before="240" w:after="60"/>
      <w:outlineLvl w:val="2"/>
    </w:pPr>
    <w:rPr>
      <w:rFonts w:ascii="Calibri Light" w:hAnsi="Calibri Light"/>
      <w:b/>
      <w:bCs/>
      <w:sz w:val="26"/>
      <w:szCs w:val="26"/>
    </w:rPr>
  </w:style>
  <w:style w:type="paragraph" w:styleId="Titre4">
    <w:name w:val="heading 4"/>
    <w:basedOn w:val="Normal"/>
    <w:next w:val="Normal"/>
    <w:link w:val="Titre4Car"/>
    <w:semiHidden/>
    <w:unhideWhenUsed/>
    <w:qFormat/>
    <w:rsid w:val="002F7C3F"/>
    <w:pPr>
      <w:keepNext/>
      <w:spacing w:before="240" w:after="60"/>
      <w:outlineLvl w:val="3"/>
    </w:pPr>
    <w:rPr>
      <w:rFonts w:ascii="Calibri" w:hAnsi="Calibri"/>
      <w:b/>
      <w:bCs/>
      <w:sz w:val="28"/>
      <w:szCs w:val="28"/>
    </w:rPr>
  </w:style>
  <w:style w:type="paragraph" w:styleId="Titre5">
    <w:name w:val="heading 5"/>
    <w:basedOn w:val="Normal"/>
    <w:next w:val="Normal"/>
    <w:link w:val="Titre5Car"/>
    <w:semiHidden/>
    <w:unhideWhenUsed/>
    <w:qFormat/>
    <w:rsid w:val="002F7C3F"/>
    <w:pPr>
      <w:spacing w:before="240" w:after="60"/>
      <w:outlineLvl w:val="4"/>
    </w:pPr>
    <w:rPr>
      <w:rFonts w:ascii="Calibri" w:hAnsi="Calibri"/>
      <w:b/>
      <w:bCs/>
      <w:i/>
      <w:iCs/>
      <w:sz w:val="26"/>
      <w:szCs w:val="26"/>
    </w:rPr>
  </w:style>
  <w:style w:type="paragraph" w:styleId="Titre6">
    <w:name w:val="heading 6"/>
    <w:basedOn w:val="Normal"/>
    <w:next w:val="Normal"/>
    <w:link w:val="Titre6Car"/>
    <w:semiHidden/>
    <w:unhideWhenUsed/>
    <w:qFormat/>
    <w:rsid w:val="002F7C3F"/>
    <w:pPr>
      <w:spacing w:before="240" w:after="60"/>
      <w:outlineLvl w:val="5"/>
    </w:pPr>
    <w:rPr>
      <w:rFonts w:ascii="Calibri" w:hAnsi="Calibri"/>
      <w:b/>
      <w:bCs/>
      <w:sz w:val="22"/>
      <w:szCs w:val="22"/>
    </w:rPr>
  </w:style>
  <w:style w:type="paragraph" w:styleId="Titre7">
    <w:name w:val="heading 7"/>
    <w:basedOn w:val="Normal"/>
    <w:next w:val="Normal"/>
    <w:link w:val="Titre7Car"/>
    <w:semiHidden/>
    <w:unhideWhenUsed/>
    <w:qFormat/>
    <w:rsid w:val="002F7C3F"/>
    <w:pPr>
      <w:spacing w:before="240" w:after="60"/>
      <w:outlineLvl w:val="6"/>
    </w:pPr>
    <w:rPr>
      <w:rFonts w:ascii="Calibri" w:hAnsi="Calibri"/>
    </w:rPr>
  </w:style>
  <w:style w:type="paragraph" w:styleId="Titre8">
    <w:name w:val="heading 8"/>
    <w:basedOn w:val="Normal"/>
    <w:next w:val="Normal"/>
    <w:link w:val="Titre8Car"/>
    <w:semiHidden/>
    <w:unhideWhenUsed/>
    <w:qFormat/>
    <w:rsid w:val="002F7C3F"/>
    <w:pPr>
      <w:spacing w:before="240" w:after="60"/>
      <w:outlineLvl w:val="7"/>
    </w:pPr>
    <w:rPr>
      <w:rFonts w:ascii="Calibri" w:hAnsi="Calibri"/>
      <w:i/>
      <w:iCs/>
    </w:rPr>
  </w:style>
  <w:style w:type="paragraph" w:styleId="Titre9">
    <w:name w:val="heading 9"/>
    <w:basedOn w:val="Normal"/>
    <w:next w:val="Normal"/>
    <w:link w:val="Titre9Car"/>
    <w:semiHidden/>
    <w:unhideWhenUsed/>
    <w:qFormat/>
    <w:rsid w:val="002F7C3F"/>
    <w:p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06F63"/>
    <w:pPr>
      <w:spacing w:line="360" w:lineRule="auto"/>
      <w:ind w:firstLine="284"/>
    </w:pPr>
    <w:rPr>
      <w:szCs w:val="20"/>
    </w:rPr>
  </w:style>
  <w:style w:type="paragraph" w:styleId="En-tte">
    <w:name w:val="header"/>
    <w:basedOn w:val="Normal"/>
    <w:link w:val="En-tteCar"/>
    <w:uiPriority w:val="98"/>
    <w:rsid w:val="00CA3530"/>
    <w:pPr>
      <w:tabs>
        <w:tab w:val="center" w:pos="4536"/>
        <w:tab w:val="right" w:pos="9072"/>
      </w:tabs>
    </w:pPr>
  </w:style>
  <w:style w:type="character" w:styleId="Numrodepage">
    <w:name w:val="page number"/>
    <w:basedOn w:val="Policepardfaut"/>
    <w:rsid w:val="00CA3530"/>
  </w:style>
  <w:style w:type="paragraph" w:customStyle="1" w:styleId="Numro">
    <w:name w:val="Numéro"/>
    <w:basedOn w:val="Normal"/>
    <w:next w:val="Normal"/>
    <w:autoRedefine/>
    <w:rsid w:val="00884591"/>
    <w:pPr>
      <w:numPr>
        <w:numId w:val="3"/>
      </w:numPr>
      <w:overflowPunct w:val="0"/>
      <w:autoSpaceDE w:val="0"/>
      <w:autoSpaceDN w:val="0"/>
      <w:adjustRightInd w:val="0"/>
      <w:spacing w:line="360" w:lineRule="auto"/>
      <w:jc w:val="both"/>
      <w:textAlignment w:val="baseline"/>
    </w:pPr>
    <w:rPr>
      <w:szCs w:val="20"/>
    </w:rPr>
  </w:style>
  <w:style w:type="paragraph" w:styleId="PrformatHTML">
    <w:name w:val="HTML Preformatted"/>
    <w:basedOn w:val="Normal"/>
    <w:rsid w:val="00D83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tedebasdepage">
    <w:name w:val="footnote text"/>
    <w:aliases w:val="Note de bas de page Car Car"/>
    <w:basedOn w:val="Normal"/>
    <w:link w:val="NotedebasdepageCar"/>
    <w:uiPriority w:val="99"/>
    <w:rsid w:val="00D83FA0"/>
    <w:rPr>
      <w:sz w:val="20"/>
      <w:szCs w:val="20"/>
    </w:rPr>
  </w:style>
  <w:style w:type="character" w:styleId="Appelnotedebasdep">
    <w:name w:val="footnote reference"/>
    <w:aliases w:val="Footnotes refss Car Car,Appel note de bas de p Car Car,Footnotes refss Car Char Char Char Car Car,callout Car Char Char Char Car Car,Footnotes refss,Appel note de bas de p,Footnotes refss Car Char Char Char,callout"/>
    <w:uiPriority w:val="99"/>
    <w:rsid w:val="00D83FA0"/>
    <w:rPr>
      <w:vertAlign w:val="superscript"/>
    </w:rPr>
  </w:style>
  <w:style w:type="paragraph" w:customStyle="1" w:styleId="cmsh3">
    <w:name w:val="cmsh3"/>
    <w:basedOn w:val="Normal"/>
    <w:rsid w:val="00855603"/>
    <w:pPr>
      <w:spacing w:before="100" w:beforeAutospacing="1" w:after="100" w:afterAutospacing="1"/>
    </w:pPr>
  </w:style>
  <w:style w:type="paragraph" w:customStyle="1" w:styleId="cmstext">
    <w:name w:val="cmstext"/>
    <w:basedOn w:val="Normal"/>
    <w:rsid w:val="00855603"/>
    <w:pPr>
      <w:spacing w:before="100" w:beforeAutospacing="1" w:after="100" w:afterAutospacing="1"/>
    </w:pPr>
  </w:style>
  <w:style w:type="character" w:customStyle="1" w:styleId="NotedebasdepageCar">
    <w:name w:val="Note de bas de page Car"/>
    <w:aliases w:val="Note de bas de page Car Car Car"/>
    <w:basedOn w:val="Policepardfaut"/>
    <w:link w:val="Notedebasdepage"/>
    <w:uiPriority w:val="99"/>
    <w:rsid w:val="00EA14AD"/>
  </w:style>
  <w:style w:type="paragraph" w:customStyle="1" w:styleId="JuPara">
    <w:name w:val="Ju_Para"/>
    <w:aliases w:val="_Para,ECHR_Para,Para,Left,First line:  0 cm,Normal + TimesNewRomanPSMT,10 pt,Left:  1,27 cm,Line spacing:  1.5 l..."/>
    <w:basedOn w:val="Normal"/>
    <w:link w:val="JuParaCar"/>
    <w:uiPriority w:val="4"/>
    <w:qFormat/>
    <w:rsid w:val="00A068F0"/>
    <w:pPr>
      <w:suppressAutoHyphens/>
      <w:ind w:firstLine="284"/>
      <w:jc w:val="both"/>
    </w:pPr>
    <w:rPr>
      <w:szCs w:val="20"/>
      <w:lang w:eastAsia="ar-SA"/>
    </w:rPr>
  </w:style>
  <w:style w:type="paragraph" w:styleId="NormalWeb">
    <w:name w:val="Normal (Web)"/>
    <w:basedOn w:val="Normal"/>
    <w:rsid w:val="00E17565"/>
  </w:style>
  <w:style w:type="character" w:customStyle="1" w:styleId="clearfix">
    <w:name w:val="clearfix"/>
    <w:rsid w:val="00C71E40"/>
  </w:style>
  <w:style w:type="character" w:styleId="Marquedecommentaire">
    <w:name w:val="annotation reference"/>
    <w:rsid w:val="00C71E40"/>
    <w:rPr>
      <w:sz w:val="16"/>
      <w:szCs w:val="16"/>
    </w:rPr>
  </w:style>
  <w:style w:type="paragraph" w:styleId="Commentaire">
    <w:name w:val="annotation text"/>
    <w:basedOn w:val="Normal"/>
    <w:link w:val="CommentaireCar"/>
    <w:rsid w:val="00C71E40"/>
    <w:rPr>
      <w:sz w:val="20"/>
      <w:szCs w:val="20"/>
    </w:rPr>
  </w:style>
  <w:style w:type="character" w:customStyle="1" w:styleId="CommentaireCar">
    <w:name w:val="Commentaire Car"/>
    <w:basedOn w:val="Policepardfaut"/>
    <w:link w:val="Commentaire"/>
    <w:rsid w:val="00C71E40"/>
  </w:style>
  <w:style w:type="paragraph" w:styleId="Objetducommentaire">
    <w:name w:val="annotation subject"/>
    <w:basedOn w:val="Commentaire"/>
    <w:next w:val="Commentaire"/>
    <w:link w:val="ObjetducommentaireCar"/>
    <w:rsid w:val="00C71E40"/>
    <w:rPr>
      <w:b/>
      <w:bCs/>
    </w:rPr>
  </w:style>
  <w:style w:type="character" w:customStyle="1" w:styleId="ObjetducommentaireCar">
    <w:name w:val="Objet du commentaire Car"/>
    <w:link w:val="Objetducommentaire"/>
    <w:rsid w:val="00C71E40"/>
    <w:rPr>
      <w:b/>
      <w:bCs/>
    </w:rPr>
  </w:style>
  <w:style w:type="paragraph" w:styleId="Textedebulles">
    <w:name w:val="Balloon Text"/>
    <w:basedOn w:val="Normal"/>
    <w:link w:val="TextedebullesCar"/>
    <w:rsid w:val="00C71E40"/>
    <w:rPr>
      <w:rFonts w:ascii="Segoe UI" w:hAnsi="Segoe UI" w:cs="Segoe UI"/>
      <w:sz w:val="18"/>
      <w:szCs w:val="18"/>
    </w:rPr>
  </w:style>
  <w:style w:type="character" w:customStyle="1" w:styleId="TextedebullesCar">
    <w:name w:val="Texte de bulles Car"/>
    <w:link w:val="Textedebulles"/>
    <w:rsid w:val="00C71E40"/>
    <w:rPr>
      <w:rFonts w:ascii="Segoe UI" w:hAnsi="Segoe UI" w:cs="Segoe UI"/>
      <w:sz w:val="18"/>
      <w:szCs w:val="18"/>
    </w:rPr>
  </w:style>
  <w:style w:type="character" w:customStyle="1" w:styleId="JuParaCar">
    <w:name w:val="Ju_Para Car"/>
    <w:link w:val="JuPara"/>
    <w:uiPriority w:val="4"/>
    <w:locked/>
    <w:rsid w:val="002F7C3F"/>
    <w:rPr>
      <w:sz w:val="24"/>
      <w:lang w:eastAsia="ar-SA"/>
    </w:rPr>
  </w:style>
  <w:style w:type="paragraph" w:customStyle="1" w:styleId="JuHHead">
    <w:name w:val="Ju_H_Head"/>
    <w:aliases w:val="_Head_1,ECHR_Title_1,_Title_L_1"/>
    <w:basedOn w:val="Titre1"/>
    <w:next w:val="Normal"/>
    <w:uiPriority w:val="17"/>
    <w:qFormat/>
    <w:rsid w:val="002F7C3F"/>
    <w:pPr>
      <w:keepLines/>
      <w:numPr>
        <w:numId w:val="9"/>
      </w:numPr>
      <w:tabs>
        <w:tab w:val="num" w:pos="360"/>
      </w:tabs>
      <w:spacing w:before="100" w:beforeAutospacing="1" w:after="240"/>
    </w:pPr>
    <w:rPr>
      <w:rFonts w:ascii="Times New Roman" w:hAnsi="Times New Roman"/>
      <w:b w:val="0"/>
      <w:caps/>
      <w:kern w:val="0"/>
      <w:sz w:val="28"/>
      <w:szCs w:val="28"/>
      <w:lang w:val="en-GB" w:eastAsia="en-US"/>
    </w:rPr>
  </w:style>
  <w:style w:type="paragraph" w:customStyle="1" w:styleId="JuHIRoman">
    <w:name w:val="Ju_H_I_Roman"/>
    <w:aliases w:val="_Head_2,ECHR_Heading_1"/>
    <w:basedOn w:val="Titre2"/>
    <w:next w:val="Normal"/>
    <w:uiPriority w:val="17"/>
    <w:qFormat/>
    <w:rsid w:val="002F7C3F"/>
    <w:pPr>
      <w:keepLines/>
      <w:numPr>
        <w:ilvl w:val="1"/>
        <w:numId w:val="9"/>
      </w:numPr>
      <w:tabs>
        <w:tab w:val="num" w:pos="360"/>
        <w:tab w:val="num" w:pos="1440"/>
      </w:tabs>
      <w:spacing w:before="100" w:beforeAutospacing="1" w:after="240"/>
      <w:ind w:left="0" w:firstLine="0"/>
    </w:pPr>
    <w:rPr>
      <w:rFonts w:ascii="Times New Roman" w:hAnsi="Times New Roman"/>
      <w:b w:val="0"/>
      <w:i w:val="0"/>
      <w:iCs w:val="0"/>
      <w:caps/>
      <w:sz w:val="24"/>
      <w:szCs w:val="26"/>
      <w:lang w:val="en-GB" w:eastAsia="en-US"/>
    </w:rPr>
  </w:style>
  <w:style w:type="paragraph" w:customStyle="1" w:styleId="JuHA">
    <w:name w:val="Ju_H_A"/>
    <w:aliases w:val="_Head_3,ECHR_Heading_2,Head_2"/>
    <w:basedOn w:val="Titre3"/>
    <w:next w:val="Normal"/>
    <w:uiPriority w:val="17"/>
    <w:qFormat/>
    <w:rsid w:val="002F7C3F"/>
    <w:pPr>
      <w:keepLines/>
      <w:numPr>
        <w:ilvl w:val="2"/>
        <w:numId w:val="9"/>
      </w:numPr>
      <w:tabs>
        <w:tab w:val="num" w:pos="360"/>
        <w:tab w:val="num" w:pos="2160"/>
      </w:tabs>
      <w:spacing w:before="100" w:beforeAutospacing="1" w:after="240"/>
      <w:ind w:left="0" w:firstLine="0"/>
    </w:pPr>
    <w:rPr>
      <w:rFonts w:ascii="Times New Roman" w:hAnsi="Times New Roman"/>
      <w:sz w:val="24"/>
      <w:szCs w:val="22"/>
      <w:lang w:val="en-GB" w:eastAsia="en-US"/>
    </w:rPr>
  </w:style>
  <w:style w:type="paragraph" w:customStyle="1" w:styleId="JuH1">
    <w:name w:val="Ju_H_1."/>
    <w:aliases w:val="_Head_4,ECHR_Heading_3"/>
    <w:basedOn w:val="Titre4"/>
    <w:next w:val="Normal"/>
    <w:uiPriority w:val="17"/>
    <w:qFormat/>
    <w:rsid w:val="002F7C3F"/>
    <w:pPr>
      <w:keepLines/>
      <w:numPr>
        <w:ilvl w:val="3"/>
        <w:numId w:val="9"/>
      </w:numPr>
      <w:tabs>
        <w:tab w:val="num" w:pos="360"/>
        <w:tab w:val="num" w:pos="2880"/>
      </w:tabs>
      <w:spacing w:before="100" w:beforeAutospacing="1" w:after="120"/>
      <w:ind w:left="0" w:firstLine="0"/>
    </w:pPr>
    <w:rPr>
      <w:rFonts w:ascii="Times New Roman" w:hAnsi="Times New Roman"/>
      <w:b w:val="0"/>
      <w:i/>
      <w:iCs/>
      <w:sz w:val="24"/>
      <w:szCs w:val="22"/>
      <w:lang w:val="en-GB" w:eastAsia="en-US"/>
    </w:rPr>
  </w:style>
  <w:style w:type="paragraph" w:customStyle="1" w:styleId="JuHa0">
    <w:name w:val="Ju_H_a"/>
    <w:aliases w:val="_Head_5,ECHR_Heading_4"/>
    <w:basedOn w:val="Titre5"/>
    <w:next w:val="Normal"/>
    <w:uiPriority w:val="17"/>
    <w:qFormat/>
    <w:rsid w:val="002F7C3F"/>
    <w:pPr>
      <w:keepNext/>
      <w:keepLines/>
      <w:numPr>
        <w:ilvl w:val="4"/>
        <w:numId w:val="9"/>
      </w:numPr>
      <w:tabs>
        <w:tab w:val="num" w:pos="360"/>
        <w:tab w:val="num" w:pos="3600"/>
      </w:tabs>
      <w:spacing w:before="100" w:beforeAutospacing="1" w:after="120"/>
      <w:ind w:left="0" w:firstLine="0"/>
    </w:pPr>
    <w:rPr>
      <w:rFonts w:ascii="Times New Roman" w:hAnsi="Times New Roman"/>
      <w:i w:val="0"/>
      <w:iCs w:val="0"/>
      <w:sz w:val="20"/>
      <w:szCs w:val="22"/>
      <w:lang w:val="en-GB" w:eastAsia="en-US"/>
    </w:rPr>
  </w:style>
  <w:style w:type="paragraph" w:customStyle="1" w:styleId="JuHi">
    <w:name w:val="Ju_H_i"/>
    <w:aliases w:val="_Head_6,ECHR_Heading_5"/>
    <w:basedOn w:val="Titre6"/>
    <w:next w:val="Normal"/>
    <w:uiPriority w:val="17"/>
    <w:qFormat/>
    <w:rsid w:val="002F7C3F"/>
    <w:pPr>
      <w:keepNext/>
      <w:keepLines/>
      <w:numPr>
        <w:ilvl w:val="5"/>
        <w:numId w:val="9"/>
      </w:numPr>
      <w:tabs>
        <w:tab w:val="num" w:pos="360"/>
        <w:tab w:val="num" w:pos="4320"/>
      </w:tabs>
      <w:spacing w:before="100" w:beforeAutospacing="1" w:after="120" w:line="268" w:lineRule="auto"/>
      <w:ind w:left="0" w:firstLine="0"/>
    </w:pPr>
    <w:rPr>
      <w:rFonts w:ascii="Times New Roman" w:hAnsi="Times New Roman"/>
      <w:b w:val="0"/>
      <w:i/>
      <w:iCs/>
      <w:sz w:val="20"/>
      <w:lang w:val="en-GB" w:eastAsia="en-US"/>
    </w:rPr>
  </w:style>
  <w:style w:type="paragraph" w:customStyle="1" w:styleId="JuHalpha">
    <w:name w:val="Ju_H_alpha"/>
    <w:aliases w:val="_Head_7,ECHR_Heading_6"/>
    <w:basedOn w:val="Titre7"/>
    <w:next w:val="Normal"/>
    <w:uiPriority w:val="17"/>
    <w:qFormat/>
    <w:rsid w:val="002F7C3F"/>
    <w:pPr>
      <w:keepNext/>
      <w:keepLines/>
      <w:numPr>
        <w:ilvl w:val="6"/>
        <w:numId w:val="9"/>
      </w:numPr>
      <w:tabs>
        <w:tab w:val="num" w:pos="360"/>
        <w:tab w:val="num" w:pos="5040"/>
      </w:tabs>
      <w:spacing w:before="100" w:beforeAutospacing="1" w:after="120"/>
      <w:ind w:left="0" w:firstLine="0"/>
    </w:pPr>
    <w:rPr>
      <w:rFonts w:ascii="Times New Roman" w:hAnsi="Times New Roman"/>
      <w:iCs/>
      <w:sz w:val="20"/>
      <w:szCs w:val="22"/>
      <w:lang w:val="en-GB" w:eastAsia="en-US" w:bidi="en-US"/>
    </w:rPr>
  </w:style>
  <w:style w:type="paragraph" w:customStyle="1" w:styleId="JuH">
    <w:name w:val="Ju_H_–"/>
    <w:aliases w:val="_Head_8,ECHR_Heading_7"/>
    <w:basedOn w:val="Titre8"/>
    <w:next w:val="Normal"/>
    <w:uiPriority w:val="17"/>
    <w:qFormat/>
    <w:rsid w:val="002F7C3F"/>
    <w:pPr>
      <w:keepNext/>
      <w:keepLines/>
      <w:numPr>
        <w:ilvl w:val="7"/>
        <w:numId w:val="9"/>
      </w:numPr>
      <w:tabs>
        <w:tab w:val="num" w:pos="360"/>
        <w:tab w:val="num" w:pos="5760"/>
      </w:tabs>
      <w:spacing w:before="100" w:beforeAutospacing="1" w:after="120"/>
      <w:ind w:left="0" w:firstLine="0"/>
    </w:pPr>
    <w:rPr>
      <w:rFonts w:ascii="Times New Roman" w:hAnsi="Times New Roman"/>
      <w:iCs w:val="0"/>
      <w:sz w:val="20"/>
      <w:szCs w:val="20"/>
      <w:lang w:val="en-GB" w:eastAsia="en-US"/>
    </w:rPr>
  </w:style>
  <w:style w:type="paragraph" w:customStyle="1" w:styleId="ECHRHeading9">
    <w:name w:val="ECHR_Heading_9"/>
    <w:aliases w:val="_Head_9"/>
    <w:basedOn w:val="Titre9"/>
    <w:uiPriority w:val="17"/>
    <w:semiHidden/>
    <w:rsid w:val="002F7C3F"/>
    <w:pPr>
      <w:keepNext/>
      <w:keepLines/>
      <w:numPr>
        <w:ilvl w:val="8"/>
        <w:numId w:val="9"/>
      </w:numPr>
      <w:tabs>
        <w:tab w:val="num" w:pos="360"/>
        <w:tab w:val="num" w:pos="6480"/>
      </w:tabs>
      <w:spacing w:before="100" w:beforeAutospacing="1" w:after="0"/>
      <w:ind w:left="0" w:firstLine="0"/>
      <w:contextualSpacing/>
    </w:pPr>
    <w:rPr>
      <w:rFonts w:ascii="Times New Roman" w:hAnsi="Times New Roman"/>
      <w:iCs/>
      <w:spacing w:val="5"/>
      <w:sz w:val="18"/>
      <w:szCs w:val="20"/>
      <w:lang w:val="en-GB" w:eastAsia="en-US" w:bidi="en-US"/>
    </w:rPr>
  </w:style>
  <w:style w:type="character" w:customStyle="1" w:styleId="Titre1Car">
    <w:name w:val="Titre 1 Car"/>
    <w:link w:val="Titre1"/>
    <w:rsid w:val="002F7C3F"/>
    <w:rPr>
      <w:rFonts w:ascii="Calibri Light" w:eastAsia="Times New Roman" w:hAnsi="Calibri Light" w:cs="Times New Roman"/>
      <w:b/>
      <w:bCs/>
      <w:kern w:val="32"/>
      <w:sz w:val="32"/>
      <w:szCs w:val="32"/>
    </w:rPr>
  </w:style>
  <w:style w:type="character" w:customStyle="1" w:styleId="Titre2Car">
    <w:name w:val="Titre 2 Car"/>
    <w:link w:val="Titre2"/>
    <w:rsid w:val="002F7C3F"/>
    <w:rPr>
      <w:rFonts w:ascii="Calibri Light" w:eastAsia="Times New Roman" w:hAnsi="Calibri Light" w:cs="Times New Roman"/>
      <w:b/>
      <w:bCs/>
      <w:i/>
      <w:iCs/>
      <w:sz w:val="28"/>
      <w:szCs w:val="28"/>
    </w:rPr>
  </w:style>
  <w:style w:type="character" w:customStyle="1" w:styleId="Titre3Car">
    <w:name w:val="Titre 3 Car"/>
    <w:link w:val="Titre3"/>
    <w:semiHidden/>
    <w:rsid w:val="002F7C3F"/>
    <w:rPr>
      <w:rFonts w:ascii="Calibri Light" w:eastAsia="Times New Roman" w:hAnsi="Calibri Light" w:cs="Times New Roman"/>
      <w:b/>
      <w:bCs/>
      <w:sz w:val="26"/>
      <w:szCs w:val="26"/>
    </w:rPr>
  </w:style>
  <w:style w:type="character" w:customStyle="1" w:styleId="Titre4Car">
    <w:name w:val="Titre 4 Car"/>
    <w:link w:val="Titre4"/>
    <w:semiHidden/>
    <w:rsid w:val="002F7C3F"/>
    <w:rPr>
      <w:rFonts w:ascii="Calibri" w:eastAsia="Times New Roman" w:hAnsi="Calibri" w:cs="Times New Roman"/>
      <w:b/>
      <w:bCs/>
      <w:sz w:val="28"/>
      <w:szCs w:val="28"/>
    </w:rPr>
  </w:style>
  <w:style w:type="character" w:customStyle="1" w:styleId="Titre5Car">
    <w:name w:val="Titre 5 Car"/>
    <w:link w:val="Titre5"/>
    <w:semiHidden/>
    <w:rsid w:val="002F7C3F"/>
    <w:rPr>
      <w:rFonts w:ascii="Calibri" w:eastAsia="Times New Roman" w:hAnsi="Calibri" w:cs="Times New Roman"/>
      <w:b/>
      <w:bCs/>
      <w:i/>
      <w:iCs/>
      <w:sz w:val="26"/>
      <w:szCs w:val="26"/>
    </w:rPr>
  </w:style>
  <w:style w:type="character" w:customStyle="1" w:styleId="Titre6Car">
    <w:name w:val="Titre 6 Car"/>
    <w:link w:val="Titre6"/>
    <w:semiHidden/>
    <w:rsid w:val="002F7C3F"/>
    <w:rPr>
      <w:rFonts w:ascii="Calibri" w:eastAsia="Times New Roman" w:hAnsi="Calibri" w:cs="Times New Roman"/>
      <w:b/>
      <w:bCs/>
      <w:sz w:val="22"/>
      <w:szCs w:val="22"/>
    </w:rPr>
  </w:style>
  <w:style w:type="character" w:customStyle="1" w:styleId="Titre7Car">
    <w:name w:val="Titre 7 Car"/>
    <w:link w:val="Titre7"/>
    <w:semiHidden/>
    <w:rsid w:val="002F7C3F"/>
    <w:rPr>
      <w:rFonts w:ascii="Calibri" w:eastAsia="Times New Roman" w:hAnsi="Calibri" w:cs="Times New Roman"/>
      <w:sz w:val="24"/>
      <w:szCs w:val="24"/>
    </w:rPr>
  </w:style>
  <w:style w:type="character" w:customStyle="1" w:styleId="Titre8Car">
    <w:name w:val="Titre 8 Car"/>
    <w:link w:val="Titre8"/>
    <w:semiHidden/>
    <w:rsid w:val="002F7C3F"/>
    <w:rPr>
      <w:rFonts w:ascii="Calibri" w:eastAsia="Times New Roman" w:hAnsi="Calibri" w:cs="Times New Roman"/>
      <w:i/>
      <w:iCs/>
      <w:sz w:val="24"/>
      <w:szCs w:val="24"/>
    </w:rPr>
  </w:style>
  <w:style w:type="character" w:customStyle="1" w:styleId="Titre9Car">
    <w:name w:val="Titre 9 Car"/>
    <w:link w:val="Titre9"/>
    <w:semiHidden/>
    <w:rsid w:val="002F7C3F"/>
    <w:rPr>
      <w:rFonts w:ascii="Calibri Light" w:eastAsia="Times New Roman" w:hAnsi="Calibri Light" w:cs="Times New Roman"/>
      <w:sz w:val="22"/>
      <w:szCs w:val="22"/>
    </w:rPr>
  </w:style>
  <w:style w:type="paragraph" w:styleId="Paragraphedeliste">
    <w:name w:val="List Paragraph"/>
    <w:basedOn w:val="Normal"/>
    <w:uiPriority w:val="34"/>
    <w:qFormat/>
    <w:rsid w:val="00D76270"/>
    <w:pPr>
      <w:spacing w:line="360" w:lineRule="auto"/>
      <w:ind w:left="720"/>
      <w:contextualSpacing/>
      <w:jc w:val="both"/>
    </w:pPr>
    <w:rPr>
      <w:color w:val="000080"/>
    </w:rPr>
  </w:style>
  <w:style w:type="character" w:styleId="Lienhypertexte">
    <w:name w:val="Hyperlink"/>
    <w:rsid w:val="003F524A"/>
    <w:rPr>
      <w:color w:val="0563C1"/>
      <w:u w:val="single"/>
    </w:rPr>
  </w:style>
  <w:style w:type="character" w:styleId="Mentionnonrsolue">
    <w:name w:val="Unresolved Mention"/>
    <w:uiPriority w:val="99"/>
    <w:semiHidden/>
    <w:unhideWhenUsed/>
    <w:rsid w:val="003F524A"/>
    <w:rPr>
      <w:color w:val="605E5C"/>
      <w:shd w:val="clear" w:color="auto" w:fill="E1DFDD"/>
    </w:rPr>
  </w:style>
  <w:style w:type="paragraph" w:customStyle="1" w:styleId="JuQuot">
    <w:name w:val="Ju_Quot"/>
    <w:aliases w:val="_Quote"/>
    <w:basedOn w:val="Normal"/>
    <w:link w:val="JuQuotChar"/>
    <w:qFormat/>
    <w:rsid w:val="007E2411"/>
    <w:pPr>
      <w:spacing w:before="120" w:after="120"/>
      <w:ind w:left="425" w:firstLine="142"/>
      <w:jc w:val="both"/>
    </w:pPr>
    <w:rPr>
      <w:rFonts w:asciiTheme="minorHAnsi" w:eastAsiaTheme="minorHAnsi" w:hAnsiTheme="minorHAnsi" w:cstheme="minorBidi"/>
      <w:sz w:val="20"/>
      <w:lang w:eastAsia="en-US"/>
    </w:rPr>
  </w:style>
  <w:style w:type="paragraph" w:styleId="Listepuces5">
    <w:name w:val="List Bullet 5"/>
    <w:basedOn w:val="Normal"/>
    <w:uiPriority w:val="98"/>
    <w:rsid w:val="007E2411"/>
    <w:pPr>
      <w:numPr>
        <w:numId w:val="16"/>
      </w:numPr>
      <w:contextualSpacing/>
    </w:pPr>
    <w:rPr>
      <w:rFonts w:asciiTheme="minorHAnsi" w:eastAsiaTheme="minorHAnsi" w:hAnsiTheme="minorHAnsi" w:cstheme="minorBidi"/>
      <w:lang w:eastAsia="en-US"/>
    </w:rPr>
  </w:style>
  <w:style w:type="character" w:customStyle="1" w:styleId="srvrlnk">
    <w:name w:val="srvrlnk"/>
    <w:basedOn w:val="Policepardfaut"/>
    <w:rsid w:val="009C66AB"/>
  </w:style>
  <w:style w:type="character" w:customStyle="1" w:styleId="highlight-phrase">
    <w:name w:val="highlight-phrase"/>
    <w:basedOn w:val="Policepardfaut"/>
    <w:rsid w:val="009C66AB"/>
  </w:style>
  <w:style w:type="character" w:customStyle="1" w:styleId="selected">
    <w:name w:val="selected"/>
    <w:basedOn w:val="Policepardfaut"/>
    <w:rsid w:val="009C66AB"/>
  </w:style>
  <w:style w:type="paragraph" w:customStyle="1" w:styleId="margintopbottom14">
    <w:name w:val="margintopbottom14"/>
    <w:basedOn w:val="Normal"/>
    <w:rsid w:val="00DF781E"/>
    <w:pPr>
      <w:spacing w:before="100" w:beforeAutospacing="1" w:after="100" w:afterAutospacing="1"/>
    </w:pPr>
  </w:style>
  <w:style w:type="character" w:customStyle="1" w:styleId="link">
    <w:name w:val="link"/>
    <w:basedOn w:val="Policepardfaut"/>
    <w:rsid w:val="00DF781E"/>
  </w:style>
  <w:style w:type="character" w:customStyle="1" w:styleId="margintop14">
    <w:name w:val="margintop14"/>
    <w:basedOn w:val="Policepardfaut"/>
    <w:rsid w:val="00C45A66"/>
  </w:style>
  <w:style w:type="character" w:customStyle="1" w:styleId="bold">
    <w:name w:val="bold"/>
    <w:basedOn w:val="Policepardfaut"/>
    <w:rsid w:val="00C45A66"/>
  </w:style>
  <w:style w:type="paragraph" w:customStyle="1" w:styleId="JuList">
    <w:name w:val="Ju_List"/>
    <w:basedOn w:val="JuPara"/>
    <w:rsid w:val="008F2C17"/>
    <w:pPr>
      <w:tabs>
        <w:tab w:val="left" w:pos="340"/>
      </w:tabs>
      <w:ind w:left="340" w:hanging="340"/>
    </w:pPr>
    <w:rPr>
      <w:lang w:eastAsia="fr-FR"/>
    </w:rPr>
  </w:style>
  <w:style w:type="paragraph" w:customStyle="1" w:styleId="OpiPara">
    <w:name w:val="Opi_Para"/>
    <w:basedOn w:val="JuPara"/>
    <w:rsid w:val="008F2C17"/>
    <w:rPr>
      <w:lang w:eastAsia="fr-FR"/>
    </w:rPr>
  </w:style>
  <w:style w:type="character" w:customStyle="1" w:styleId="JuParaChar">
    <w:name w:val="Ju_Para Char"/>
    <w:aliases w:val="_Para Char"/>
    <w:basedOn w:val="Policepardfaut"/>
    <w:uiPriority w:val="4"/>
    <w:rsid w:val="008F2C17"/>
    <w:rPr>
      <w:sz w:val="24"/>
      <w:lang w:val="fr-FR" w:eastAsia="fr-FR" w:bidi="ar-SA"/>
    </w:rPr>
  </w:style>
  <w:style w:type="character" w:customStyle="1" w:styleId="JuQuotChar">
    <w:name w:val="Ju_Quot Char"/>
    <w:basedOn w:val="JuParaChar"/>
    <w:link w:val="JuQuot"/>
    <w:rsid w:val="008F2C17"/>
    <w:rPr>
      <w:rFonts w:asciiTheme="minorHAnsi" w:eastAsiaTheme="minorHAnsi" w:hAnsiTheme="minorHAnsi" w:cstheme="minorBidi"/>
      <w:sz w:val="24"/>
      <w:szCs w:val="24"/>
      <w:lang w:val="fr-FR" w:eastAsia="en-US" w:bidi="ar-SA"/>
    </w:rPr>
  </w:style>
  <w:style w:type="character" w:customStyle="1" w:styleId="Retraitcorpsdetexte2Car">
    <w:name w:val="Retrait corps de texte 2 Car"/>
    <w:basedOn w:val="Policepardfaut"/>
    <w:link w:val="Retraitcorpsdetexte2"/>
    <w:rsid w:val="002702E6"/>
    <w:rPr>
      <w:sz w:val="24"/>
      <w:lang w:eastAsia="fr-FR"/>
    </w:rPr>
  </w:style>
  <w:style w:type="paragraph" w:styleId="Pieddepage">
    <w:name w:val="footer"/>
    <w:basedOn w:val="Normal"/>
    <w:link w:val="PieddepageCar"/>
    <w:uiPriority w:val="98"/>
    <w:rsid w:val="004C4282"/>
    <w:pPr>
      <w:tabs>
        <w:tab w:val="center" w:pos="4536"/>
        <w:tab w:val="right" w:pos="9072"/>
      </w:tabs>
    </w:pPr>
  </w:style>
  <w:style w:type="character" w:customStyle="1" w:styleId="PieddepageCar">
    <w:name w:val="Pied de page Car"/>
    <w:basedOn w:val="Policepardfaut"/>
    <w:link w:val="Pieddepage"/>
    <w:uiPriority w:val="98"/>
    <w:rsid w:val="004C4282"/>
    <w:rPr>
      <w:sz w:val="24"/>
      <w:szCs w:val="24"/>
      <w:lang w:eastAsia="fr-FR"/>
    </w:rPr>
  </w:style>
  <w:style w:type="paragraph" w:customStyle="1" w:styleId="JuHeader">
    <w:name w:val="Ju_Header"/>
    <w:aliases w:val="_Header"/>
    <w:basedOn w:val="En-tte"/>
    <w:uiPriority w:val="29"/>
    <w:qFormat/>
    <w:rsid w:val="00B9684E"/>
    <w:pPr>
      <w:tabs>
        <w:tab w:val="clear" w:pos="4536"/>
        <w:tab w:val="clear" w:pos="9072"/>
      </w:tabs>
      <w:jc w:val="center"/>
    </w:pPr>
    <w:rPr>
      <w:rFonts w:asciiTheme="minorHAnsi" w:eastAsiaTheme="minorHAnsi" w:hAnsiTheme="minorHAnsi" w:cstheme="minorBidi"/>
      <w:sz w:val="18"/>
      <w:lang w:eastAsia="en-US"/>
    </w:rPr>
  </w:style>
  <w:style w:type="paragraph" w:customStyle="1" w:styleId="DecHTitle">
    <w:name w:val="Dec_H_Title"/>
    <w:aliases w:val="_Title_1"/>
    <w:basedOn w:val="JuPara"/>
    <w:next w:val="JuPara"/>
    <w:uiPriority w:val="38"/>
    <w:qFormat/>
    <w:rsid w:val="00B9684E"/>
    <w:pPr>
      <w:keepNext/>
      <w:keepLines/>
      <w:suppressAutoHyphens w:val="0"/>
      <w:spacing w:after="240"/>
      <w:ind w:firstLine="0"/>
      <w:jc w:val="center"/>
      <w:outlineLvl w:val="0"/>
    </w:pPr>
    <w:rPr>
      <w:rFonts w:asciiTheme="majorHAnsi" w:eastAsiaTheme="minorHAnsi" w:hAnsiTheme="majorHAnsi" w:cstheme="minorBidi"/>
      <w:sz w:val="28"/>
      <w:szCs w:val="24"/>
      <w:lang w:eastAsia="en-US"/>
    </w:rPr>
  </w:style>
  <w:style w:type="paragraph" w:customStyle="1" w:styleId="ECHRCoverTitle4">
    <w:name w:val="ECHR_Cover_Title_4"/>
    <w:aliases w:val="_Title_4"/>
    <w:basedOn w:val="JuPara"/>
    <w:next w:val="JuPara"/>
    <w:uiPriority w:val="38"/>
    <w:qFormat/>
    <w:rsid w:val="00B9684E"/>
    <w:pPr>
      <w:keepNext/>
      <w:keepLines/>
      <w:tabs>
        <w:tab w:val="right" w:pos="7938"/>
      </w:tabs>
      <w:suppressAutoHyphens w:val="0"/>
      <w:ind w:firstLine="0"/>
      <w:jc w:val="center"/>
    </w:pPr>
    <w:rPr>
      <w:rFonts w:asciiTheme="minorHAnsi" w:eastAsiaTheme="minorHAnsi" w:hAnsiTheme="minorHAnsi" w:cstheme="minorBidi"/>
      <w:i/>
      <w:szCs w:val="24"/>
      <w:lang w:eastAsia="en-US"/>
    </w:rPr>
  </w:style>
  <w:style w:type="character" w:customStyle="1" w:styleId="En-tteCar">
    <w:name w:val="En-tête Car"/>
    <w:basedOn w:val="Policepardfaut"/>
    <w:link w:val="En-tte"/>
    <w:uiPriority w:val="98"/>
    <w:rsid w:val="00B9684E"/>
    <w:rPr>
      <w:sz w:val="24"/>
      <w:szCs w:val="24"/>
      <w:lang w:eastAsia="fr-FR"/>
    </w:rPr>
  </w:style>
  <w:style w:type="numbering" w:styleId="111111">
    <w:name w:val="Outline List 2"/>
    <w:basedOn w:val="Aucuneliste"/>
    <w:uiPriority w:val="99"/>
    <w:unhideWhenUsed/>
    <w:rsid w:val="00B9684E"/>
    <w:pPr>
      <w:numPr>
        <w:numId w:val="23"/>
      </w:numPr>
    </w:pPr>
  </w:style>
  <w:style w:type="paragraph" w:styleId="Listepuces4">
    <w:name w:val="List Bullet 4"/>
    <w:basedOn w:val="Normal"/>
    <w:uiPriority w:val="98"/>
    <w:rsid w:val="00B9684E"/>
    <w:pPr>
      <w:numPr>
        <w:numId w:val="24"/>
      </w:numPr>
      <w:contextualSpacing/>
    </w:pPr>
    <w:rPr>
      <w:rFonts w:asciiTheme="minorHAnsi" w:eastAsiaTheme="minorHAnsi" w:hAnsiTheme="minorHAnsi" w:cstheme="minorBidi"/>
      <w:lang w:eastAsia="en-US"/>
    </w:rPr>
  </w:style>
  <w:style w:type="paragraph" w:customStyle="1" w:styleId="DecHCase">
    <w:name w:val="Dec_H_Case"/>
    <w:aliases w:val="_Title_3"/>
    <w:basedOn w:val="JuPara"/>
    <w:next w:val="JuPara"/>
    <w:uiPriority w:val="38"/>
    <w:qFormat/>
    <w:rsid w:val="00B9684E"/>
    <w:pPr>
      <w:keepNext/>
      <w:keepLines/>
      <w:suppressAutoHyphens w:val="0"/>
      <w:spacing w:after="280"/>
      <w:ind w:firstLine="0"/>
      <w:jc w:val="center"/>
    </w:pPr>
    <w:rPr>
      <w:rFonts w:asciiTheme="majorHAnsi" w:eastAsiaTheme="minorHAnsi" w:hAnsiTheme="majorHAnsi" w:cstheme="minorBidi"/>
      <w:szCs w:val="24"/>
      <w:lang w:eastAsia="en-US"/>
    </w:rPr>
  </w:style>
  <w:style w:type="paragraph" w:customStyle="1" w:styleId="JuTitle">
    <w:name w:val="Ju_Title"/>
    <w:aliases w:val="_Title_2"/>
    <w:basedOn w:val="Normal"/>
    <w:next w:val="JuPara"/>
    <w:uiPriority w:val="38"/>
    <w:qFormat/>
    <w:rsid w:val="00B9684E"/>
    <w:pPr>
      <w:keepNext/>
      <w:keepLines/>
      <w:spacing w:before="1320" w:after="280"/>
      <w:contextualSpacing/>
      <w:jc w:val="center"/>
    </w:pPr>
    <w:rPr>
      <w:rFonts w:asciiTheme="minorHAnsi" w:eastAsiaTheme="minorHAnsi" w:hAnsiTheme="minorHAnsi" w:cstheme="minorBidi"/>
      <w:b/>
      <w:lang w:eastAsia="en-US"/>
    </w:rPr>
  </w:style>
  <w:style w:type="paragraph" w:customStyle="1" w:styleId="jupara0">
    <w:name w:val="jupara"/>
    <w:basedOn w:val="Normal"/>
    <w:rsid w:val="00B9684E"/>
    <w:pPr>
      <w:ind w:firstLine="284"/>
      <w:jc w:val="both"/>
    </w:pPr>
    <w:rPr>
      <w:lang w:val="en-GB" w:eastAsia="en-GB"/>
    </w:rPr>
  </w:style>
  <w:style w:type="paragraph" w:customStyle="1" w:styleId="jucase">
    <w:name w:val="jucase"/>
    <w:basedOn w:val="Normal"/>
    <w:rsid w:val="00B9684E"/>
    <w:pPr>
      <w:ind w:firstLine="284"/>
      <w:jc w:val="both"/>
    </w:pPr>
    <w:rPr>
      <w:b/>
      <w:bCs/>
      <w:lang w:val="en-GB" w:eastAsia="en-GB"/>
    </w:rPr>
  </w:style>
  <w:style w:type="character" w:styleId="Textedelespacerserv">
    <w:name w:val="Placeholder Text"/>
    <w:basedOn w:val="Policepardfaut"/>
    <w:uiPriority w:val="99"/>
    <w:semiHidden/>
    <w:rsid w:val="004552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3462">
      <w:bodyDiv w:val="1"/>
      <w:marLeft w:val="0"/>
      <w:marRight w:val="0"/>
      <w:marTop w:val="0"/>
      <w:marBottom w:val="0"/>
      <w:divBdr>
        <w:top w:val="none" w:sz="0" w:space="0" w:color="auto"/>
        <w:left w:val="none" w:sz="0" w:space="0" w:color="auto"/>
        <w:bottom w:val="none" w:sz="0" w:space="0" w:color="auto"/>
        <w:right w:val="none" w:sz="0" w:space="0" w:color="auto"/>
      </w:divBdr>
      <w:divsChild>
        <w:div w:id="187371396">
          <w:marLeft w:val="0"/>
          <w:marRight w:val="0"/>
          <w:marTop w:val="0"/>
          <w:marBottom w:val="0"/>
          <w:divBdr>
            <w:top w:val="none" w:sz="0" w:space="0" w:color="auto"/>
            <w:left w:val="none" w:sz="0" w:space="0" w:color="auto"/>
            <w:bottom w:val="none" w:sz="0" w:space="0" w:color="auto"/>
            <w:right w:val="none" w:sz="0" w:space="0" w:color="auto"/>
          </w:divBdr>
        </w:div>
        <w:div w:id="770317449">
          <w:marLeft w:val="0"/>
          <w:marRight w:val="0"/>
          <w:marTop w:val="0"/>
          <w:marBottom w:val="0"/>
          <w:divBdr>
            <w:top w:val="none" w:sz="0" w:space="0" w:color="auto"/>
            <w:left w:val="none" w:sz="0" w:space="0" w:color="auto"/>
            <w:bottom w:val="none" w:sz="0" w:space="0" w:color="auto"/>
            <w:right w:val="none" w:sz="0" w:space="0" w:color="auto"/>
          </w:divBdr>
        </w:div>
        <w:div w:id="1120685906">
          <w:marLeft w:val="0"/>
          <w:marRight w:val="0"/>
          <w:marTop w:val="0"/>
          <w:marBottom w:val="0"/>
          <w:divBdr>
            <w:top w:val="none" w:sz="0" w:space="0" w:color="auto"/>
            <w:left w:val="none" w:sz="0" w:space="0" w:color="auto"/>
            <w:bottom w:val="none" w:sz="0" w:space="0" w:color="auto"/>
            <w:right w:val="none" w:sz="0" w:space="0" w:color="auto"/>
          </w:divBdr>
        </w:div>
        <w:div w:id="1165390346">
          <w:marLeft w:val="0"/>
          <w:marRight w:val="0"/>
          <w:marTop w:val="0"/>
          <w:marBottom w:val="0"/>
          <w:divBdr>
            <w:top w:val="none" w:sz="0" w:space="0" w:color="auto"/>
            <w:left w:val="none" w:sz="0" w:space="0" w:color="auto"/>
            <w:bottom w:val="none" w:sz="0" w:space="0" w:color="auto"/>
            <w:right w:val="none" w:sz="0" w:space="0" w:color="auto"/>
          </w:divBdr>
        </w:div>
        <w:div w:id="1738429247">
          <w:marLeft w:val="0"/>
          <w:marRight w:val="0"/>
          <w:marTop w:val="0"/>
          <w:marBottom w:val="0"/>
          <w:divBdr>
            <w:top w:val="none" w:sz="0" w:space="0" w:color="auto"/>
            <w:left w:val="none" w:sz="0" w:space="0" w:color="auto"/>
            <w:bottom w:val="none" w:sz="0" w:space="0" w:color="auto"/>
            <w:right w:val="none" w:sz="0" w:space="0" w:color="auto"/>
          </w:divBdr>
        </w:div>
      </w:divsChild>
    </w:div>
    <w:div w:id="119612588">
      <w:bodyDiv w:val="1"/>
      <w:marLeft w:val="0"/>
      <w:marRight w:val="0"/>
      <w:marTop w:val="0"/>
      <w:marBottom w:val="0"/>
      <w:divBdr>
        <w:top w:val="none" w:sz="0" w:space="0" w:color="auto"/>
        <w:left w:val="none" w:sz="0" w:space="0" w:color="auto"/>
        <w:bottom w:val="none" w:sz="0" w:space="0" w:color="auto"/>
        <w:right w:val="none" w:sz="0" w:space="0" w:color="auto"/>
      </w:divBdr>
      <w:divsChild>
        <w:div w:id="1786264150">
          <w:marLeft w:val="0"/>
          <w:marRight w:val="0"/>
          <w:marTop w:val="0"/>
          <w:marBottom w:val="0"/>
          <w:divBdr>
            <w:top w:val="none" w:sz="0" w:space="0" w:color="auto"/>
            <w:left w:val="none" w:sz="0" w:space="0" w:color="auto"/>
            <w:bottom w:val="none" w:sz="0" w:space="0" w:color="auto"/>
            <w:right w:val="none" w:sz="0" w:space="0" w:color="auto"/>
          </w:divBdr>
        </w:div>
        <w:div w:id="506481547">
          <w:marLeft w:val="0"/>
          <w:marRight w:val="0"/>
          <w:marTop w:val="0"/>
          <w:marBottom w:val="0"/>
          <w:divBdr>
            <w:top w:val="none" w:sz="0" w:space="0" w:color="auto"/>
            <w:left w:val="none" w:sz="0" w:space="0" w:color="auto"/>
            <w:bottom w:val="none" w:sz="0" w:space="0" w:color="auto"/>
            <w:right w:val="none" w:sz="0" w:space="0" w:color="auto"/>
          </w:divBdr>
        </w:div>
        <w:div w:id="536550450">
          <w:marLeft w:val="0"/>
          <w:marRight w:val="0"/>
          <w:marTop w:val="0"/>
          <w:marBottom w:val="0"/>
          <w:divBdr>
            <w:top w:val="none" w:sz="0" w:space="0" w:color="auto"/>
            <w:left w:val="none" w:sz="0" w:space="0" w:color="auto"/>
            <w:bottom w:val="none" w:sz="0" w:space="0" w:color="auto"/>
            <w:right w:val="none" w:sz="0" w:space="0" w:color="auto"/>
          </w:divBdr>
        </w:div>
        <w:div w:id="914363811">
          <w:marLeft w:val="0"/>
          <w:marRight w:val="0"/>
          <w:marTop w:val="0"/>
          <w:marBottom w:val="0"/>
          <w:divBdr>
            <w:top w:val="none" w:sz="0" w:space="0" w:color="auto"/>
            <w:left w:val="none" w:sz="0" w:space="0" w:color="auto"/>
            <w:bottom w:val="none" w:sz="0" w:space="0" w:color="auto"/>
            <w:right w:val="none" w:sz="0" w:space="0" w:color="auto"/>
          </w:divBdr>
        </w:div>
        <w:div w:id="282856189">
          <w:marLeft w:val="0"/>
          <w:marRight w:val="0"/>
          <w:marTop w:val="0"/>
          <w:marBottom w:val="0"/>
          <w:divBdr>
            <w:top w:val="none" w:sz="0" w:space="0" w:color="auto"/>
            <w:left w:val="none" w:sz="0" w:space="0" w:color="auto"/>
            <w:bottom w:val="none" w:sz="0" w:space="0" w:color="auto"/>
            <w:right w:val="none" w:sz="0" w:space="0" w:color="auto"/>
          </w:divBdr>
        </w:div>
        <w:div w:id="384182318">
          <w:marLeft w:val="0"/>
          <w:marRight w:val="0"/>
          <w:marTop w:val="0"/>
          <w:marBottom w:val="0"/>
          <w:divBdr>
            <w:top w:val="none" w:sz="0" w:space="0" w:color="auto"/>
            <w:left w:val="none" w:sz="0" w:space="0" w:color="auto"/>
            <w:bottom w:val="none" w:sz="0" w:space="0" w:color="auto"/>
            <w:right w:val="none" w:sz="0" w:space="0" w:color="auto"/>
          </w:divBdr>
        </w:div>
        <w:div w:id="1856114926">
          <w:marLeft w:val="0"/>
          <w:marRight w:val="0"/>
          <w:marTop w:val="0"/>
          <w:marBottom w:val="0"/>
          <w:divBdr>
            <w:top w:val="none" w:sz="0" w:space="0" w:color="auto"/>
            <w:left w:val="none" w:sz="0" w:space="0" w:color="auto"/>
            <w:bottom w:val="none" w:sz="0" w:space="0" w:color="auto"/>
            <w:right w:val="none" w:sz="0" w:space="0" w:color="auto"/>
          </w:divBdr>
        </w:div>
      </w:divsChild>
    </w:div>
    <w:div w:id="127939729">
      <w:bodyDiv w:val="1"/>
      <w:marLeft w:val="0"/>
      <w:marRight w:val="0"/>
      <w:marTop w:val="0"/>
      <w:marBottom w:val="0"/>
      <w:divBdr>
        <w:top w:val="none" w:sz="0" w:space="0" w:color="auto"/>
        <w:left w:val="none" w:sz="0" w:space="0" w:color="auto"/>
        <w:bottom w:val="none" w:sz="0" w:space="0" w:color="auto"/>
        <w:right w:val="none" w:sz="0" w:space="0" w:color="auto"/>
      </w:divBdr>
    </w:div>
    <w:div w:id="580677812">
      <w:bodyDiv w:val="1"/>
      <w:marLeft w:val="0"/>
      <w:marRight w:val="0"/>
      <w:marTop w:val="0"/>
      <w:marBottom w:val="0"/>
      <w:divBdr>
        <w:top w:val="none" w:sz="0" w:space="0" w:color="auto"/>
        <w:left w:val="none" w:sz="0" w:space="0" w:color="auto"/>
        <w:bottom w:val="none" w:sz="0" w:space="0" w:color="auto"/>
        <w:right w:val="none" w:sz="0" w:space="0" w:color="auto"/>
      </w:divBdr>
    </w:div>
    <w:div w:id="582254270">
      <w:bodyDiv w:val="1"/>
      <w:marLeft w:val="0"/>
      <w:marRight w:val="0"/>
      <w:marTop w:val="0"/>
      <w:marBottom w:val="0"/>
      <w:divBdr>
        <w:top w:val="none" w:sz="0" w:space="0" w:color="auto"/>
        <w:left w:val="none" w:sz="0" w:space="0" w:color="auto"/>
        <w:bottom w:val="none" w:sz="0" w:space="0" w:color="auto"/>
        <w:right w:val="none" w:sz="0" w:space="0" w:color="auto"/>
      </w:divBdr>
      <w:divsChild>
        <w:div w:id="1296522694">
          <w:marLeft w:val="0"/>
          <w:marRight w:val="0"/>
          <w:marTop w:val="0"/>
          <w:marBottom w:val="0"/>
          <w:divBdr>
            <w:top w:val="none" w:sz="0" w:space="0" w:color="auto"/>
            <w:left w:val="none" w:sz="0" w:space="0" w:color="auto"/>
            <w:bottom w:val="none" w:sz="0" w:space="0" w:color="auto"/>
            <w:right w:val="none" w:sz="0" w:space="0" w:color="auto"/>
          </w:divBdr>
        </w:div>
        <w:div w:id="685211592">
          <w:marLeft w:val="0"/>
          <w:marRight w:val="0"/>
          <w:marTop w:val="0"/>
          <w:marBottom w:val="0"/>
          <w:divBdr>
            <w:top w:val="none" w:sz="0" w:space="0" w:color="auto"/>
            <w:left w:val="none" w:sz="0" w:space="0" w:color="auto"/>
            <w:bottom w:val="none" w:sz="0" w:space="0" w:color="auto"/>
            <w:right w:val="none" w:sz="0" w:space="0" w:color="auto"/>
          </w:divBdr>
        </w:div>
        <w:div w:id="1388142536">
          <w:marLeft w:val="0"/>
          <w:marRight w:val="0"/>
          <w:marTop w:val="0"/>
          <w:marBottom w:val="0"/>
          <w:divBdr>
            <w:top w:val="none" w:sz="0" w:space="0" w:color="auto"/>
            <w:left w:val="none" w:sz="0" w:space="0" w:color="auto"/>
            <w:bottom w:val="none" w:sz="0" w:space="0" w:color="auto"/>
            <w:right w:val="none" w:sz="0" w:space="0" w:color="auto"/>
          </w:divBdr>
        </w:div>
        <w:div w:id="263809648">
          <w:marLeft w:val="0"/>
          <w:marRight w:val="0"/>
          <w:marTop w:val="0"/>
          <w:marBottom w:val="0"/>
          <w:divBdr>
            <w:top w:val="none" w:sz="0" w:space="0" w:color="auto"/>
            <w:left w:val="none" w:sz="0" w:space="0" w:color="auto"/>
            <w:bottom w:val="none" w:sz="0" w:space="0" w:color="auto"/>
            <w:right w:val="none" w:sz="0" w:space="0" w:color="auto"/>
          </w:divBdr>
        </w:div>
        <w:div w:id="1697001652">
          <w:marLeft w:val="0"/>
          <w:marRight w:val="0"/>
          <w:marTop w:val="0"/>
          <w:marBottom w:val="0"/>
          <w:divBdr>
            <w:top w:val="none" w:sz="0" w:space="0" w:color="auto"/>
            <w:left w:val="none" w:sz="0" w:space="0" w:color="auto"/>
            <w:bottom w:val="none" w:sz="0" w:space="0" w:color="auto"/>
            <w:right w:val="none" w:sz="0" w:space="0" w:color="auto"/>
          </w:divBdr>
        </w:div>
        <w:div w:id="1948736723">
          <w:marLeft w:val="0"/>
          <w:marRight w:val="0"/>
          <w:marTop w:val="0"/>
          <w:marBottom w:val="0"/>
          <w:divBdr>
            <w:top w:val="none" w:sz="0" w:space="0" w:color="auto"/>
            <w:left w:val="none" w:sz="0" w:space="0" w:color="auto"/>
            <w:bottom w:val="none" w:sz="0" w:space="0" w:color="auto"/>
            <w:right w:val="none" w:sz="0" w:space="0" w:color="auto"/>
          </w:divBdr>
        </w:div>
        <w:div w:id="797726053">
          <w:marLeft w:val="0"/>
          <w:marRight w:val="0"/>
          <w:marTop w:val="0"/>
          <w:marBottom w:val="0"/>
          <w:divBdr>
            <w:top w:val="none" w:sz="0" w:space="0" w:color="auto"/>
            <w:left w:val="none" w:sz="0" w:space="0" w:color="auto"/>
            <w:bottom w:val="none" w:sz="0" w:space="0" w:color="auto"/>
            <w:right w:val="none" w:sz="0" w:space="0" w:color="auto"/>
          </w:divBdr>
        </w:div>
      </w:divsChild>
    </w:div>
    <w:div w:id="671181338">
      <w:bodyDiv w:val="1"/>
      <w:marLeft w:val="0"/>
      <w:marRight w:val="0"/>
      <w:marTop w:val="0"/>
      <w:marBottom w:val="0"/>
      <w:divBdr>
        <w:top w:val="none" w:sz="0" w:space="0" w:color="auto"/>
        <w:left w:val="none" w:sz="0" w:space="0" w:color="auto"/>
        <w:bottom w:val="none" w:sz="0" w:space="0" w:color="auto"/>
        <w:right w:val="none" w:sz="0" w:space="0" w:color="auto"/>
      </w:divBdr>
    </w:div>
    <w:div w:id="681467646">
      <w:bodyDiv w:val="1"/>
      <w:marLeft w:val="0"/>
      <w:marRight w:val="0"/>
      <w:marTop w:val="0"/>
      <w:marBottom w:val="0"/>
      <w:divBdr>
        <w:top w:val="none" w:sz="0" w:space="0" w:color="auto"/>
        <w:left w:val="none" w:sz="0" w:space="0" w:color="auto"/>
        <w:bottom w:val="none" w:sz="0" w:space="0" w:color="auto"/>
        <w:right w:val="none" w:sz="0" w:space="0" w:color="auto"/>
      </w:divBdr>
    </w:div>
    <w:div w:id="702219014">
      <w:bodyDiv w:val="1"/>
      <w:marLeft w:val="0"/>
      <w:marRight w:val="0"/>
      <w:marTop w:val="0"/>
      <w:marBottom w:val="0"/>
      <w:divBdr>
        <w:top w:val="none" w:sz="0" w:space="0" w:color="auto"/>
        <w:left w:val="none" w:sz="0" w:space="0" w:color="auto"/>
        <w:bottom w:val="none" w:sz="0" w:space="0" w:color="auto"/>
        <w:right w:val="none" w:sz="0" w:space="0" w:color="auto"/>
      </w:divBdr>
      <w:divsChild>
        <w:div w:id="1776359647">
          <w:marLeft w:val="0"/>
          <w:marRight w:val="0"/>
          <w:marTop w:val="0"/>
          <w:marBottom w:val="0"/>
          <w:divBdr>
            <w:top w:val="none" w:sz="0" w:space="0" w:color="auto"/>
            <w:left w:val="none" w:sz="0" w:space="0" w:color="auto"/>
            <w:bottom w:val="none" w:sz="0" w:space="0" w:color="auto"/>
            <w:right w:val="none" w:sz="0" w:space="0" w:color="auto"/>
          </w:divBdr>
        </w:div>
        <w:div w:id="673342088">
          <w:marLeft w:val="0"/>
          <w:marRight w:val="0"/>
          <w:marTop w:val="240"/>
          <w:marBottom w:val="0"/>
          <w:divBdr>
            <w:top w:val="none" w:sz="0" w:space="0" w:color="auto"/>
            <w:left w:val="none" w:sz="0" w:space="0" w:color="auto"/>
            <w:bottom w:val="none" w:sz="0" w:space="0" w:color="auto"/>
            <w:right w:val="none" w:sz="0" w:space="0" w:color="auto"/>
          </w:divBdr>
        </w:div>
        <w:div w:id="1096756755">
          <w:marLeft w:val="0"/>
          <w:marRight w:val="0"/>
          <w:marTop w:val="240"/>
          <w:marBottom w:val="0"/>
          <w:divBdr>
            <w:top w:val="none" w:sz="0" w:space="0" w:color="auto"/>
            <w:left w:val="none" w:sz="0" w:space="0" w:color="auto"/>
            <w:bottom w:val="none" w:sz="0" w:space="0" w:color="auto"/>
            <w:right w:val="none" w:sz="0" w:space="0" w:color="auto"/>
          </w:divBdr>
          <w:divsChild>
            <w:div w:id="876509851">
              <w:marLeft w:val="0"/>
              <w:marRight w:val="0"/>
              <w:marTop w:val="240"/>
              <w:marBottom w:val="0"/>
              <w:divBdr>
                <w:top w:val="none" w:sz="0" w:space="0" w:color="auto"/>
                <w:left w:val="none" w:sz="0" w:space="0" w:color="auto"/>
                <w:bottom w:val="none" w:sz="0" w:space="0" w:color="auto"/>
                <w:right w:val="none" w:sz="0" w:space="0" w:color="auto"/>
              </w:divBdr>
              <w:divsChild>
                <w:div w:id="756484575">
                  <w:marLeft w:val="0"/>
                  <w:marRight w:val="0"/>
                  <w:marTop w:val="240"/>
                  <w:marBottom w:val="0"/>
                  <w:divBdr>
                    <w:top w:val="none" w:sz="0" w:space="0" w:color="auto"/>
                    <w:left w:val="none" w:sz="0" w:space="0" w:color="auto"/>
                    <w:bottom w:val="none" w:sz="0" w:space="0" w:color="auto"/>
                    <w:right w:val="none" w:sz="0" w:space="0" w:color="auto"/>
                  </w:divBdr>
                </w:div>
                <w:div w:id="240529277">
                  <w:marLeft w:val="0"/>
                  <w:marRight w:val="0"/>
                  <w:marTop w:val="240"/>
                  <w:marBottom w:val="0"/>
                  <w:divBdr>
                    <w:top w:val="none" w:sz="0" w:space="0" w:color="auto"/>
                    <w:left w:val="none" w:sz="0" w:space="0" w:color="auto"/>
                    <w:bottom w:val="none" w:sz="0" w:space="0" w:color="auto"/>
                    <w:right w:val="none" w:sz="0" w:space="0" w:color="auto"/>
                  </w:divBdr>
                  <w:divsChild>
                    <w:div w:id="841314068">
                      <w:marLeft w:val="0"/>
                      <w:marRight w:val="0"/>
                      <w:marTop w:val="240"/>
                      <w:marBottom w:val="0"/>
                      <w:divBdr>
                        <w:top w:val="none" w:sz="0" w:space="0" w:color="auto"/>
                        <w:left w:val="none" w:sz="0" w:space="0" w:color="auto"/>
                        <w:bottom w:val="none" w:sz="0" w:space="0" w:color="auto"/>
                        <w:right w:val="none" w:sz="0" w:space="0" w:color="auto"/>
                      </w:divBdr>
                    </w:div>
                  </w:divsChild>
                </w:div>
                <w:div w:id="842815896">
                  <w:marLeft w:val="0"/>
                  <w:marRight w:val="0"/>
                  <w:marTop w:val="240"/>
                  <w:marBottom w:val="0"/>
                  <w:divBdr>
                    <w:top w:val="none" w:sz="0" w:space="0" w:color="auto"/>
                    <w:left w:val="none" w:sz="0" w:space="0" w:color="auto"/>
                    <w:bottom w:val="none" w:sz="0" w:space="0" w:color="auto"/>
                    <w:right w:val="none" w:sz="0" w:space="0" w:color="auto"/>
                  </w:divBdr>
                  <w:divsChild>
                    <w:div w:id="164137940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82060095">
      <w:bodyDiv w:val="1"/>
      <w:marLeft w:val="0"/>
      <w:marRight w:val="0"/>
      <w:marTop w:val="0"/>
      <w:marBottom w:val="0"/>
      <w:divBdr>
        <w:top w:val="none" w:sz="0" w:space="0" w:color="auto"/>
        <w:left w:val="none" w:sz="0" w:space="0" w:color="auto"/>
        <w:bottom w:val="none" w:sz="0" w:space="0" w:color="auto"/>
        <w:right w:val="none" w:sz="0" w:space="0" w:color="auto"/>
      </w:divBdr>
      <w:divsChild>
        <w:div w:id="1515220128">
          <w:marLeft w:val="0"/>
          <w:marRight w:val="0"/>
          <w:marTop w:val="0"/>
          <w:marBottom w:val="0"/>
          <w:divBdr>
            <w:top w:val="none" w:sz="0" w:space="0" w:color="auto"/>
            <w:left w:val="none" w:sz="0" w:space="0" w:color="auto"/>
            <w:bottom w:val="none" w:sz="0" w:space="0" w:color="auto"/>
            <w:right w:val="none" w:sz="0" w:space="0" w:color="auto"/>
          </w:divBdr>
        </w:div>
        <w:div w:id="1807117142">
          <w:marLeft w:val="0"/>
          <w:marRight w:val="0"/>
          <w:marTop w:val="0"/>
          <w:marBottom w:val="0"/>
          <w:divBdr>
            <w:top w:val="none" w:sz="0" w:space="0" w:color="auto"/>
            <w:left w:val="none" w:sz="0" w:space="0" w:color="auto"/>
            <w:bottom w:val="none" w:sz="0" w:space="0" w:color="auto"/>
            <w:right w:val="none" w:sz="0" w:space="0" w:color="auto"/>
          </w:divBdr>
        </w:div>
        <w:div w:id="1555387264">
          <w:marLeft w:val="0"/>
          <w:marRight w:val="0"/>
          <w:marTop w:val="0"/>
          <w:marBottom w:val="0"/>
          <w:divBdr>
            <w:top w:val="none" w:sz="0" w:space="0" w:color="auto"/>
            <w:left w:val="none" w:sz="0" w:space="0" w:color="auto"/>
            <w:bottom w:val="none" w:sz="0" w:space="0" w:color="auto"/>
            <w:right w:val="none" w:sz="0" w:space="0" w:color="auto"/>
          </w:divBdr>
        </w:div>
        <w:div w:id="63571743">
          <w:marLeft w:val="0"/>
          <w:marRight w:val="0"/>
          <w:marTop w:val="0"/>
          <w:marBottom w:val="0"/>
          <w:divBdr>
            <w:top w:val="none" w:sz="0" w:space="0" w:color="auto"/>
            <w:left w:val="none" w:sz="0" w:space="0" w:color="auto"/>
            <w:bottom w:val="none" w:sz="0" w:space="0" w:color="auto"/>
            <w:right w:val="none" w:sz="0" w:space="0" w:color="auto"/>
          </w:divBdr>
        </w:div>
        <w:div w:id="945042565">
          <w:marLeft w:val="0"/>
          <w:marRight w:val="0"/>
          <w:marTop w:val="0"/>
          <w:marBottom w:val="0"/>
          <w:divBdr>
            <w:top w:val="none" w:sz="0" w:space="0" w:color="auto"/>
            <w:left w:val="none" w:sz="0" w:space="0" w:color="auto"/>
            <w:bottom w:val="none" w:sz="0" w:space="0" w:color="auto"/>
            <w:right w:val="none" w:sz="0" w:space="0" w:color="auto"/>
          </w:divBdr>
        </w:div>
        <w:div w:id="1765690842">
          <w:marLeft w:val="0"/>
          <w:marRight w:val="0"/>
          <w:marTop w:val="0"/>
          <w:marBottom w:val="0"/>
          <w:divBdr>
            <w:top w:val="none" w:sz="0" w:space="0" w:color="auto"/>
            <w:left w:val="none" w:sz="0" w:space="0" w:color="auto"/>
            <w:bottom w:val="none" w:sz="0" w:space="0" w:color="auto"/>
            <w:right w:val="none" w:sz="0" w:space="0" w:color="auto"/>
          </w:divBdr>
        </w:div>
        <w:div w:id="972324544">
          <w:marLeft w:val="0"/>
          <w:marRight w:val="0"/>
          <w:marTop w:val="0"/>
          <w:marBottom w:val="0"/>
          <w:divBdr>
            <w:top w:val="none" w:sz="0" w:space="0" w:color="auto"/>
            <w:left w:val="none" w:sz="0" w:space="0" w:color="auto"/>
            <w:bottom w:val="none" w:sz="0" w:space="0" w:color="auto"/>
            <w:right w:val="none" w:sz="0" w:space="0" w:color="auto"/>
          </w:divBdr>
        </w:div>
      </w:divsChild>
    </w:div>
    <w:div w:id="904293246">
      <w:bodyDiv w:val="1"/>
      <w:marLeft w:val="0"/>
      <w:marRight w:val="0"/>
      <w:marTop w:val="0"/>
      <w:marBottom w:val="0"/>
      <w:divBdr>
        <w:top w:val="none" w:sz="0" w:space="0" w:color="auto"/>
        <w:left w:val="none" w:sz="0" w:space="0" w:color="auto"/>
        <w:bottom w:val="none" w:sz="0" w:space="0" w:color="auto"/>
        <w:right w:val="none" w:sz="0" w:space="0" w:color="auto"/>
      </w:divBdr>
    </w:div>
    <w:div w:id="914359495">
      <w:bodyDiv w:val="1"/>
      <w:marLeft w:val="0"/>
      <w:marRight w:val="0"/>
      <w:marTop w:val="0"/>
      <w:marBottom w:val="0"/>
      <w:divBdr>
        <w:top w:val="none" w:sz="0" w:space="0" w:color="auto"/>
        <w:left w:val="none" w:sz="0" w:space="0" w:color="auto"/>
        <w:bottom w:val="none" w:sz="0" w:space="0" w:color="auto"/>
        <w:right w:val="none" w:sz="0" w:space="0" w:color="auto"/>
      </w:divBdr>
    </w:div>
    <w:div w:id="1086150995">
      <w:bodyDiv w:val="1"/>
      <w:marLeft w:val="0"/>
      <w:marRight w:val="0"/>
      <w:marTop w:val="0"/>
      <w:marBottom w:val="0"/>
      <w:divBdr>
        <w:top w:val="none" w:sz="0" w:space="0" w:color="auto"/>
        <w:left w:val="none" w:sz="0" w:space="0" w:color="auto"/>
        <w:bottom w:val="none" w:sz="0" w:space="0" w:color="auto"/>
        <w:right w:val="none" w:sz="0" w:space="0" w:color="auto"/>
      </w:divBdr>
      <w:divsChild>
        <w:div w:id="1631856120">
          <w:marLeft w:val="0"/>
          <w:marRight w:val="0"/>
          <w:marTop w:val="0"/>
          <w:marBottom w:val="0"/>
          <w:divBdr>
            <w:top w:val="none" w:sz="0" w:space="0" w:color="auto"/>
            <w:left w:val="none" w:sz="0" w:space="0" w:color="auto"/>
            <w:bottom w:val="none" w:sz="0" w:space="0" w:color="auto"/>
            <w:right w:val="none" w:sz="0" w:space="0" w:color="auto"/>
          </w:divBdr>
        </w:div>
        <w:div w:id="566957175">
          <w:marLeft w:val="0"/>
          <w:marRight w:val="0"/>
          <w:marTop w:val="0"/>
          <w:marBottom w:val="0"/>
          <w:divBdr>
            <w:top w:val="none" w:sz="0" w:space="0" w:color="auto"/>
            <w:left w:val="none" w:sz="0" w:space="0" w:color="auto"/>
            <w:bottom w:val="none" w:sz="0" w:space="0" w:color="auto"/>
            <w:right w:val="none" w:sz="0" w:space="0" w:color="auto"/>
          </w:divBdr>
        </w:div>
        <w:div w:id="908347300">
          <w:marLeft w:val="0"/>
          <w:marRight w:val="0"/>
          <w:marTop w:val="0"/>
          <w:marBottom w:val="0"/>
          <w:divBdr>
            <w:top w:val="none" w:sz="0" w:space="0" w:color="auto"/>
            <w:left w:val="none" w:sz="0" w:space="0" w:color="auto"/>
            <w:bottom w:val="none" w:sz="0" w:space="0" w:color="auto"/>
            <w:right w:val="none" w:sz="0" w:space="0" w:color="auto"/>
          </w:divBdr>
        </w:div>
        <w:div w:id="1829127795">
          <w:marLeft w:val="0"/>
          <w:marRight w:val="0"/>
          <w:marTop w:val="0"/>
          <w:marBottom w:val="0"/>
          <w:divBdr>
            <w:top w:val="none" w:sz="0" w:space="0" w:color="auto"/>
            <w:left w:val="none" w:sz="0" w:space="0" w:color="auto"/>
            <w:bottom w:val="none" w:sz="0" w:space="0" w:color="auto"/>
            <w:right w:val="none" w:sz="0" w:space="0" w:color="auto"/>
          </w:divBdr>
        </w:div>
        <w:div w:id="936134431">
          <w:marLeft w:val="0"/>
          <w:marRight w:val="0"/>
          <w:marTop w:val="0"/>
          <w:marBottom w:val="0"/>
          <w:divBdr>
            <w:top w:val="none" w:sz="0" w:space="0" w:color="auto"/>
            <w:left w:val="none" w:sz="0" w:space="0" w:color="auto"/>
            <w:bottom w:val="none" w:sz="0" w:space="0" w:color="auto"/>
            <w:right w:val="none" w:sz="0" w:space="0" w:color="auto"/>
          </w:divBdr>
        </w:div>
        <w:div w:id="280039012">
          <w:marLeft w:val="0"/>
          <w:marRight w:val="0"/>
          <w:marTop w:val="0"/>
          <w:marBottom w:val="0"/>
          <w:divBdr>
            <w:top w:val="none" w:sz="0" w:space="0" w:color="auto"/>
            <w:left w:val="none" w:sz="0" w:space="0" w:color="auto"/>
            <w:bottom w:val="none" w:sz="0" w:space="0" w:color="auto"/>
            <w:right w:val="none" w:sz="0" w:space="0" w:color="auto"/>
          </w:divBdr>
        </w:div>
        <w:div w:id="349994735">
          <w:marLeft w:val="0"/>
          <w:marRight w:val="0"/>
          <w:marTop w:val="0"/>
          <w:marBottom w:val="0"/>
          <w:divBdr>
            <w:top w:val="none" w:sz="0" w:space="0" w:color="auto"/>
            <w:left w:val="none" w:sz="0" w:space="0" w:color="auto"/>
            <w:bottom w:val="none" w:sz="0" w:space="0" w:color="auto"/>
            <w:right w:val="none" w:sz="0" w:space="0" w:color="auto"/>
          </w:divBdr>
        </w:div>
      </w:divsChild>
    </w:div>
    <w:div w:id="1219318911">
      <w:bodyDiv w:val="1"/>
      <w:marLeft w:val="0"/>
      <w:marRight w:val="0"/>
      <w:marTop w:val="0"/>
      <w:marBottom w:val="0"/>
      <w:divBdr>
        <w:top w:val="none" w:sz="0" w:space="0" w:color="auto"/>
        <w:left w:val="none" w:sz="0" w:space="0" w:color="auto"/>
        <w:bottom w:val="none" w:sz="0" w:space="0" w:color="auto"/>
        <w:right w:val="none" w:sz="0" w:space="0" w:color="auto"/>
      </w:divBdr>
      <w:divsChild>
        <w:div w:id="1538855323">
          <w:marLeft w:val="0"/>
          <w:marRight w:val="0"/>
          <w:marTop w:val="0"/>
          <w:marBottom w:val="0"/>
          <w:divBdr>
            <w:top w:val="none" w:sz="0" w:space="0" w:color="auto"/>
            <w:left w:val="none" w:sz="0" w:space="0" w:color="auto"/>
            <w:bottom w:val="none" w:sz="0" w:space="0" w:color="auto"/>
            <w:right w:val="none" w:sz="0" w:space="0" w:color="auto"/>
          </w:divBdr>
        </w:div>
        <w:div w:id="1911306081">
          <w:marLeft w:val="0"/>
          <w:marRight w:val="0"/>
          <w:marTop w:val="0"/>
          <w:marBottom w:val="0"/>
          <w:divBdr>
            <w:top w:val="none" w:sz="0" w:space="0" w:color="auto"/>
            <w:left w:val="none" w:sz="0" w:space="0" w:color="auto"/>
            <w:bottom w:val="none" w:sz="0" w:space="0" w:color="auto"/>
            <w:right w:val="none" w:sz="0" w:space="0" w:color="auto"/>
          </w:divBdr>
        </w:div>
        <w:div w:id="762989138">
          <w:marLeft w:val="0"/>
          <w:marRight w:val="0"/>
          <w:marTop w:val="0"/>
          <w:marBottom w:val="0"/>
          <w:divBdr>
            <w:top w:val="none" w:sz="0" w:space="0" w:color="auto"/>
            <w:left w:val="none" w:sz="0" w:space="0" w:color="auto"/>
            <w:bottom w:val="none" w:sz="0" w:space="0" w:color="auto"/>
            <w:right w:val="none" w:sz="0" w:space="0" w:color="auto"/>
          </w:divBdr>
        </w:div>
        <w:div w:id="976298671">
          <w:marLeft w:val="0"/>
          <w:marRight w:val="0"/>
          <w:marTop w:val="0"/>
          <w:marBottom w:val="0"/>
          <w:divBdr>
            <w:top w:val="none" w:sz="0" w:space="0" w:color="auto"/>
            <w:left w:val="none" w:sz="0" w:space="0" w:color="auto"/>
            <w:bottom w:val="none" w:sz="0" w:space="0" w:color="auto"/>
            <w:right w:val="none" w:sz="0" w:space="0" w:color="auto"/>
          </w:divBdr>
        </w:div>
        <w:div w:id="327632861">
          <w:marLeft w:val="0"/>
          <w:marRight w:val="0"/>
          <w:marTop w:val="0"/>
          <w:marBottom w:val="0"/>
          <w:divBdr>
            <w:top w:val="none" w:sz="0" w:space="0" w:color="auto"/>
            <w:left w:val="none" w:sz="0" w:space="0" w:color="auto"/>
            <w:bottom w:val="none" w:sz="0" w:space="0" w:color="auto"/>
            <w:right w:val="none" w:sz="0" w:space="0" w:color="auto"/>
          </w:divBdr>
        </w:div>
        <w:div w:id="302976213">
          <w:marLeft w:val="0"/>
          <w:marRight w:val="0"/>
          <w:marTop w:val="0"/>
          <w:marBottom w:val="0"/>
          <w:divBdr>
            <w:top w:val="none" w:sz="0" w:space="0" w:color="auto"/>
            <w:left w:val="none" w:sz="0" w:space="0" w:color="auto"/>
            <w:bottom w:val="none" w:sz="0" w:space="0" w:color="auto"/>
            <w:right w:val="none" w:sz="0" w:space="0" w:color="auto"/>
          </w:divBdr>
        </w:div>
        <w:div w:id="1089421985">
          <w:marLeft w:val="0"/>
          <w:marRight w:val="0"/>
          <w:marTop w:val="0"/>
          <w:marBottom w:val="0"/>
          <w:divBdr>
            <w:top w:val="none" w:sz="0" w:space="0" w:color="auto"/>
            <w:left w:val="none" w:sz="0" w:space="0" w:color="auto"/>
            <w:bottom w:val="none" w:sz="0" w:space="0" w:color="auto"/>
            <w:right w:val="none" w:sz="0" w:space="0" w:color="auto"/>
          </w:divBdr>
        </w:div>
      </w:divsChild>
    </w:div>
    <w:div w:id="1266890395">
      <w:bodyDiv w:val="1"/>
      <w:marLeft w:val="0"/>
      <w:marRight w:val="0"/>
      <w:marTop w:val="0"/>
      <w:marBottom w:val="0"/>
      <w:divBdr>
        <w:top w:val="none" w:sz="0" w:space="0" w:color="auto"/>
        <w:left w:val="none" w:sz="0" w:space="0" w:color="auto"/>
        <w:bottom w:val="none" w:sz="0" w:space="0" w:color="auto"/>
        <w:right w:val="none" w:sz="0" w:space="0" w:color="auto"/>
      </w:divBdr>
      <w:divsChild>
        <w:div w:id="181938915">
          <w:marLeft w:val="0"/>
          <w:marRight w:val="0"/>
          <w:marTop w:val="0"/>
          <w:marBottom w:val="0"/>
          <w:divBdr>
            <w:top w:val="none" w:sz="0" w:space="0" w:color="auto"/>
            <w:left w:val="none" w:sz="0" w:space="0" w:color="auto"/>
            <w:bottom w:val="none" w:sz="0" w:space="0" w:color="auto"/>
            <w:right w:val="none" w:sz="0" w:space="0" w:color="auto"/>
          </w:divBdr>
        </w:div>
        <w:div w:id="623002043">
          <w:marLeft w:val="0"/>
          <w:marRight w:val="0"/>
          <w:marTop w:val="0"/>
          <w:marBottom w:val="0"/>
          <w:divBdr>
            <w:top w:val="none" w:sz="0" w:space="0" w:color="auto"/>
            <w:left w:val="none" w:sz="0" w:space="0" w:color="auto"/>
            <w:bottom w:val="none" w:sz="0" w:space="0" w:color="auto"/>
            <w:right w:val="none" w:sz="0" w:space="0" w:color="auto"/>
          </w:divBdr>
        </w:div>
        <w:div w:id="769158776">
          <w:marLeft w:val="0"/>
          <w:marRight w:val="0"/>
          <w:marTop w:val="0"/>
          <w:marBottom w:val="0"/>
          <w:divBdr>
            <w:top w:val="none" w:sz="0" w:space="0" w:color="auto"/>
            <w:left w:val="none" w:sz="0" w:space="0" w:color="auto"/>
            <w:bottom w:val="none" w:sz="0" w:space="0" w:color="auto"/>
            <w:right w:val="none" w:sz="0" w:space="0" w:color="auto"/>
          </w:divBdr>
        </w:div>
        <w:div w:id="1248342040">
          <w:marLeft w:val="0"/>
          <w:marRight w:val="0"/>
          <w:marTop w:val="0"/>
          <w:marBottom w:val="0"/>
          <w:divBdr>
            <w:top w:val="none" w:sz="0" w:space="0" w:color="auto"/>
            <w:left w:val="none" w:sz="0" w:space="0" w:color="auto"/>
            <w:bottom w:val="none" w:sz="0" w:space="0" w:color="auto"/>
            <w:right w:val="none" w:sz="0" w:space="0" w:color="auto"/>
          </w:divBdr>
        </w:div>
        <w:div w:id="1290894193">
          <w:marLeft w:val="0"/>
          <w:marRight w:val="0"/>
          <w:marTop w:val="0"/>
          <w:marBottom w:val="0"/>
          <w:divBdr>
            <w:top w:val="none" w:sz="0" w:space="0" w:color="auto"/>
            <w:left w:val="none" w:sz="0" w:space="0" w:color="auto"/>
            <w:bottom w:val="none" w:sz="0" w:space="0" w:color="auto"/>
            <w:right w:val="none" w:sz="0" w:space="0" w:color="auto"/>
          </w:divBdr>
        </w:div>
        <w:div w:id="1299720275">
          <w:marLeft w:val="0"/>
          <w:marRight w:val="0"/>
          <w:marTop w:val="0"/>
          <w:marBottom w:val="0"/>
          <w:divBdr>
            <w:top w:val="none" w:sz="0" w:space="0" w:color="auto"/>
            <w:left w:val="none" w:sz="0" w:space="0" w:color="auto"/>
            <w:bottom w:val="none" w:sz="0" w:space="0" w:color="auto"/>
            <w:right w:val="none" w:sz="0" w:space="0" w:color="auto"/>
          </w:divBdr>
        </w:div>
      </w:divsChild>
    </w:div>
    <w:div w:id="1299192152">
      <w:bodyDiv w:val="1"/>
      <w:marLeft w:val="0"/>
      <w:marRight w:val="0"/>
      <w:marTop w:val="0"/>
      <w:marBottom w:val="0"/>
      <w:divBdr>
        <w:top w:val="none" w:sz="0" w:space="0" w:color="auto"/>
        <w:left w:val="none" w:sz="0" w:space="0" w:color="auto"/>
        <w:bottom w:val="none" w:sz="0" w:space="0" w:color="auto"/>
        <w:right w:val="none" w:sz="0" w:space="0" w:color="auto"/>
      </w:divBdr>
      <w:divsChild>
        <w:div w:id="164244708">
          <w:marLeft w:val="0"/>
          <w:marRight w:val="0"/>
          <w:marTop w:val="0"/>
          <w:marBottom w:val="0"/>
          <w:divBdr>
            <w:top w:val="none" w:sz="0" w:space="0" w:color="auto"/>
            <w:left w:val="none" w:sz="0" w:space="0" w:color="auto"/>
            <w:bottom w:val="none" w:sz="0" w:space="0" w:color="auto"/>
            <w:right w:val="none" w:sz="0" w:space="0" w:color="auto"/>
          </w:divBdr>
        </w:div>
        <w:div w:id="247807033">
          <w:marLeft w:val="0"/>
          <w:marRight w:val="0"/>
          <w:marTop w:val="0"/>
          <w:marBottom w:val="0"/>
          <w:divBdr>
            <w:top w:val="none" w:sz="0" w:space="0" w:color="auto"/>
            <w:left w:val="none" w:sz="0" w:space="0" w:color="auto"/>
            <w:bottom w:val="none" w:sz="0" w:space="0" w:color="auto"/>
            <w:right w:val="none" w:sz="0" w:space="0" w:color="auto"/>
          </w:divBdr>
        </w:div>
        <w:div w:id="929581543">
          <w:marLeft w:val="0"/>
          <w:marRight w:val="0"/>
          <w:marTop w:val="0"/>
          <w:marBottom w:val="0"/>
          <w:divBdr>
            <w:top w:val="none" w:sz="0" w:space="0" w:color="auto"/>
            <w:left w:val="none" w:sz="0" w:space="0" w:color="auto"/>
            <w:bottom w:val="none" w:sz="0" w:space="0" w:color="auto"/>
            <w:right w:val="none" w:sz="0" w:space="0" w:color="auto"/>
          </w:divBdr>
        </w:div>
        <w:div w:id="1260065957">
          <w:marLeft w:val="0"/>
          <w:marRight w:val="0"/>
          <w:marTop w:val="0"/>
          <w:marBottom w:val="0"/>
          <w:divBdr>
            <w:top w:val="none" w:sz="0" w:space="0" w:color="auto"/>
            <w:left w:val="none" w:sz="0" w:space="0" w:color="auto"/>
            <w:bottom w:val="none" w:sz="0" w:space="0" w:color="auto"/>
            <w:right w:val="none" w:sz="0" w:space="0" w:color="auto"/>
          </w:divBdr>
        </w:div>
        <w:div w:id="1979527397">
          <w:marLeft w:val="0"/>
          <w:marRight w:val="0"/>
          <w:marTop w:val="0"/>
          <w:marBottom w:val="0"/>
          <w:divBdr>
            <w:top w:val="none" w:sz="0" w:space="0" w:color="auto"/>
            <w:left w:val="none" w:sz="0" w:space="0" w:color="auto"/>
            <w:bottom w:val="none" w:sz="0" w:space="0" w:color="auto"/>
            <w:right w:val="none" w:sz="0" w:space="0" w:color="auto"/>
          </w:divBdr>
        </w:div>
        <w:div w:id="2051564111">
          <w:marLeft w:val="0"/>
          <w:marRight w:val="0"/>
          <w:marTop w:val="0"/>
          <w:marBottom w:val="0"/>
          <w:divBdr>
            <w:top w:val="none" w:sz="0" w:space="0" w:color="auto"/>
            <w:left w:val="none" w:sz="0" w:space="0" w:color="auto"/>
            <w:bottom w:val="none" w:sz="0" w:space="0" w:color="auto"/>
            <w:right w:val="none" w:sz="0" w:space="0" w:color="auto"/>
          </w:divBdr>
        </w:div>
      </w:divsChild>
    </w:div>
    <w:div w:id="1423523439">
      <w:bodyDiv w:val="1"/>
      <w:marLeft w:val="0"/>
      <w:marRight w:val="0"/>
      <w:marTop w:val="0"/>
      <w:marBottom w:val="0"/>
      <w:divBdr>
        <w:top w:val="none" w:sz="0" w:space="0" w:color="auto"/>
        <w:left w:val="none" w:sz="0" w:space="0" w:color="auto"/>
        <w:bottom w:val="none" w:sz="0" w:space="0" w:color="auto"/>
        <w:right w:val="none" w:sz="0" w:space="0" w:color="auto"/>
      </w:divBdr>
      <w:divsChild>
        <w:div w:id="39937497">
          <w:marLeft w:val="0"/>
          <w:marRight w:val="0"/>
          <w:marTop w:val="0"/>
          <w:marBottom w:val="0"/>
          <w:divBdr>
            <w:top w:val="none" w:sz="0" w:space="0" w:color="auto"/>
            <w:left w:val="none" w:sz="0" w:space="0" w:color="auto"/>
            <w:bottom w:val="none" w:sz="0" w:space="0" w:color="auto"/>
            <w:right w:val="none" w:sz="0" w:space="0" w:color="auto"/>
          </w:divBdr>
        </w:div>
        <w:div w:id="771049644">
          <w:marLeft w:val="0"/>
          <w:marRight w:val="0"/>
          <w:marTop w:val="0"/>
          <w:marBottom w:val="0"/>
          <w:divBdr>
            <w:top w:val="none" w:sz="0" w:space="0" w:color="auto"/>
            <w:left w:val="none" w:sz="0" w:space="0" w:color="auto"/>
            <w:bottom w:val="none" w:sz="0" w:space="0" w:color="auto"/>
            <w:right w:val="none" w:sz="0" w:space="0" w:color="auto"/>
          </w:divBdr>
        </w:div>
        <w:div w:id="1419015492">
          <w:marLeft w:val="0"/>
          <w:marRight w:val="0"/>
          <w:marTop w:val="0"/>
          <w:marBottom w:val="0"/>
          <w:divBdr>
            <w:top w:val="none" w:sz="0" w:space="0" w:color="auto"/>
            <w:left w:val="none" w:sz="0" w:space="0" w:color="auto"/>
            <w:bottom w:val="none" w:sz="0" w:space="0" w:color="auto"/>
            <w:right w:val="none" w:sz="0" w:space="0" w:color="auto"/>
          </w:divBdr>
        </w:div>
        <w:div w:id="1676609408">
          <w:marLeft w:val="0"/>
          <w:marRight w:val="0"/>
          <w:marTop w:val="0"/>
          <w:marBottom w:val="0"/>
          <w:divBdr>
            <w:top w:val="none" w:sz="0" w:space="0" w:color="auto"/>
            <w:left w:val="none" w:sz="0" w:space="0" w:color="auto"/>
            <w:bottom w:val="none" w:sz="0" w:space="0" w:color="auto"/>
            <w:right w:val="none" w:sz="0" w:space="0" w:color="auto"/>
          </w:divBdr>
        </w:div>
        <w:div w:id="2086566387">
          <w:marLeft w:val="0"/>
          <w:marRight w:val="0"/>
          <w:marTop w:val="0"/>
          <w:marBottom w:val="0"/>
          <w:divBdr>
            <w:top w:val="none" w:sz="0" w:space="0" w:color="auto"/>
            <w:left w:val="none" w:sz="0" w:space="0" w:color="auto"/>
            <w:bottom w:val="none" w:sz="0" w:space="0" w:color="auto"/>
            <w:right w:val="none" w:sz="0" w:space="0" w:color="auto"/>
          </w:divBdr>
        </w:div>
      </w:divsChild>
    </w:div>
    <w:div w:id="1602253002">
      <w:bodyDiv w:val="1"/>
      <w:marLeft w:val="0"/>
      <w:marRight w:val="0"/>
      <w:marTop w:val="0"/>
      <w:marBottom w:val="0"/>
      <w:divBdr>
        <w:top w:val="none" w:sz="0" w:space="0" w:color="auto"/>
        <w:left w:val="none" w:sz="0" w:space="0" w:color="auto"/>
        <w:bottom w:val="none" w:sz="0" w:space="0" w:color="auto"/>
        <w:right w:val="none" w:sz="0" w:space="0" w:color="auto"/>
      </w:divBdr>
    </w:div>
    <w:div w:id="1653485944">
      <w:bodyDiv w:val="1"/>
      <w:marLeft w:val="0"/>
      <w:marRight w:val="0"/>
      <w:marTop w:val="0"/>
      <w:marBottom w:val="0"/>
      <w:divBdr>
        <w:top w:val="none" w:sz="0" w:space="0" w:color="auto"/>
        <w:left w:val="none" w:sz="0" w:space="0" w:color="auto"/>
        <w:bottom w:val="none" w:sz="0" w:space="0" w:color="auto"/>
        <w:right w:val="none" w:sz="0" w:space="0" w:color="auto"/>
      </w:divBdr>
    </w:div>
    <w:div w:id="1660035189">
      <w:bodyDiv w:val="1"/>
      <w:marLeft w:val="0"/>
      <w:marRight w:val="0"/>
      <w:marTop w:val="0"/>
      <w:marBottom w:val="0"/>
      <w:divBdr>
        <w:top w:val="none" w:sz="0" w:space="0" w:color="auto"/>
        <w:left w:val="none" w:sz="0" w:space="0" w:color="auto"/>
        <w:bottom w:val="none" w:sz="0" w:space="0" w:color="auto"/>
        <w:right w:val="none" w:sz="0" w:space="0" w:color="auto"/>
      </w:divBdr>
      <w:divsChild>
        <w:div w:id="899942933">
          <w:marLeft w:val="0"/>
          <w:marRight w:val="0"/>
          <w:marTop w:val="0"/>
          <w:marBottom w:val="0"/>
          <w:divBdr>
            <w:top w:val="none" w:sz="0" w:space="0" w:color="auto"/>
            <w:left w:val="none" w:sz="0" w:space="0" w:color="auto"/>
            <w:bottom w:val="none" w:sz="0" w:space="0" w:color="auto"/>
            <w:right w:val="none" w:sz="0" w:space="0" w:color="auto"/>
          </w:divBdr>
        </w:div>
        <w:div w:id="1088118583">
          <w:marLeft w:val="0"/>
          <w:marRight w:val="0"/>
          <w:marTop w:val="0"/>
          <w:marBottom w:val="0"/>
          <w:divBdr>
            <w:top w:val="none" w:sz="0" w:space="0" w:color="auto"/>
            <w:left w:val="none" w:sz="0" w:space="0" w:color="auto"/>
            <w:bottom w:val="none" w:sz="0" w:space="0" w:color="auto"/>
            <w:right w:val="none" w:sz="0" w:space="0" w:color="auto"/>
          </w:divBdr>
        </w:div>
        <w:div w:id="1852596855">
          <w:marLeft w:val="0"/>
          <w:marRight w:val="0"/>
          <w:marTop w:val="0"/>
          <w:marBottom w:val="0"/>
          <w:divBdr>
            <w:top w:val="none" w:sz="0" w:space="0" w:color="auto"/>
            <w:left w:val="none" w:sz="0" w:space="0" w:color="auto"/>
            <w:bottom w:val="none" w:sz="0" w:space="0" w:color="auto"/>
            <w:right w:val="none" w:sz="0" w:space="0" w:color="auto"/>
          </w:divBdr>
        </w:div>
        <w:div w:id="551648478">
          <w:marLeft w:val="0"/>
          <w:marRight w:val="0"/>
          <w:marTop w:val="0"/>
          <w:marBottom w:val="0"/>
          <w:divBdr>
            <w:top w:val="none" w:sz="0" w:space="0" w:color="auto"/>
            <w:left w:val="none" w:sz="0" w:space="0" w:color="auto"/>
            <w:bottom w:val="none" w:sz="0" w:space="0" w:color="auto"/>
            <w:right w:val="none" w:sz="0" w:space="0" w:color="auto"/>
          </w:divBdr>
        </w:div>
        <w:div w:id="1984775158">
          <w:marLeft w:val="0"/>
          <w:marRight w:val="0"/>
          <w:marTop w:val="0"/>
          <w:marBottom w:val="0"/>
          <w:divBdr>
            <w:top w:val="none" w:sz="0" w:space="0" w:color="auto"/>
            <w:left w:val="none" w:sz="0" w:space="0" w:color="auto"/>
            <w:bottom w:val="none" w:sz="0" w:space="0" w:color="auto"/>
            <w:right w:val="none" w:sz="0" w:space="0" w:color="auto"/>
          </w:divBdr>
        </w:div>
        <w:div w:id="1390492158">
          <w:marLeft w:val="0"/>
          <w:marRight w:val="0"/>
          <w:marTop w:val="0"/>
          <w:marBottom w:val="0"/>
          <w:divBdr>
            <w:top w:val="none" w:sz="0" w:space="0" w:color="auto"/>
            <w:left w:val="none" w:sz="0" w:space="0" w:color="auto"/>
            <w:bottom w:val="none" w:sz="0" w:space="0" w:color="auto"/>
            <w:right w:val="none" w:sz="0" w:space="0" w:color="auto"/>
          </w:divBdr>
        </w:div>
        <w:div w:id="1498375167">
          <w:marLeft w:val="0"/>
          <w:marRight w:val="0"/>
          <w:marTop w:val="0"/>
          <w:marBottom w:val="0"/>
          <w:divBdr>
            <w:top w:val="none" w:sz="0" w:space="0" w:color="auto"/>
            <w:left w:val="none" w:sz="0" w:space="0" w:color="auto"/>
            <w:bottom w:val="none" w:sz="0" w:space="0" w:color="auto"/>
            <w:right w:val="none" w:sz="0" w:space="0" w:color="auto"/>
          </w:divBdr>
        </w:div>
      </w:divsChild>
    </w:div>
    <w:div w:id="1752506044">
      <w:bodyDiv w:val="1"/>
      <w:marLeft w:val="0"/>
      <w:marRight w:val="0"/>
      <w:marTop w:val="0"/>
      <w:marBottom w:val="0"/>
      <w:divBdr>
        <w:top w:val="none" w:sz="0" w:space="0" w:color="auto"/>
        <w:left w:val="none" w:sz="0" w:space="0" w:color="auto"/>
        <w:bottom w:val="none" w:sz="0" w:space="0" w:color="auto"/>
        <w:right w:val="none" w:sz="0" w:space="0" w:color="auto"/>
      </w:divBdr>
    </w:div>
    <w:div w:id="1988237401">
      <w:bodyDiv w:val="1"/>
      <w:marLeft w:val="0"/>
      <w:marRight w:val="0"/>
      <w:marTop w:val="0"/>
      <w:marBottom w:val="0"/>
      <w:divBdr>
        <w:top w:val="none" w:sz="0" w:space="0" w:color="auto"/>
        <w:left w:val="none" w:sz="0" w:space="0" w:color="auto"/>
        <w:bottom w:val="none" w:sz="0" w:space="0" w:color="auto"/>
        <w:right w:val="none" w:sz="0" w:space="0" w:color="auto"/>
      </w:divBdr>
    </w:div>
    <w:div w:id="2022127463">
      <w:bodyDiv w:val="1"/>
      <w:marLeft w:val="0"/>
      <w:marRight w:val="0"/>
      <w:marTop w:val="0"/>
      <w:marBottom w:val="0"/>
      <w:divBdr>
        <w:top w:val="none" w:sz="0" w:space="0" w:color="auto"/>
        <w:left w:val="none" w:sz="0" w:space="0" w:color="auto"/>
        <w:bottom w:val="none" w:sz="0" w:space="0" w:color="auto"/>
        <w:right w:val="none" w:sz="0" w:space="0" w:color="auto"/>
      </w:divBdr>
    </w:div>
    <w:div w:id="2030065517">
      <w:bodyDiv w:val="1"/>
      <w:marLeft w:val="0"/>
      <w:marRight w:val="0"/>
      <w:marTop w:val="0"/>
      <w:marBottom w:val="0"/>
      <w:divBdr>
        <w:top w:val="none" w:sz="0" w:space="0" w:color="auto"/>
        <w:left w:val="none" w:sz="0" w:space="0" w:color="auto"/>
        <w:bottom w:val="none" w:sz="0" w:space="0" w:color="auto"/>
        <w:right w:val="none" w:sz="0" w:space="0" w:color="auto"/>
      </w:divBdr>
      <w:divsChild>
        <w:div w:id="1888686117">
          <w:marLeft w:val="0"/>
          <w:marRight w:val="0"/>
          <w:marTop w:val="0"/>
          <w:marBottom w:val="0"/>
          <w:divBdr>
            <w:top w:val="none" w:sz="0" w:space="0" w:color="auto"/>
            <w:left w:val="none" w:sz="0" w:space="0" w:color="auto"/>
            <w:bottom w:val="none" w:sz="0" w:space="0" w:color="auto"/>
            <w:right w:val="none" w:sz="0" w:space="0" w:color="auto"/>
          </w:divBdr>
        </w:div>
        <w:div w:id="1485708158">
          <w:marLeft w:val="0"/>
          <w:marRight w:val="0"/>
          <w:marTop w:val="0"/>
          <w:marBottom w:val="0"/>
          <w:divBdr>
            <w:top w:val="none" w:sz="0" w:space="0" w:color="auto"/>
            <w:left w:val="none" w:sz="0" w:space="0" w:color="auto"/>
            <w:bottom w:val="none" w:sz="0" w:space="0" w:color="auto"/>
            <w:right w:val="none" w:sz="0" w:space="0" w:color="auto"/>
          </w:divBdr>
        </w:div>
        <w:div w:id="772163007">
          <w:marLeft w:val="0"/>
          <w:marRight w:val="0"/>
          <w:marTop w:val="0"/>
          <w:marBottom w:val="0"/>
          <w:divBdr>
            <w:top w:val="none" w:sz="0" w:space="0" w:color="auto"/>
            <w:left w:val="none" w:sz="0" w:space="0" w:color="auto"/>
            <w:bottom w:val="none" w:sz="0" w:space="0" w:color="auto"/>
            <w:right w:val="none" w:sz="0" w:space="0" w:color="auto"/>
          </w:divBdr>
        </w:div>
        <w:div w:id="1154952443">
          <w:marLeft w:val="0"/>
          <w:marRight w:val="0"/>
          <w:marTop w:val="0"/>
          <w:marBottom w:val="0"/>
          <w:divBdr>
            <w:top w:val="none" w:sz="0" w:space="0" w:color="auto"/>
            <w:left w:val="none" w:sz="0" w:space="0" w:color="auto"/>
            <w:bottom w:val="none" w:sz="0" w:space="0" w:color="auto"/>
            <w:right w:val="none" w:sz="0" w:space="0" w:color="auto"/>
          </w:divBdr>
        </w:div>
        <w:div w:id="951714186">
          <w:marLeft w:val="0"/>
          <w:marRight w:val="0"/>
          <w:marTop w:val="0"/>
          <w:marBottom w:val="0"/>
          <w:divBdr>
            <w:top w:val="none" w:sz="0" w:space="0" w:color="auto"/>
            <w:left w:val="none" w:sz="0" w:space="0" w:color="auto"/>
            <w:bottom w:val="none" w:sz="0" w:space="0" w:color="auto"/>
            <w:right w:val="none" w:sz="0" w:space="0" w:color="auto"/>
          </w:divBdr>
        </w:div>
        <w:div w:id="227107387">
          <w:marLeft w:val="0"/>
          <w:marRight w:val="0"/>
          <w:marTop w:val="0"/>
          <w:marBottom w:val="0"/>
          <w:divBdr>
            <w:top w:val="none" w:sz="0" w:space="0" w:color="auto"/>
            <w:left w:val="none" w:sz="0" w:space="0" w:color="auto"/>
            <w:bottom w:val="none" w:sz="0" w:space="0" w:color="auto"/>
            <w:right w:val="none" w:sz="0" w:space="0" w:color="auto"/>
          </w:divBdr>
        </w:div>
        <w:div w:id="116070992">
          <w:marLeft w:val="0"/>
          <w:marRight w:val="0"/>
          <w:marTop w:val="0"/>
          <w:marBottom w:val="0"/>
          <w:divBdr>
            <w:top w:val="none" w:sz="0" w:space="0" w:color="auto"/>
            <w:left w:val="none" w:sz="0" w:space="0" w:color="auto"/>
            <w:bottom w:val="none" w:sz="0" w:space="0" w:color="auto"/>
            <w:right w:val="none" w:sz="0" w:space="0" w:color="auto"/>
          </w:divBdr>
        </w:div>
      </w:divsChild>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sChild>
        <w:div w:id="1693385269">
          <w:marLeft w:val="0"/>
          <w:marRight w:val="0"/>
          <w:marTop w:val="0"/>
          <w:marBottom w:val="0"/>
          <w:divBdr>
            <w:top w:val="none" w:sz="0" w:space="0" w:color="auto"/>
            <w:left w:val="none" w:sz="0" w:space="0" w:color="auto"/>
            <w:bottom w:val="none" w:sz="0" w:space="0" w:color="auto"/>
            <w:right w:val="none" w:sz="0" w:space="0" w:color="auto"/>
          </w:divBdr>
        </w:div>
        <w:div w:id="891304759">
          <w:marLeft w:val="0"/>
          <w:marRight w:val="0"/>
          <w:marTop w:val="0"/>
          <w:marBottom w:val="0"/>
          <w:divBdr>
            <w:top w:val="none" w:sz="0" w:space="0" w:color="auto"/>
            <w:left w:val="none" w:sz="0" w:space="0" w:color="auto"/>
            <w:bottom w:val="none" w:sz="0" w:space="0" w:color="auto"/>
            <w:right w:val="none" w:sz="0" w:space="0" w:color="auto"/>
          </w:divBdr>
        </w:div>
        <w:div w:id="909969007">
          <w:marLeft w:val="0"/>
          <w:marRight w:val="0"/>
          <w:marTop w:val="0"/>
          <w:marBottom w:val="0"/>
          <w:divBdr>
            <w:top w:val="none" w:sz="0" w:space="0" w:color="auto"/>
            <w:left w:val="none" w:sz="0" w:space="0" w:color="auto"/>
            <w:bottom w:val="none" w:sz="0" w:space="0" w:color="auto"/>
            <w:right w:val="none" w:sz="0" w:space="0" w:color="auto"/>
          </w:divBdr>
        </w:div>
        <w:div w:id="1747917892">
          <w:marLeft w:val="0"/>
          <w:marRight w:val="0"/>
          <w:marTop w:val="0"/>
          <w:marBottom w:val="0"/>
          <w:divBdr>
            <w:top w:val="none" w:sz="0" w:space="0" w:color="auto"/>
            <w:left w:val="none" w:sz="0" w:space="0" w:color="auto"/>
            <w:bottom w:val="none" w:sz="0" w:space="0" w:color="auto"/>
            <w:right w:val="none" w:sz="0" w:space="0" w:color="auto"/>
          </w:divBdr>
        </w:div>
        <w:div w:id="1800029289">
          <w:marLeft w:val="0"/>
          <w:marRight w:val="0"/>
          <w:marTop w:val="0"/>
          <w:marBottom w:val="0"/>
          <w:divBdr>
            <w:top w:val="none" w:sz="0" w:space="0" w:color="auto"/>
            <w:left w:val="none" w:sz="0" w:space="0" w:color="auto"/>
            <w:bottom w:val="none" w:sz="0" w:space="0" w:color="auto"/>
            <w:right w:val="none" w:sz="0" w:space="0" w:color="auto"/>
          </w:divBdr>
        </w:div>
        <w:div w:id="2140875744">
          <w:marLeft w:val="0"/>
          <w:marRight w:val="0"/>
          <w:marTop w:val="0"/>
          <w:marBottom w:val="0"/>
          <w:divBdr>
            <w:top w:val="none" w:sz="0" w:space="0" w:color="auto"/>
            <w:left w:val="none" w:sz="0" w:space="0" w:color="auto"/>
            <w:bottom w:val="none" w:sz="0" w:space="0" w:color="auto"/>
            <w:right w:val="none" w:sz="0" w:space="0" w:color="auto"/>
          </w:divBdr>
        </w:div>
        <w:div w:id="115167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udoc.echr.coe.int/en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24</Pages>
  <Words>13303</Words>
  <Characters>73169</Characters>
  <Application>Microsoft Office Word</Application>
  <DocSecurity>0</DocSecurity>
  <Lines>609</Lines>
  <Paragraphs>172</Paragraphs>
  <ScaleCrop>false</ScaleCrop>
  <HeadingPairs>
    <vt:vector size="2" baseType="variant">
      <vt:variant>
        <vt:lpstr>Titre</vt:lpstr>
      </vt:variant>
      <vt:variant>
        <vt:i4>1</vt:i4>
      </vt:variant>
    </vt:vector>
  </HeadingPairs>
  <TitlesOfParts>
    <vt:vector size="1" baseType="lpstr">
      <vt:lpstr>DROIT EUROPEEN DES DROITS DE L’HOMME</vt:lpstr>
    </vt:vector>
  </TitlesOfParts>
  <Company/>
  <LinksUpToDate>false</LinksUpToDate>
  <CharactersWithSpaces>86300</CharactersWithSpaces>
  <SharedDoc>false</SharedDoc>
  <HLinks>
    <vt:vector size="18" baseType="variant">
      <vt:variant>
        <vt:i4>786505</vt:i4>
      </vt:variant>
      <vt:variant>
        <vt:i4>48</vt:i4>
      </vt:variant>
      <vt:variant>
        <vt:i4>0</vt:i4>
      </vt:variant>
      <vt:variant>
        <vt:i4>5</vt:i4>
      </vt:variant>
      <vt:variant>
        <vt:lpwstr>https://www-lexbase-fr.docelec.u-bordeaux.fr/index/source/1896888-constitution-04-10-1958-art-55</vt:lpwstr>
      </vt:variant>
      <vt:variant>
        <vt:lpwstr/>
      </vt:variant>
      <vt:variant>
        <vt:i4>6029388</vt:i4>
      </vt:variant>
      <vt:variant>
        <vt:i4>45</vt:i4>
      </vt:variant>
      <vt:variant>
        <vt:i4>0</vt:i4>
      </vt:variant>
      <vt:variant>
        <vt:i4>5</vt:i4>
      </vt:variant>
      <vt:variant>
        <vt:lpwstr>http://revdh.revues.org/2039</vt:lpwstr>
      </vt:variant>
      <vt:variant>
        <vt:lpwstr/>
      </vt:variant>
      <vt:variant>
        <vt:i4>721001</vt:i4>
      </vt:variant>
      <vt:variant>
        <vt:i4>0</vt:i4>
      </vt:variant>
      <vt:variant>
        <vt:i4>0</vt:i4>
      </vt:variant>
      <vt:variant>
        <vt:i4>5</vt:i4>
      </vt:variant>
      <vt:variant>
        <vt:lpwstr>http://newip.doctrinalplus.fr.docelec.u-bordeaux.fr/doc/fr/jurisprudence/judiciaire/cour_de_cassation/11701238?search_id=96c46ca06590cec46cce20200e7f8dbd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HUMAN RIGHTS LAW</dc:title>
  <dc:subject/>
  <dc:creator>Adeline</dc:creator>
  <cp:keywords/>
  <cp:lastModifiedBy>Adeline Gouttenoire</cp:lastModifiedBy>
  <cp:revision>1</cp:revision>
  <cp:lastPrinted>2024-09-11T09:21:00Z</cp:lastPrinted>
  <dcterms:created xsi:type="dcterms:W3CDTF">2025-09-09T14:08:00Z</dcterms:created>
  <dcterms:modified xsi:type="dcterms:W3CDTF">2025-09-09T14:23:00Z</dcterms:modified>
</cp:coreProperties>
</file>