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CFE3" w14:textId="655644F1" w:rsidR="005D5C86" w:rsidRPr="00007B7D" w:rsidRDefault="005D5C86" w:rsidP="005D5C86">
      <w:pPr>
        <w:rPr>
          <w:rFonts w:ascii="Times New Roman" w:hAnsi="Times New Roman" w:cs="Times New Roman"/>
        </w:rPr>
      </w:pPr>
    </w:p>
    <w:p w14:paraId="0471089E" w14:textId="77777777" w:rsidR="005D5C86" w:rsidRPr="00007B7D" w:rsidRDefault="005D5C86" w:rsidP="005D5C86">
      <w:pPr>
        <w:pStyle w:val="DecHTitle"/>
      </w:pPr>
      <w:r w:rsidRPr="00007B7D">
        <w:t>CINQUIÈME SECTION</w:t>
      </w:r>
    </w:p>
    <w:p w14:paraId="7F643E02" w14:textId="77777777" w:rsidR="005D5C86" w:rsidRPr="00007B7D" w:rsidRDefault="005D5C86" w:rsidP="005D5C86">
      <w:pPr>
        <w:pStyle w:val="JuTitle"/>
        <w:spacing w:before="840"/>
      </w:pPr>
      <w:r w:rsidRPr="00007B7D">
        <w:t xml:space="preserve">AFFAIRE E.A. ET ASSOCIATION EUROPÉENNE </w:t>
      </w:r>
      <w:r w:rsidRPr="00007B7D">
        <w:br/>
        <w:t>CONTRE LES VIOLENCES FAITES AUX FEMMES AU TRAVAIL c. FRANCE</w:t>
      </w:r>
    </w:p>
    <w:p w14:paraId="43ABBDCD" w14:textId="77777777" w:rsidR="005D5C86" w:rsidRPr="00007B7D" w:rsidRDefault="005D5C86" w:rsidP="005D5C86">
      <w:pPr>
        <w:pStyle w:val="ECHRCoverTitle4"/>
      </w:pPr>
      <w:r w:rsidRPr="00007B7D">
        <w:t>(Requête n</w:t>
      </w:r>
      <w:r w:rsidRPr="00007B7D">
        <w:rPr>
          <w:vertAlign w:val="superscript"/>
        </w:rPr>
        <w:t>o</w:t>
      </w:r>
      <w:r w:rsidRPr="00007B7D">
        <w:t xml:space="preserve"> 30556/22)</w:t>
      </w:r>
    </w:p>
    <w:p w14:paraId="2E9D2AAE" w14:textId="77777777" w:rsidR="005D5C86" w:rsidRPr="00007B7D" w:rsidRDefault="005D5C86" w:rsidP="005D5C86">
      <w:pPr>
        <w:pStyle w:val="ECHRTitleCentre2"/>
      </w:pPr>
    </w:p>
    <w:p w14:paraId="5E7B1A71" w14:textId="77777777" w:rsidR="005D5C86" w:rsidRPr="00007B7D" w:rsidRDefault="005D5C86" w:rsidP="005D5C86">
      <w:pPr>
        <w:pStyle w:val="ECHRTitleCentre2"/>
      </w:pPr>
    </w:p>
    <w:p w14:paraId="33B25AF6" w14:textId="77777777" w:rsidR="005D5C86" w:rsidRPr="00007B7D" w:rsidRDefault="005D5C86" w:rsidP="005D5C86">
      <w:pPr>
        <w:pStyle w:val="ECHRTitleCentre2"/>
        <w:spacing w:after="360"/>
      </w:pPr>
      <w:r w:rsidRPr="00007B7D">
        <w:t>ARRÊT</w:t>
      </w:r>
      <w:r w:rsidRPr="00007B7D">
        <w:br/>
      </w:r>
    </w:p>
    <w:p w14:paraId="5C585726" w14:textId="77777777" w:rsidR="005D5C86" w:rsidRPr="00007B7D" w:rsidRDefault="005D5C86" w:rsidP="005D5C86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 w:rsidRPr="00007B7D">
        <w:t xml:space="preserve">Art 3 et Art 8 • Obligations positives • État </w:t>
      </w:r>
      <w:proofErr w:type="spellStart"/>
      <w:r w:rsidRPr="00007B7D">
        <w:t>défendeur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manqué </w:t>
      </w:r>
      <w:proofErr w:type="spellStart"/>
      <w:r w:rsidRPr="00007B7D">
        <w:t>d’instaurer</w:t>
      </w:r>
      <w:proofErr w:type="spellEnd"/>
      <w:r w:rsidRPr="00007B7D">
        <w:t xml:space="preserve"> des dispositions </w:t>
      </w:r>
      <w:proofErr w:type="spellStart"/>
      <w:r w:rsidRPr="00007B7D">
        <w:t>incriminant</w:t>
      </w:r>
      <w:proofErr w:type="spellEnd"/>
      <w:r w:rsidRPr="00007B7D">
        <w:t xml:space="preserve"> et </w:t>
      </w:r>
      <w:proofErr w:type="spellStart"/>
      <w:r w:rsidRPr="00007B7D">
        <w:t>réprimant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 et de les appliquer de </w:t>
      </w:r>
      <w:proofErr w:type="spellStart"/>
      <w:r w:rsidRPr="00007B7D">
        <w:t>façon</w:t>
      </w:r>
      <w:proofErr w:type="spellEnd"/>
      <w:r w:rsidRPr="00007B7D">
        <w:t xml:space="preserve"> effective • Lacunes du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vigueur</w:t>
      </w:r>
      <w:proofErr w:type="spellEnd"/>
      <w:r w:rsidRPr="00007B7D">
        <w:t xml:space="preserve"> à la date des faits • </w:t>
      </w:r>
      <w:proofErr w:type="spellStart"/>
      <w:r w:rsidRPr="00007B7D">
        <w:t>Défaillances</w:t>
      </w:r>
      <w:proofErr w:type="spellEnd"/>
      <w:r w:rsidRPr="00007B7D">
        <w:t xml:space="preserve"> </w:t>
      </w:r>
      <w:proofErr w:type="spellStart"/>
      <w:r w:rsidRPr="00007B7D">
        <w:t>rencontrées</w:t>
      </w:r>
      <w:proofErr w:type="spellEnd"/>
      <w:r w:rsidRPr="00007B7D">
        <w:t xml:space="preserve"> </w:t>
      </w:r>
      <w:proofErr w:type="spellStart"/>
      <w:r w:rsidRPr="00007B7D">
        <w:t>lors</w:t>
      </w:r>
      <w:proofErr w:type="spellEnd"/>
      <w:r w:rsidRPr="00007B7D">
        <w:t xml:space="preserve"> de </w:t>
      </w:r>
      <w:proofErr w:type="spellStart"/>
      <w:r w:rsidRPr="00007B7D">
        <w:t>sa</w:t>
      </w:r>
      <w:proofErr w:type="spellEnd"/>
      <w:r w:rsidRPr="00007B7D">
        <w:t xml:space="preserve"> mise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tenant à la </w:t>
      </w:r>
      <w:proofErr w:type="spellStart"/>
      <w:r w:rsidRPr="00007B7D">
        <w:t>fois</w:t>
      </w:r>
      <w:proofErr w:type="spellEnd"/>
      <w:r w:rsidRPr="00007B7D">
        <w:t xml:space="preserve"> à </w:t>
      </w:r>
      <w:proofErr w:type="spellStart"/>
      <w:r w:rsidRPr="00007B7D">
        <w:t>l’exclusion</w:t>
      </w:r>
      <w:proofErr w:type="spellEnd"/>
      <w:r w:rsidRPr="00007B7D">
        <w:t xml:space="preserve"> des </w:t>
      </w:r>
      <w:proofErr w:type="spellStart"/>
      <w:r w:rsidRPr="00007B7D">
        <w:t>atteintes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dénoncées</w:t>
      </w:r>
      <w:proofErr w:type="spellEnd"/>
      <w:r w:rsidRPr="00007B7D">
        <w:t xml:space="preserve"> </w:t>
      </w:r>
      <w:proofErr w:type="spellStart"/>
      <w:r w:rsidRPr="00007B7D">
        <w:t>par</w:t>
      </w:r>
      <w:proofErr w:type="spellEnd"/>
      <w:r w:rsidRPr="00007B7D">
        <w:t xml:space="preserve"> la </w:t>
      </w:r>
      <w:proofErr w:type="spellStart"/>
      <w:r w:rsidRPr="00007B7D">
        <w:t>requérante</w:t>
      </w:r>
      <w:proofErr w:type="spellEnd"/>
      <w:r w:rsidRPr="00007B7D">
        <w:t xml:space="preserve"> du cadre de </w:t>
      </w:r>
      <w:proofErr w:type="spellStart"/>
      <w:r w:rsidRPr="00007B7D">
        <w:t>l’enquête</w:t>
      </w:r>
      <w:proofErr w:type="spellEnd"/>
      <w:r w:rsidRPr="00007B7D">
        <w:t xml:space="preserve">, au </w:t>
      </w:r>
      <w:proofErr w:type="spellStart"/>
      <w:r w:rsidRPr="00007B7D">
        <w:t>caractère</w:t>
      </w:r>
      <w:proofErr w:type="spellEnd"/>
      <w:r w:rsidRPr="00007B7D">
        <w:t xml:space="preserve"> </w:t>
      </w:r>
      <w:proofErr w:type="spellStart"/>
      <w:r w:rsidRPr="00007B7D">
        <w:t>parcellaire</w:t>
      </w:r>
      <w:proofErr w:type="spellEnd"/>
      <w:r w:rsidRPr="00007B7D">
        <w:t xml:space="preserve"> des investigations, à la durée excessive de la </w:t>
      </w:r>
      <w:proofErr w:type="spellStart"/>
      <w:r w:rsidRPr="00007B7D">
        <w:t>procédure</w:t>
      </w:r>
      <w:proofErr w:type="spellEnd"/>
      <w:r w:rsidRPr="00007B7D">
        <w:t xml:space="preserve">, et aux conditions </w:t>
      </w:r>
      <w:proofErr w:type="spellStart"/>
      <w:r w:rsidRPr="00007B7D">
        <w:t>d’appréciation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 de la </w:t>
      </w:r>
      <w:proofErr w:type="spellStart"/>
      <w:r w:rsidRPr="00007B7D">
        <w:t>requérante</w:t>
      </w:r>
      <w:proofErr w:type="spellEnd"/>
      <w:r w:rsidRPr="00007B7D">
        <w:t xml:space="preserve"> par les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</w:p>
    <w:p w14:paraId="44142718" w14:textId="77777777" w:rsidR="005D5C86" w:rsidRPr="00007B7D" w:rsidRDefault="005D5C86" w:rsidP="005D5C86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2C98D6" w14:textId="77777777" w:rsidR="005D5C86" w:rsidRPr="00007B7D" w:rsidRDefault="005D5C86" w:rsidP="005D5C86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0"/>
          <w:szCs w:val="20"/>
        </w:rPr>
      </w:pPr>
      <w:proofErr w:type="spellStart"/>
      <w:r w:rsidRPr="00007B7D">
        <w:rPr>
          <w:bCs/>
          <w:sz w:val="20"/>
          <w:szCs w:val="20"/>
        </w:rPr>
        <w:t>Préparé</w:t>
      </w:r>
      <w:proofErr w:type="spellEnd"/>
      <w:r w:rsidRPr="00007B7D">
        <w:rPr>
          <w:bCs/>
          <w:sz w:val="20"/>
          <w:szCs w:val="20"/>
        </w:rPr>
        <w:t xml:space="preserve"> par le </w:t>
      </w:r>
      <w:proofErr w:type="spellStart"/>
      <w:r w:rsidRPr="00007B7D">
        <w:rPr>
          <w:bCs/>
          <w:sz w:val="20"/>
          <w:szCs w:val="20"/>
        </w:rPr>
        <w:t>Greffe</w:t>
      </w:r>
      <w:proofErr w:type="spellEnd"/>
      <w:r w:rsidRPr="00007B7D">
        <w:rPr>
          <w:bCs/>
          <w:sz w:val="20"/>
          <w:szCs w:val="20"/>
        </w:rPr>
        <w:t xml:space="preserve">. Ne lie pas la </w:t>
      </w:r>
      <w:proofErr w:type="spellStart"/>
      <w:r w:rsidRPr="00007B7D">
        <w:rPr>
          <w:bCs/>
          <w:sz w:val="20"/>
          <w:szCs w:val="20"/>
        </w:rPr>
        <w:t>Cour</w:t>
      </w:r>
      <w:proofErr w:type="spellEnd"/>
      <w:r w:rsidRPr="00007B7D">
        <w:rPr>
          <w:bCs/>
          <w:sz w:val="20"/>
          <w:szCs w:val="20"/>
        </w:rPr>
        <w:t>.</w:t>
      </w:r>
    </w:p>
    <w:p w14:paraId="4DF030C5" w14:textId="77777777" w:rsidR="005D5C86" w:rsidRPr="00007B7D" w:rsidRDefault="005D5C86" w:rsidP="005D5C86">
      <w:pPr>
        <w:pStyle w:val="ECHRPara"/>
        <w:spacing w:after="120"/>
      </w:pPr>
    </w:p>
    <w:p w14:paraId="128BC60B" w14:textId="77777777" w:rsidR="005D5C86" w:rsidRPr="00007B7D" w:rsidRDefault="005D5C86" w:rsidP="005D5C86">
      <w:pPr>
        <w:pStyle w:val="ECHRTitleCentre2"/>
      </w:pPr>
      <w:r w:rsidRPr="00007B7D">
        <w:t>STRASBOURG</w:t>
      </w:r>
    </w:p>
    <w:p w14:paraId="17394A9F" w14:textId="77777777" w:rsidR="005D5C86" w:rsidRPr="00007B7D" w:rsidRDefault="005D5C86" w:rsidP="005D5C86">
      <w:pPr>
        <w:pStyle w:val="ECHRTitleCentre2"/>
      </w:pPr>
      <w:r w:rsidRPr="00007B7D">
        <w:t xml:space="preserve">4 </w:t>
      </w:r>
      <w:proofErr w:type="spellStart"/>
      <w:r w:rsidRPr="00007B7D">
        <w:t>septembre</w:t>
      </w:r>
      <w:proofErr w:type="spellEnd"/>
      <w:r w:rsidRPr="00007B7D">
        <w:t xml:space="preserve"> 2025</w:t>
      </w:r>
    </w:p>
    <w:p w14:paraId="0BF07933" w14:textId="77777777" w:rsidR="005D5C86" w:rsidRPr="00007B7D" w:rsidRDefault="005D5C86" w:rsidP="005D5C86">
      <w:pPr>
        <w:pStyle w:val="ECHRTitleCentre2"/>
      </w:pPr>
    </w:p>
    <w:p w14:paraId="23665F4A" w14:textId="77777777" w:rsidR="005D5C86" w:rsidRPr="00007B7D" w:rsidRDefault="005D5C86" w:rsidP="005D5C86">
      <w:pPr>
        <w:rPr>
          <w:rFonts w:ascii="Times New Roman" w:hAnsi="Times New Roman" w:cs="Times New Roman"/>
          <w:i/>
          <w:sz w:val="22"/>
        </w:rPr>
      </w:pPr>
      <w:proofErr w:type="spellStart"/>
      <w:r w:rsidRPr="00007B7D">
        <w:rPr>
          <w:i/>
          <w:sz w:val="22"/>
        </w:rPr>
        <w:t>Cet</w:t>
      </w:r>
      <w:proofErr w:type="spellEnd"/>
      <w:r w:rsidRPr="00007B7D">
        <w:rPr>
          <w:i/>
          <w:sz w:val="22"/>
        </w:rPr>
        <w:t xml:space="preserve"> </w:t>
      </w:r>
      <w:proofErr w:type="spellStart"/>
      <w:r w:rsidRPr="00007B7D">
        <w:rPr>
          <w:i/>
          <w:sz w:val="22"/>
        </w:rPr>
        <w:t>arrêt</w:t>
      </w:r>
      <w:proofErr w:type="spellEnd"/>
      <w:r w:rsidRPr="00007B7D">
        <w:rPr>
          <w:i/>
          <w:sz w:val="22"/>
        </w:rPr>
        <w:t xml:space="preserve"> </w:t>
      </w:r>
      <w:proofErr w:type="spellStart"/>
      <w:r w:rsidRPr="00007B7D">
        <w:rPr>
          <w:i/>
          <w:sz w:val="22"/>
        </w:rPr>
        <w:t>deviendra</w:t>
      </w:r>
      <w:proofErr w:type="spellEnd"/>
      <w:r w:rsidRPr="00007B7D">
        <w:rPr>
          <w:i/>
          <w:sz w:val="22"/>
        </w:rPr>
        <w:t xml:space="preserve"> </w:t>
      </w:r>
      <w:proofErr w:type="spellStart"/>
      <w:r w:rsidRPr="00007B7D">
        <w:rPr>
          <w:i/>
          <w:sz w:val="22"/>
        </w:rPr>
        <w:t>définitif</w:t>
      </w:r>
      <w:proofErr w:type="spellEnd"/>
      <w:r w:rsidRPr="00007B7D">
        <w:rPr>
          <w:i/>
          <w:sz w:val="22"/>
        </w:rPr>
        <w:t xml:space="preserve"> dans les conditions </w:t>
      </w:r>
      <w:proofErr w:type="spellStart"/>
      <w:r w:rsidRPr="00007B7D">
        <w:rPr>
          <w:i/>
          <w:sz w:val="22"/>
        </w:rPr>
        <w:t>définies</w:t>
      </w:r>
      <w:proofErr w:type="spellEnd"/>
      <w:r w:rsidRPr="00007B7D">
        <w:rPr>
          <w:i/>
          <w:sz w:val="22"/>
        </w:rPr>
        <w:t xml:space="preserve"> à </w:t>
      </w:r>
      <w:proofErr w:type="spellStart"/>
      <w:r w:rsidRPr="00007B7D">
        <w:rPr>
          <w:i/>
          <w:sz w:val="22"/>
        </w:rPr>
        <w:t>l’article</w:t>
      </w:r>
      <w:proofErr w:type="spellEnd"/>
      <w:r w:rsidRPr="00007B7D">
        <w:rPr>
          <w:i/>
          <w:sz w:val="22"/>
        </w:rPr>
        <w:t xml:space="preserve"> 44 § 2 de la Convention. Il </w:t>
      </w:r>
      <w:proofErr w:type="spellStart"/>
      <w:r w:rsidRPr="00007B7D">
        <w:rPr>
          <w:i/>
          <w:sz w:val="22"/>
        </w:rPr>
        <w:t>peut</w:t>
      </w:r>
      <w:proofErr w:type="spellEnd"/>
      <w:r w:rsidRPr="00007B7D">
        <w:rPr>
          <w:i/>
          <w:sz w:val="22"/>
        </w:rPr>
        <w:t xml:space="preserve"> </w:t>
      </w:r>
      <w:proofErr w:type="spellStart"/>
      <w:r w:rsidRPr="00007B7D">
        <w:rPr>
          <w:i/>
          <w:sz w:val="22"/>
        </w:rPr>
        <w:t>subir</w:t>
      </w:r>
      <w:proofErr w:type="spellEnd"/>
      <w:r w:rsidRPr="00007B7D">
        <w:rPr>
          <w:i/>
          <w:sz w:val="22"/>
        </w:rPr>
        <w:t xml:space="preserve"> des retouches de </w:t>
      </w:r>
      <w:proofErr w:type="spellStart"/>
      <w:r w:rsidRPr="00007B7D">
        <w:rPr>
          <w:i/>
          <w:sz w:val="22"/>
        </w:rPr>
        <w:t>fo</w:t>
      </w:r>
      <w:r w:rsidRPr="00007B7D">
        <w:rPr>
          <w:rFonts w:ascii="Times New Roman" w:hAnsi="Times New Roman" w:cs="Times New Roman"/>
          <w:i/>
          <w:sz w:val="22"/>
        </w:rPr>
        <w:t>rme</w:t>
      </w:r>
      <w:proofErr w:type="spellEnd"/>
      <w:r w:rsidRPr="00007B7D">
        <w:rPr>
          <w:rFonts w:ascii="Times New Roman" w:hAnsi="Times New Roman" w:cs="Times New Roman"/>
          <w:i/>
          <w:sz w:val="22"/>
        </w:rPr>
        <w:t>.</w:t>
      </w:r>
    </w:p>
    <w:p w14:paraId="2962517B" w14:textId="77777777" w:rsidR="005D5C86" w:rsidRPr="00007B7D" w:rsidRDefault="005D5C86" w:rsidP="005D5C86">
      <w:pPr>
        <w:ind w:left="720"/>
        <w:rPr>
          <w:rFonts w:ascii="Times New Roman" w:hAnsi="Times New Roman" w:cs="Times New Roman"/>
          <w:sz w:val="22"/>
        </w:rPr>
        <w:sectPr w:rsidR="005D5C86" w:rsidRPr="00007B7D" w:rsidSect="0090260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489C0FD5" w14:textId="77777777" w:rsidR="005D5C86" w:rsidRPr="00007B7D" w:rsidRDefault="005D5C86" w:rsidP="005D5C86">
      <w:pPr>
        <w:pStyle w:val="ECHRTitle1"/>
        <w:numPr>
          <w:ilvl w:val="0"/>
          <w:numId w:val="21"/>
        </w:numPr>
        <w:spacing w:before="100" w:beforeAutospacing="1"/>
      </w:pPr>
      <w:r w:rsidRPr="00007B7D">
        <w:lastRenderedPageBreak/>
        <w:t>EN DROIT</w:t>
      </w:r>
    </w:p>
    <w:p w14:paraId="261848A1" w14:textId="77777777" w:rsidR="005D5C86" w:rsidRPr="00007B7D" w:rsidRDefault="005D5C86" w:rsidP="005D5C86">
      <w:pPr>
        <w:pStyle w:val="ECHRHeading1"/>
        <w:numPr>
          <w:ilvl w:val="0"/>
          <w:numId w:val="21"/>
        </w:numPr>
        <w:ind w:left="357" w:hanging="357"/>
      </w:pPr>
      <w:r w:rsidRPr="00007B7D">
        <w:t>SUR LA VIOLATION ALLÉGUÉE DES ARTICLES 3 et 8 DE LA CONVENTION</w:t>
      </w:r>
    </w:p>
    <w:p w14:paraId="0CA711B2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91</w:t>
      </w:r>
      <w:r w:rsidRPr="00007B7D">
        <w:rPr>
          <w:noProof/>
        </w:rPr>
        <w:fldChar w:fldCharType="end"/>
      </w:r>
      <w:r w:rsidRPr="00007B7D">
        <w:t xml:space="preserve">.  Les </w:t>
      </w:r>
      <w:proofErr w:type="spellStart"/>
      <w:r w:rsidRPr="00007B7D">
        <w:t>requérantes</w:t>
      </w:r>
      <w:proofErr w:type="spellEnd"/>
      <w:r w:rsidRPr="00007B7D">
        <w:t xml:space="preserve"> </w:t>
      </w:r>
      <w:proofErr w:type="spellStart"/>
      <w:r w:rsidRPr="00007B7D">
        <w:t>soutiennent</w:t>
      </w:r>
      <w:proofErr w:type="spellEnd"/>
      <w:r w:rsidRPr="00007B7D">
        <w:t xml:space="preserve"> que les dispositions </w:t>
      </w:r>
      <w:proofErr w:type="spellStart"/>
      <w:r w:rsidRPr="00007B7D">
        <w:t>pénales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vigueur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France </w:t>
      </w:r>
      <w:proofErr w:type="spellStart"/>
      <w:r w:rsidRPr="00007B7D">
        <w:t>n’assurent</w:t>
      </w:r>
      <w:proofErr w:type="spellEnd"/>
      <w:r w:rsidRPr="00007B7D">
        <w:t xml:space="preserve"> pas </w:t>
      </w:r>
      <w:proofErr w:type="spellStart"/>
      <w:r w:rsidRPr="00007B7D">
        <w:t>une</w:t>
      </w:r>
      <w:proofErr w:type="spellEnd"/>
      <w:r w:rsidRPr="00007B7D">
        <w:t xml:space="preserve"> protection suffisante </w:t>
      </w:r>
      <w:proofErr w:type="spellStart"/>
      <w:r w:rsidRPr="00007B7D">
        <w:t>contre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. </w:t>
      </w:r>
      <w:proofErr w:type="spellStart"/>
      <w:r w:rsidRPr="00007B7D">
        <w:t>Elles</w:t>
      </w:r>
      <w:proofErr w:type="spellEnd"/>
      <w:r w:rsidRPr="00007B7D">
        <w:t xml:space="preserve"> </w:t>
      </w:r>
      <w:proofErr w:type="spellStart"/>
      <w:r w:rsidRPr="00007B7D">
        <w:t>prétendent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outre</w:t>
      </w:r>
      <w:proofErr w:type="spellEnd"/>
      <w:r w:rsidRPr="00007B7D">
        <w:t xml:space="preserve"> que les </w:t>
      </w:r>
      <w:proofErr w:type="spellStart"/>
      <w:r w:rsidRPr="00007B7D">
        <w:t>autorités</w:t>
      </w:r>
      <w:proofErr w:type="spellEnd"/>
      <w:r w:rsidRPr="00007B7D">
        <w:t xml:space="preserve"> internes </w:t>
      </w:r>
      <w:proofErr w:type="spellStart"/>
      <w:r w:rsidRPr="00007B7D">
        <w:t>n’ont</w:t>
      </w:r>
      <w:proofErr w:type="spellEnd"/>
      <w:r w:rsidRPr="00007B7D">
        <w:t xml:space="preserve"> pas </w:t>
      </w:r>
      <w:proofErr w:type="spellStart"/>
      <w:r w:rsidRPr="00007B7D">
        <w:t>satisfait</w:t>
      </w:r>
      <w:proofErr w:type="spellEnd"/>
      <w:r w:rsidRPr="00007B7D">
        <w:t xml:space="preserve"> à </w:t>
      </w:r>
      <w:proofErr w:type="spellStart"/>
      <w:r w:rsidRPr="00007B7D">
        <w:t>leur</w:t>
      </w:r>
      <w:proofErr w:type="spellEnd"/>
      <w:r w:rsidRPr="00007B7D">
        <w:t xml:space="preserve"> obligation </w:t>
      </w:r>
      <w:proofErr w:type="spellStart"/>
      <w:r w:rsidRPr="00007B7D">
        <w:t>d’enquêter</w:t>
      </w:r>
      <w:proofErr w:type="spellEnd"/>
      <w:r w:rsidRPr="00007B7D">
        <w:t xml:space="preserve"> de </w:t>
      </w:r>
      <w:proofErr w:type="spellStart"/>
      <w:r w:rsidRPr="00007B7D">
        <w:t>façon</w:t>
      </w:r>
      <w:proofErr w:type="spellEnd"/>
      <w:r w:rsidRPr="00007B7D">
        <w:t xml:space="preserve"> effective sur les faits </w:t>
      </w:r>
      <w:proofErr w:type="spellStart"/>
      <w:r w:rsidRPr="00007B7D">
        <w:t>dénoncés</w:t>
      </w:r>
      <w:proofErr w:type="spellEnd"/>
      <w:r w:rsidRPr="00007B7D">
        <w:t xml:space="preserve"> par E.A. et de </w:t>
      </w:r>
      <w:proofErr w:type="spellStart"/>
      <w:r w:rsidRPr="00007B7D">
        <w:t>sanctionner</w:t>
      </w:r>
      <w:proofErr w:type="spellEnd"/>
      <w:r w:rsidRPr="00007B7D">
        <w:t xml:space="preserve"> </w:t>
      </w:r>
      <w:proofErr w:type="spellStart"/>
      <w:r w:rsidRPr="00007B7D">
        <w:t>leur</w:t>
      </w:r>
      <w:proofErr w:type="spellEnd"/>
      <w:r w:rsidRPr="00007B7D">
        <w:t xml:space="preserve"> auteur, et </w:t>
      </w:r>
      <w:proofErr w:type="spellStart"/>
      <w:r w:rsidRPr="00007B7D">
        <w:t>qu’elles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exposé E.A. à </w:t>
      </w:r>
      <w:proofErr w:type="spellStart"/>
      <w:r w:rsidRPr="00007B7D">
        <w:t>une</w:t>
      </w:r>
      <w:proofErr w:type="spellEnd"/>
      <w:r w:rsidRPr="00007B7D">
        <w:t xml:space="preserve"> victimisation </w:t>
      </w:r>
      <w:proofErr w:type="spellStart"/>
      <w:r w:rsidRPr="00007B7D">
        <w:t>secondaire</w:t>
      </w:r>
      <w:proofErr w:type="spellEnd"/>
      <w:r w:rsidRPr="00007B7D">
        <w:t xml:space="preserve">. </w:t>
      </w:r>
      <w:proofErr w:type="spellStart"/>
      <w:r w:rsidRPr="00007B7D">
        <w:t>Elles</w:t>
      </w:r>
      <w:proofErr w:type="spellEnd"/>
      <w:r w:rsidRPr="00007B7D">
        <w:t xml:space="preserve"> </w:t>
      </w:r>
      <w:proofErr w:type="spellStart"/>
      <w:r w:rsidRPr="00007B7D">
        <w:t>soutiennent</w:t>
      </w:r>
      <w:proofErr w:type="spellEnd"/>
      <w:r w:rsidRPr="00007B7D">
        <w:t xml:space="preserve"> que les </w:t>
      </w:r>
      <w:proofErr w:type="spellStart"/>
      <w:r w:rsidRPr="00007B7D">
        <w:t>autorités</w:t>
      </w:r>
      <w:proofErr w:type="spellEnd"/>
      <w:r w:rsidRPr="00007B7D">
        <w:t xml:space="preserve"> internes </w:t>
      </w:r>
      <w:proofErr w:type="spellStart"/>
      <w:r w:rsidRPr="00007B7D">
        <w:t>ont</w:t>
      </w:r>
      <w:proofErr w:type="spellEnd"/>
      <w:r w:rsidRPr="00007B7D">
        <w:t xml:space="preserve"> manqué aux obligations positives </w:t>
      </w:r>
      <w:proofErr w:type="spellStart"/>
      <w:r w:rsidRPr="00007B7D">
        <w:t>découlant</w:t>
      </w:r>
      <w:proofErr w:type="spellEnd"/>
      <w:r w:rsidRPr="00007B7D">
        <w:t xml:space="preserve"> des articles 3 et 8 de la Convention, aux </w:t>
      </w:r>
      <w:proofErr w:type="spellStart"/>
      <w:r w:rsidRPr="00007B7D">
        <w:t>termes</w:t>
      </w:r>
      <w:proofErr w:type="spellEnd"/>
      <w:r w:rsidRPr="00007B7D">
        <w:t xml:space="preserve"> </w:t>
      </w:r>
      <w:proofErr w:type="spellStart"/>
      <w:proofErr w:type="gramStart"/>
      <w:r w:rsidRPr="00007B7D">
        <w:t>desquels</w:t>
      </w:r>
      <w:proofErr w:type="spellEnd"/>
      <w:r w:rsidRPr="00007B7D">
        <w:t> :</w:t>
      </w:r>
      <w:proofErr w:type="gramEnd"/>
    </w:p>
    <w:p w14:paraId="005E9EE7" w14:textId="77777777" w:rsidR="005D5C86" w:rsidRPr="00007B7D" w:rsidRDefault="005D5C86" w:rsidP="005D5C86">
      <w:pPr>
        <w:pStyle w:val="ECHRTitleCentre3"/>
      </w:pPr>
      <w:r w:rsidRPr="00007B7D">
        <w:t>Article 3</w:t>
      </w:r>
    </w:p>
    <w:p w14:paraId="4902B119" w14:textId="77777777" w:rsidR="005D5C86" w:rsidRPr="00007B7D" w:rsidRDefault="005D5C86" w:rsidP="005D5C86">
      <w:pPr>
        <w:pStyle w:val="ECHRParaQuote"/>
      </w:pPr>
      <w:r w:rsidRPr="00007B7D">
        <w:t>« </w:t>
      </w:r>
      <w:proofErr w:type="spellStart"/>
      <w:r w:rsidRPr="00007B7D">
        <w:t>Nul</w:t>
      </w:r>
      <w:proofErr w:type="spellEnd"/>
      <w:r w:rsidRPr="00007B7D">
        <w:t xml:space="preserve"> ne </w:t>
      </w:r>
      <w:proofErr w:type="spellStart"/>
      <w:r w:rsidRPr="00007B7D">
        <w:t>peut</w:t>
      </w:r>
      <w:proofErr w:type="spellEnd"/>
      <w:r w:rsidRPr="00007B7D">
        <w:t xml:space="preserve">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soumis</w:t>
      </w:r>
      <w:proofErr w:type="spellEnd"/>
      <w:r w:rsidRPr="00007B7D">
        <w:t xml:space="preserve"> à la torture </w:t>
      </w:r>
      <w:proofErr w:type="spellStart"/>
      <w:r w:rsidRPr="00007B7D">
        <w:t>ni</w:t>
      </w:r>
      <w:proofErr w:type="spellEnd"/>
      <w:r w:rsidRPr="00007B7D">
        <w:t xml:space="preserve"> à des </w:t>
      </w:r>
      <w:proofErr w:type="spellStart"/>
      <w:r w:rsidRPr="00007B7D">
        <w:t>peines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traitements</w:t>
      </w:r>
      <w:proofErr w:type="spellEnd"/>
      <w:r w:rsidRPr="00007B7D">
        <w:t xml:space="preserve"> </w:t>
      </w:r>
      <w:proofErr w:type="spellStart"/>
      <w:r w:rsidRPr="00007B7D">
        <w:t>inhumains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dégradants</w:t>
      </w:r>
      <w:proofErr w:type="spellEnd"/>
      <w:r w:rsidRPr="00007B7D">
        <w:t>. »</w:t>
      </w:r>
    </w:p>
    <w:p w14:paraId="0750FA3B" w14:textId="77777777" w:rsidR="005D5C86" w:rsidRPr="00007B7D" w:rsidRDefault="005D5C86" w:rsidP="005D5C86">
      <w:pPr>
        <w:pStyle w:val="ECHRTitleCentre3"/>
      </w:pPr>
      <w:r w:rsidRPr="00007B7D">
        <w:t>Article 8</w:t>
      </w:r>
    </w:p>
    <w:p w14:paraId="489C6BBF" w14:textId="77777777" w:rsidR="005D5C86" w:rsidRPr="00007B7D" w:rsidRDefault="005D5C86" w:rsidP="005D5C86">
      <w:pPr>
        <w:pStyle w:val="ECHRParaQuote"/>
      </w:pPr>
      <w:r w:rsidRPr="00007B7D">
        <w:t>« 1.  </w:t>
      </w:r>
      <w:proofErr w:type="spellStart"/>
      <w:r w:rsidRPr="00007B7D">
        <w:t>Toute</w:t>
      </w:r>
      <w:proofErr w:type="spellEnd"/>
      <w:r w:rsidRPr="00007B7D">
        <w:t xml:space="preserve"> </w:t>
      </w:r>
      <w:proofErr w:type="spellStart"/>
      <w:r w:rsidRPr="00007B7D">
        <w:t>personne</w:t>
      </w:r>
      <w:proofErr w:type="spellEnd"/>
      <w:r w:rsidRPr="00007B7D">
        <w:t xml:space="preserve"> a droit au respect de </w:t>
      </w:r>
      <w:proofErr w:type="spellStart"/>
      <w:r w:rsidRPr="00007B7D">
        <w:t>sa</w:t>
      </w:r>
      <w:proofErr w:type="spellEnd"/>
      <w:r w:rsidRPr="00007B7D">
        <w:t xml:space="preserve"> vie </w:t>
      </w:r>
      <w:proofErr w:type="spellStart"/>
      <w:r w:rsidRPr="00007B7D">
        <w:t>privée</w:t>
      </w:r>
      <w:proofErr w:type="spellEnd"/>
      <w:r w:rsidRPr="00007B7D">
        <w:t xml:space="preserve"> et </w:t>
      </w:r>
      <w:proofErr w:type="spellStart"/>
      <w:r w:rsidRPr="00007B7D">
        <w:t>familiale</w:t>
      </w:r>
      <w:proofErr w:type="spellEnd"/>
      <w:r w:rsidRPr="00007B7D">
        <w:t xml:space="preserve">, de son domicile et de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correspondance</w:t>
      </w:r>
      <w:proofErr w:type="spellEnd"/>
      <w:r w:rsidRPr="00007B7D">
        <w:t>.</w:t>
      </w:r>
    </w:p>
    <w:p w14:paraId="33DE4EB6" w14:textId="77777777" w:rsidR="005D5C86" w:rsidRPr="00007B7D" w:rsidRDefault="005D5C86" w:rsidP="005D5C86">
      <w:pPr>
        <w:pStyle w:val="ECHRParaQuote"/>
      </w:pPr>
      <w:r w:rsidRPr="00007B7D">
        <w:t xml:space="preserve">2.  Il ne </w:t>
      </w:r>
      <w:proofErr w:type="spellStart"/>
      <w:r w:rsidRPr="00007B7D">
        <w:t>peut</w:t>
      </w:r>
      <w:proofErr w:type="spellEnd"/>
      <w:r w:rsidRPr="00007B7D">
        <w:t xml:space="preserve"> y </w:t>
      </w:r>
      <w:proofErr w:type="spellStart"/>
      <w:r w:rsidRPr="00007B7D">
        <w:t>avoir</w:t>
      </w:r>
      <w:proofErr w:type="spellEnd"/>
      <w:r w:rsidRPr="00007B7D">
        <w:t xml:space="preserve"> </w:t>
      </w:r>
      <w:proofErr w:type="spellStart"/>
      <w:r w:rsidRPr="00007B7D">
        <w:t>ingérence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</w:t>
      </w:r>
      <w:proofErr w:type="spellStart"/>
      <w:r w:rsidRPr="00007B7D">
        <w:t>autorité</w:t>
      </w:r>
      <w:proofErr w:type="spellEnd"/>
      <w:r w:rsidRPr="00007B7D">
        <w:t xml:space="preserve"> </w:t>
      </w:r>
      <w:proofErr w:type="spellStart"/>
      <w:r w:rsidRPr="00007B7D">
        <w:t>publique</w:t>
      </w:r>
      <w:proofErr w:type="spellEnd"/>
      <w:r w:rsidRPr="00007B7D">
        <w:t xml:space="preserve"> dans </w:t>
      </w:r>
      <w:proofErr w:type="spellStart"/>
      <w:r w:rsidRPr="00007B7D">
        <w:t>l’exercice</w:t>
      </w:r>
      <w:proofErr w:type="spellEnd"/>
      <w:r w:rsidRPr="00007B7D">
        <w:t xml:space="preserve"> de </w:t>
      </w:r>
      <w:proofErr w:type="spellStart"/>
      <w:r w:rsidRPr="00007B7D">
        <w:t>ce</w:t>
      </w:r>
      <w:proofErr w:type="spellEnd"/>
      <w:r w:rsidRPr="00007B7D">
        <w:t xml:space="preserve"> droit que pour </w:t>
      </w:r>
      <w:proofErr w:type="spellStart"/>
      <w:r w:rsidRPr="00007B7D">
        <w:t>autant</w:t>
      </w:r>
      <w:proofErr w:type="spellEnd"/>
      <w:r w:rsidRPr="00007B7D">
        <w:t xml:space="preserve"> que </w:t>
      </w:r>
      <w:proofErr w:type="spellStart"/>
      <w:r w:rsidRPr="00007B7D">
        <w:t>cette</w:t>
      </w:r>
      <w:proofErr w:type="spellEnd"/>
      <w:r w:rsidRPr="00007B7D">
        <w:t xml:space="preserve"> </w:t>
      </w:r>
      <w:proofErr w:type="spellStart"/>
      <w:r w:rsidRPr="00007B7D">
        <w:t>ingérence</w:t>
      </w:r>
      <w:proofErr w:type="spellEnd"/>
      <w:r w:rsidRPr="00007B7D">
        <w:t xml:space="preserve">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prévue</w:t>
      </w:r>
      <w:proofErr w:type="spellEnd"/>
      <w:r w:rsidRPr="00007B7D">
        <w:t xml:space="preserve"> </w:t>
      </w:r>
      <w:proofErr w:type="spellStart"/>
      <w:r w:rsidRPr="00007B7D">
        <w:t>par</w:t>
      </w:r>
      <w:proofErr w:type="spellEnd"/>
      <w:r w:rsidRPr="00007B7D">
        <w:t xml:space="preserve"> la </w:t>
      </w:r>
      <w:proofErr w:type="spellStart"/>
      <w:r w:rsidRPr="00007B7D">
        <w:t>loi</w:t>
      </w:r>
      <w:proofErr w:type="spellEnd"/>
      <w:r w:rsidRPr="00007B7D">
        <w:t xml:space="preserve"> et </w:t>
      </w:r>
      <w:proofErr w:type="spellStart"/>
      <w:r w:rsidRPr="00007B7D">
        <w:t>qu’elle</w:t>
      </w:r>
      <w:proofErr w:type="spellEnd"/>
      <w:r w:rsidRPr="00007B7D">
        <w:t xml:space="preserve"> </w:t>
      </w:r>
      <w:proofErr w:type="spellStart"/>
      <w:r w:rsidRPr="00007B7D">
        <w:t>constitue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mesure</w:t>
      </w:r>
      <w:proofErr w:type="spellEnd"/>
      <w:r w:rsidRPr="00007B7D">
        <w:t xml:space="preserve"> qui, dans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société</w:t>
      </w:r>
      <w:proofErr w:type="spellEnd"/>
      <w:r w:rsidRPr="00007B7D">
        <w:t xml:space="preserve"> </w:t>
      </w:r>
      <w:proofErr w:type="spellStart"/>
      <w:r w:rsidRPr="00007B7D">
        <w:t>démocratique</w:t>
      </w:r>
      <w:proofErr w:type="spellEnd"/>
      <w:r w:rsidRPr="00007B7D">
        <w:t xml:space="preserve">,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nécessaire</w:t>
      </w:r>
      <w:proofErr w:type="spellEnd"/>
      <w:r w:rsidRPr="00007B7D">
        <w:t xml:space="preserve"> à la </w:t>
      </w:r>
      <w:proofErr w:type="spellStart"/>
      <w:r w:rsidRPr="00007B7D">
        <w:t>sécurité</w:t>
      </w:r>
      <w:proofErr w:type="spellEnd"/>
      <w:r w:rsidRPr="00007B7D">
        <w:t xml:space="preserve"> </w:t>
      </w:r>
      <w:proofErr w:type="spellStart"/>
      <w:r w:rsidRPr="00007B7D">
        <w:t>nationale</w:t>
      </w:r>
      <w:proofErr w:type="spellEnd"/>
      <w:r w:rsidRPr="00007B7D">
        <w:t xml:space="preserve">, à la </w:t>
      </w:r>
      <w:proofErr w:type="spellStart"/>
      <w:r w:rsidRPr="00007B7D">
        <w:t>sûreté</w:t>
      </w:r>
      <w:proofErr w:type="spellEnd"/>
      <w:r w:rsidRPr="00007B7D">
        <w:t xml:space="preserve"> </w:t>
      </w:r>
      <w:proofErr w:type="spellStart"/>
      <w:r w:rsidRPr="00007B7D">
        <w:t>publique</w:t>
      </w:r>
      <w:proofErr w:type="spellEnd"/>
      <w:r w:rsidRPr="00007B7D">
        <w:t>, au bien</w:t>
      </w:r>
      <w:r w:rsidRPr="00007B7D">
        <w:noBreakHyphen/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économique</w:t>
      </w:r>
      <w:proofErr w:type="spellEnd"/>
      <w:r w:rsidRPr="00007B7D">
        <w:t xml:space="preserve"> du pays, à la </w:t>
      </w:r>
      <w:proofErr w:type="spellStart"/>
      <w:r w:rsidRPr="00007B7D">
        <w:t>défense</w:t>
      </w:r>
      <w:proofErr w:type="spellEnd"/>
      <w:r w:rsidRPr="00007B7D">
        <w:t xml:space="preserve"> de </w:t>
      </w:r>
      <w:proofErr w:type="spellStart"/>
      <w:r w:rsidRPr="00007B7D">
        <w:t>l’ordre</w:t>
      </w:r>
      <w:proofErr w:type="spellEnd"/>
      <w:r w:rsidRPr="00007B7D">
        <w:t xml:space="preserve"> et à la </w:t>
      </w:r>
      <w:proofErr w:type="spellStart"/>
      <w:r w:rsidRPr="00007B7D">
        <w:t>prévention</w:t>
      </w:r>
      <w:proofErr w:type="spellEnd"/>
      <w:r w:rsidRPr="00007B7D">
        <w:t xml:space="preserve"> des infractions </w:t>
      </w:r>
      <w:proofErr w:type="spellStart"/>
      <w:r w:rsidRPr="00007B7D">
        <w:t>pénales</w:t>
      </w:r>
      <w:proofErr w:type="spellEnd"/>
      <w:r w:rsidRPr="00007B7D">
        <w:t xml:space="preserve">, à la protection de la </w:t>
      </w:r>
      <w:proofErr w:type="spellStart"/>
      <w:r w:rsidRPr="00007B7D">
        <w:t>santé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de la morale, </w:t>
      </w:r>
      <w:proofErr w:type="spellStart"/>
      <w:r w:rsidRPr="00007B7D">
        <w:t>ou</w:t>
      </w:r>
      <w:proofErr w:type="spellEnd"/>
      <w:r w:rsidRPr="00007B7D">
        <w:t xml:space="preserve"> à la protection des droits et </w:t>
      </w:r>
      <w:proofErr w:type="spellStart"/>
      <w:r w:rsidRPr="00007B7D">
        <w:t>libertés</w:t>
      </w:r>
      <w:proofErr w:type="spellEnd"/>
      <w:r w:rsidRPr="00007B7D">
        <w:t xml:space="preserve"> </w:t>
      </w:r>
      <w:proofErr w:type="spellStart"/>
      <w:r w:rsidRPr="00007B7D">
        <w:t>d’autrui</w:t>
      </w:r>
      <w:proofErr w:type="spellEnd"/>
      <w:r w:rsidRPr="00007B7D">
        <w:t>. »</w:t>
      </w:r>
    </w:p>
    <w:p w14:paraId="503CD006" w14:textId="77777777" w:rsidR="005D5C86" w:rsidRPr="00007B7D" w:rsidRDefault="005D5C86" w:rsidP="005D5C86">
      <w:pPr>
        <w:pStyle w:val="ECHRHeading3"/>
        <w:numPr>
          <w:ilvl w:val="0"/>
          <w:numId w:val="21"/>
        </w:numPr>
        <w:ind w:left="732" w:hanging="301"/>
      </w:pPr>
      <w:proofErr w:type="spellStart"/>
      <w:r w:rsidRPr="00007B7D">
        <w:t>Appréciation</w:t>
      </w:r>
      <w:proofErr w:type="spellEnd"/>
      <w:r w:rsidRPr="00007B7D">
        <w:t xml:space="preserve"> de la </w:t>
      </w:r>
      <w:proofErr w:type="spellStart"/>
      <w:r w:rsidRPr="00007B7D">
        <w:t>Cour</w:t>
      </w:r>
      <w:proofErr w:type="spellEnd"/>
    </w:p>
    <w:p w14:paraId="4805654C" w14:textId="77777777" w:rsidR="005D5C86" w:rsidRPr="00007B7D" w:rsidRDefault="005D5C86" w:rsidP="005D5C86">
      <w:pPr>
        <w:pStyle w:val="ECHRHeading4"/>
        <w:numPr>
          <w:ilvl w:val="0"/>
          <w:numId w:val="21"/>
        </w:numPr>
        <w:ind w:left="975" w:hanging="340"/>
      </w:pPr>
      <w:r w:rsidRPr="00007B7D">
        <w:t xml:space="preserve">Sur la </w:t>
      </w:r>
      <w:proofErr w:type="spellStart"/>
      <w:r w:rsidRPr="00007B7D">
        <w:t>qualité</w:t>
      </w:r>
      <w:proofErr w:type="spellEnd"/>
      <w:r w:rsidRPr="00007B7D">
        <w:t xml:space="preserve"> de </w:t>
      </w:r>
      <w:proofErr w:type="spellStart"/>
      <w:r w:rsidRPr="00007B7D">
        <w:t>victime</w:t>
      </w:r>
      <w:proofErr w:type="spellEnd"/>
      <w:r w:rsidRPr="00007B7D">
        <w:t xml:space="preserve"> de </w:t>
      </w:r>
      <w:proofErr w:type="spellStart"/>
      <w:r w:rsidRPr="00007B7D">
        <w:t>l’AVFT</w:t>
      </w:r>
      <w:proofErr w:type="spellEnd"/>
    </w:p>
    <w:p w14:paraId="120BFCC3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101</w:t>
      </w:r>
      <w:r w:rsidRPr="00007B7D">
        <w:rPr>
          <w:noProof/>
        </w:rPr>
        <w:fldChar w:fldCharType="end"/>
      </w:r>
      <w:r w:rsidRPr="00007B7D">
        <w:t xml:space="preserve">.  Bien que le </w:t>
      </w:r>
      <w:proofErr w:type="spellStart"/>
      <w:r w:rsidRPr="00007B7D">
        <w:t>Gouvernement</w:t>
      </w:r>
      <w:proofErr w:type="spellEnd"/>
      <w:r w:rsidRPr="00007B7D">
        <w:t xml:space="preserve"> ne </w:t>
      </w:r>
      <w:proofErr w:type="spellStart"/>
      <w:r w:rsidRPr="00007B7D">
        <w:t>soulève</w:t>
      </w:r>
      <w:proofErr w:type="spellEnd"/>
      <w:r w:rsidRPr="00007B7D">
        <w:t xml:space="preserve"> pas </w:t>
      </w:r>
      <w:proofErr w:type="spellStart"/>
      <w:r w:rsidRPr="00007B7D">
        <w:t>d’exception</w:t>
      </w:r>
      <w:proofErr w:type="spellEnd"/>
      <w:r w:rsidRPr="00007B7D">
        <w:t xml:space="preserve"> </w:t>
      </w:r>
      <w:proofErr w:type="spellStart"/>
      <w:r w:rsidRPr="00007B7D">
        <w:t>tirée</w:t>
      </w:r>
      <w:proofErr w:type="spellEnd"/>
      <w:r w:rsidRPr="00007B7D">
        <w:t xml:space="preserve"> du </w:t>
      </w:r>
      <w:proofErr w:type="spellStart"/>
      <w:r w:rsidRPr="00007B7D">
        <w:t>défaut</w:t>
      </w:r>
      <w:proofErr w:type="spellEnd"/>
      <w:r w:rsidRPr="00007B7D">
        <w:t xml:space="preserve"> de </w:t>
      </w:r>
      <w:proofErr w:type="spellStart"/>
      <w:r w:rsidRPr="00007B7D">
        <w:t>qualité</w:t>
      </w:r>
      <w:proofErr w:type="spellEnd"/>
      <w:r w:rsidRPr="00007B7D">
        <w:t xml:space="preserve"> de </w:t>
      </w:r>
      <w:proofErr w:type="spellStart"/>
      <w:r w:rsidRPr="00007B7D">
        <w:t>victime</w:t>
      </w:r>
      <w:proofErr w:type="spellEnd"/>
      <w:r w:rsidRPr="00007B7D">
        <w:t xml:space="preserve"> de la </w:t>
      </w:r>
      <w:proofErr w:type="spellStart"/>
      <w:r w:rsidRPr="00007B7D">
        <w:t>seconde</w:t>
      </w:r>
      <w:proofErr w:type="spellEnd"/>
      <w:r w:rsidRPr="00007B7D">
        <w:t xml:space="preserve"> </w:t>
      </w:r>
      <w:proofErr w:type="spellStart"/>
      <w:r w:rsidRPr="00007B7D">
        <w:t>requérante</w:t>
      </w:r>
      <w:proofErr w:type="spellEnd"/>
      <w:r w:rsidRPr="00007B7D">
        <w:t xml:space="preserve">, </w:t>
      </w:r>
      <w:proofErr w:type="spellStart"/>
      <w:r w:rsidRPr="00007B7D">
        <w:t>rien</w:t>
      </w:r>
      <w:proofErr w:type="spellEnd"/>
      <w:r w:rsidRPr="00007B7D">
        <w:t xml:space="preserve"> </w:t>
      </w:r>
      <w:proofErr w:type="spellStart"/>
      <w:r w:rsidRPr="00007B7D">
        <w:t>n’empêche</w:t>
      </w:r>
      <w:proofErr w:type="spellEnd"/>
      <w:r w:rsidRPr="00007B7D">
        <w:t xml:space="preserve">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d’examiner</w:t>
      </w:r>
      <w:proofErr w:type="spellEnd"/>
      <w:r w:rsidRPr="00007B7D">
        <w:t xml:space="preserve"> </w:t>
      </w:r>
      <w:r w:rsidRPr="00007B7D">
        <w:rPr>
          <w:i/>
          <w:iCs/>
        </w:rPr>
        <w:t xml:space="preserve">proprio motu </w:t>
      </w:r>
      <w:proofErr w:type="spellStart"/>
      <w:r w:rsidRPr="00007B7D">
        <w:t>cette</w:t>
      </w:r>
      <w:proofErr w:type="spellEnd"/>
      <w:r w:rsidRPr="00007B7D">
        <w:t xml:space="preserve"> question, qui </w:t>
      </w:r>
      <w:proofErr w:type="spellStart"/>
      <w:r w:rsidRPr="00007B7D">
        <w:t>touche</w:t>
      </w:r>
      <w:proofErr w:type="spellEnd"/>
      <w:r w:rsidRPr="00007B7D">
        <w:t xml:space="preserve"> à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compétence</w:t>
      </w:r>
      <w:proofErr w:type="spellEnd"/>
      <w:r w:rsidRPr="00007B7D">
        <w:t xml:space="preserve"> (</w:t>
      </w:r>
      <w:proofErr w:type="spellStart"/>
      <w:r w:rsidRPr="00007B7D">
        <w:rPr>
          <w:i/>
          <w:iCs/>
        </w:rPr>
        <w:t>Buzadji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de Moldova</w:t>
      </w:r>
      <w:r w:rsidRPr="00007B7D">
        <w:t xml:space="preserve"> [GC], n</w:t>
      </w:r>
      <w:r w:rsidRPr="00007B7D">
        <w:rPr>
          <w:vertAlign w:val="superscript"/>
        </w:rPr>
        <w:t>o</w:t>
      </w:r>
      <w:r w:rsidRPr="00007B7D">
        <w:t xml:space="preserve"> 23755/07, § 70, 5 </w:t>
      </w:r>
      <w:proofErr w:type="spellStart"/>
      <w:r w:rsidRPr="00007B7D">
        <w:t>juillet</w:t>
      </w:r>
      <w:proofErr w:type="spellEnd"/>
      <w:r w:rsidRPr="00007B7D">
        <w:t xml:space="preserve"> 2016).</w:t>
      </w:r>
    </w:p>
    <w:p w14:paraId="70EC8ABF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102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rappelle</w:t>
      </w:r>
      <w:proofErr w:type="spellEnd"/>
      <w:r w:rsidRPr="00007B7D">
        <w:t xml:space="preserve"> que </w:t>
      </w:r>
      <w:proofErr w:type="spellStart"/>
      <w:r w:rsidRPr="00007B7D">
        <w:t>l’article</w:t>
      </w:r>
      <w:proofErr w:type="spellEnd"/>
      <w:r w:rsidRPr="00007B7D">
        <w:t xml:space="preserve"> 34 de la Convention </w:t>
      </w:r>
      <w:proofErr w:type="spellStart"/>
      <w:r w:rsidRPr="00007B7D">
        <w:t>n’autorise</w:t>
      </w:r>
      <w:proofErr w:type="spellEnd"/>
      <w:r w:rsidRPr="00007B7D">
        <w:t xml:space="preserve"> pas à se </w:t>
      </w:r>
      <w:proofErr w:type="spellStart"/>
      <w:r w:rsidRPr="00007B7D">
        <w:t>plaindre</w:t>
      </w:r>
      <w:proofErr w:type="spellEnd"/>
      <w:r w:rsidRPr="00007B7D">
        <w:t xml:space="preserve"> </w:t>
      </w:r>
      <w:r w:rsidRPr="00007B7D">
        <w:rPr>
          <w:i/>
          <w:iCs/>
        </w:rPr>
        <w:t xml:space="preserve">in </w:t>
      </w:r>
      <w:proofErr w:type="spellStart"/>
      <w:r w:rsidRPr="00007B7D">
        <w:rPr>
          <w:i/>
          <w:iCs/>
        </w:rPr>
        <w:t>abstracto</w:t>
      </w:r>
      <w:proofErr w:type="spellEnd"/>
      <w:r w:rsidRPr="00007B7D">
        <w:t xml:space="preserve"> de violations de la Convention. Elle ne </w:t>
      </w:r>
      <w:proofErr w:type="spellStart"/>
      <w:r w:rsidRPr="00007B7D">
        <w:t>reconnaît</w:t>
      </w:r>
      <w:proofErr w:type="spellEnd"/>
      <w:r w:rsidRPr="00007B7D">
        <w:t xml:space="preserve"> pas </w:t>
      </w:r>
      <w:proofErr w:type="spellStart"/>
      <w:r w:rsidRPr="00007B7D">
        <w:rPr>
          <w:i/>
          <w:iCs/>
        </w:rPr>
        <w:t>l’actio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popularis</w:t>
      </w:r>
      <w:proofErr w:type="spellEnd"/>
      <w:r w:rsidRPr="00007B7D">
        <w:t xml:space="preserve"> (</w:t>
      </w:r>
      <w:r w:rsidRPr="00007B7D">
        <w:rPr>
          <w:i/>
          <w:iCs/>
        </w:rPr>
        <w:t xml:space="preserve">Centre de </w:t>
      </w:r>
      <w:proofErr w:type="spellStart"/>
      <w:r w:rsidRPr="00007B7D">
        <w:rPr>
          <w:i/>
          <w:iCs/>
        </w:rPr>
        <w:t>ressources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juridiques</w:t>
      </w:r>
      <w:proofErr w:type="spellEnd"/>
      <w:r w:rsidRPr="00007B7D">
        <w:rPr>
          <w:i/>
          <w:iCs/>
        </w:rPr>
        <w:t xml:space="preserve"> au nom de Valentin </w:t>
      </w:r>
      <w:proofErr w:type="spellStart"/>
      <w:r w:rsidRPr="00007B7D">
        <w:rPr>
          <w:i/>
          <w:iCs/>
        </w:rPr>
        <w:t>Câmpeanu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 xml:space="preserve"> [GC], n</w:t>
      </w:r>
      <w:r w:rsidRPr="00007B7D">
        <w:rPr>
          <w:vertAlign w:val="superscript"/>
        </w:rPr>
        <w:t>o</w:t>
      </w:r>
      <w:r w:rsidRPr="00007B7D">
        <w:t xml:space="preserve"> 47848/08, § 101, CEDH 2014 et </w:t>
      </w:r>
      <w:proofErr w:type="spellStart"/>
      <w:r w:rsidRPr="00007B7D">
        <w:t>références</w:t>
      </w:r>
      <w:proofErr w:type="spellEnd"/>
      <w:r w:rsidRPr="00007B7D">
        <w:t xml:space="preserve"> </w:t>
      </w:r>
      <w:proofErr w:type="spellStart"/>
      <w:r w:rsidRPr="00007B7D">
        <w:lastRenderedPageBreak/>
        <w:t>citées</w:t>
      </w:r>
      <w:proofErr w:type="spellEnd"/>
      <w:r w:rsidRPr="00007B7D">
        <w:t xml:space="preserve">). Pour </w:t>
      </w:r>
      <w:proofErr w:type="spellStart"/>
      <w:r w:rsidRPr="00007B7D">
        <w:t>pouvoir</w:t>
      </w:r>
      <w:proofErr w:type="spellEnd"/>
      <w:r w:rsidRPr="00007B7D">
        <w:t xml:space="preserve"> </w:t>
      </w:r>
      <w:proofErr w:type="spellStart"/>
      <w:r w:rsidRPr="00007B7D">
        <w:t>introduire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requête</w:t>
      </w:r>
      <w:proofErr w:type="spellEnd"/>
      <w:r w:rsidRPr="00007B7D">
        <w:t xml:space="preserve"> </w:t>
      </w:r>
      <w:proofErr w:type="spellStart"/>
      <w:r w:rsidRPr="00007B7D">
        <w:t>individuelle</w:t>
      </w:r>
      <w:proofErr w:type="spellEnd"/>
      <w:r w:rsidRPr="00007B7D">
        <w:t xml:space="preserve">,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personne</w:t>
      </w:r>
      <w:proofErr w:type="spellEnd"/>
      <w:r w:rsidRPr="00007B7D">
        <w:t xml:space="preserve"> physique, </w:t>
      </w:r>
      <w:proofErr w:type="spellStart"/>
      <w:r w:rsidRPr="00007B7D">
        <w:t>une</w:t>
      </w:r>
      <w:proofErr w:type="spellEnd"/>
      <w:r w:rsidRPr="00007B7D">
        <w:t xml:space="preserve"> organisation non </w:t>
      </w:r>
      <w:proofErr w:type="spellStart"/>
      <w:r w:rsidRPr="00007B7D">
        <w:t>gouvernementale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un </w:t>
      </w:r>
      <w:proofErr w:type="spellStart"/>
      <w:r w:rsidRPr="00007B7D">
        <w:t>groupe</w:t>
      </w:r>
      <w:proofErr w:type="spellEnd"/>
      <w:r w:rsidRPr="00007B7D">
        <w:t xml:space="preserve"> de </w:t>
      </w:r>
      <w:proofErr w:type="spellStart"/>
      <w:r w:rsidRPr="00007B7D">
        <w:t>particuliers</w:t>
      </w:r>
      <w:proofErr w:type="spellEnd"/>
      <w:r w:rsidRPr="00007B7D">
        <w:t xml:space="preserve"> doit </w:t>
      </w:r>
      <w:proofErr w:type="spellStart"/>
      <w:r w:rsidRPr="00007B7D">
        <w:t>pouvoir</w:t>
      </w:r>
      <w:proofErr w:type="spellEnd"/>
      <w:r w:rsidRPr="00007B7D">
        <w:t xml:space="preserve"> se </w:t>
      </w:r>
      <w:proofErr w:type="spellStart"/>
      <w:r w:rsidRPr="00007B7D">
        <w:t>prétendre</w:t>
      </w:r>
      <w:proofErr w:type="spellEnd"/>
      <w:r w:rsidRPr="00007B7D">
        <w:t xml:space="preserve"> </w:t>
      </w:r>
      <w:proofErr w:type="spellStart"/>
      <w:r w:rsidRPr="00007B7D">
        <w:t>victime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violation des droits </w:t>
      </w:r>
      <w:proofErr w:type="spellStart"/>
      <w:r w:rsidRPr="00007B7D">
        <w:t>reconnus</w:t>
      </w:r>
      <w:proofErr w:type="spellEnd"/>
      <w:r w:rsidRPr="00007B7D">
        <w:t xml:space="preserve"> dans la Convention (</w:t>
      </w:r>
      <w:r w:rsidRPr="00007B7D">
        <w:rPr>
          <w:i/>
          <w:iCs/>
        </w:rPr>
        <w:t>Aksu c. </w:t>
      </w:r>
      <w:proofErr w:type="spellStart"/>
      <w:r w:rsidRPr="00007B7D">
        <w:rPr>
          <w:i/>
          <w:iCs/>
        </w:rPr>
        <w:t>Turquie</w:t>
      </w:r>
      <w:proofErr w:type="spellEnd"/>
      <w:r w:rsidRPr="00007B7D">
        <w:t xml:space="preserve"> [GC], </w:t>
      </w:r>
      <w:proofErr w:type="spellStart"/>
      <w:r w:rsidRPr="00007B7D">
        <w:t>n</w:t>
      </w:r>
      <w:r w:rsidRPr="00007B7D">
        <w:rPr>
          <w:vertAlign w:val="superscript"/>
        </w:rPr>
        <w:t>os</w:t>
      </w:r>
      <w:proofErr w:type="spellEnd"/>
      <w:r w:rsidRPr="00007B7D">
        <w:t xml:space="preserve"> 4149/04 et 41029/04, §§ 50-51, CEDH 2012). </w:t>
      </w:r>
      <w:proofErr w:type="spellStart"/>
      <w:r w:rsidRPr="00007B7D">
        <w:t>D’ordinaire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n’accorde</w:t>
      </w:r>
      <w:proofErr w:type="spellEnd"/>
      <w:r w:rsidRPr="00007B7D">
        <w:t xml:space="preserve"> pas la </w:t>
      </w:r>
      <w:proofErr w:type="spellStart"/>
      <w:r w:rsidRPr="00007B7D">
        <w:t>qualité</w:t>
      </w:r>
      <w:proofErr w:type="spellEnd"/>
      <w:r w:rsidRPr="00007B7D">
        <w:t xml:space="preserve"> de </w:t>
      </w:r>
      <w:proofErr w:type="spellStart"/>
      <w:r w:rsidRPr="00007B7D">
        <w:t>victime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association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l’absence</w:t>
      </w:r>
      <w:proofErr w:type="spellEnd"/>
      <w:r w:rsidRPr="00007B7D">
        <w:t xml:space="preserve"> de </w:t>
      </w:r>
      <w:proofErr w:type="spellStart"/>
      <w:r w:rsidRPr="00007B7D">
        <w:t>mesure</w:t>
      </w:r>
      <w:proofErr w:type="spellEnd"/>
      <w:r w:rsidRPr="00007B7D">
        <w:t xml:space="preserve"> </w:t>
      </w:r>
      <w:proofErr w:type="spellStart"/>
      <w:r w:rsidRPr="00007B7D">
        <w:t>touchant</w:t>
      </w:r>
      <w:proofErr w:type="spellEnd"/>
      <w:r w:rsidRPr="00007B7D">
        <w:t xml:space="preserve"> </w:t>
      </w:r>
      <w:proofErr w:type="spellStart"/>
      <w:r w:rsidRPr="00007B7D">
        <w:t>celle</w:t>
      </w:r>
      <w:proofErr w:type="spellEnd"/>
      <w:r w:rsidRPr="00007B7D">
        <w:t xml:space="preserve">-ci </w:t>
      </w:r>
      <w:proofErr w:type="spellStart"/>
      <w:r w:rsidRPr="00007B7D">
        <w:t>directement</w:t>
      </w:r>
      <w:proofErr w:type="spellEnd"/>
      <w:r w:rsidRPr="00007B7D">
        <w:t xml:space="preserve">, </w:t>
      </w:r>
      <w:proofErr w:type="spellStart"/>
      <w:r w:rsidRPr="00007B7D">
        <w:t>quand</w:t>
      </w:r>
      <w:proofErr w:type="spellEnd"/>
      <w:r w:rsidRPr="00007B7D">
        <w:t xml:space="preserve"> bien </w:t>
      </w:r>
      <w:proofErr w:type="spellStart"/>
      <w:r w:rsidRPr="00007B7D">
        <w:t>même</w:t>
      </w:r>
      <w:proofErr w:type="spellEnd"/>
      <w:r w:rsidRPr="00007B7D">
        <w:t xml:space="preserve"> les </w:t>
      </w:r>
      <w:proofErr w:type="spellStart"/>
      <w:r w:rsidRPr="00007B7D">
        <w:t>intérêts</w:t>
      </w:r>
      <w:proofErr w:type="spellEnd"/>
      <w:r w:rsidRPr="00007B7D">
        <w:t xml:space="preserve">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membres</w:t>
      </w:r>
      <w:proofErr w:type="spellEnd"/>
      <w:r w:rsidRPr="00007B7D">
        <w:t xml:space="preserve"> </w:t>
      </w:r>
      <w:proofErr w:type="spellStart"/>
      <w:r w:rsidRPr="00007B7D">
        <w:t>pourraient</w:t>
      </w:r>
      <w:proofErr w:type="spellEnd"/>
      <w:r w:rsidRPr="00007B7D">
        <w:t xml:space="preserve">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jeu. </w:t>
      </w:r>
      <w:proofErr w:type="spellStart"/>
      <w:r w:rsidRPr="00007B7D">
        <w:t>Seules</w:t>
      </w:r>
      <w:proofErr w:type="spellEnd"/>
      <w:r w:rsidRPr="00007B7D">
        <w:t xml:space="preserve"> des « </w:t>
      </w:r>
      <w:proofErr w:type="spellStart"/>
      <w:r w:rsidRPr="00007B7D">
        <w:t>considérations</w:t>
      </w:r>
      <w:proofErr w:type="spellEnd"/>
      <w:r w:rsidRPr="00007B7D">
        <w:t xml:space="preserve"> </w:t>
      </w:r>
      <w:proofErr w:type="spellStart"/>
      <w:r w:rsidRPr="00007B7D">
        <w:t>spéciales</w:t>
      </w:r>
      <w:proofErr w:type="spellEnd"/>
      <w:r w:rsidRPr="00007B7D">
        <w:t xml:space="preserve"> » </w:t>
      </w:r>
      <w:proofErr w:type="spellStart"/>
      <w:r w:rsidRPr="00007B7D">
        <w:t>peuvent</w:t>
      </w:r>
      <w:proofErr w:type="spellEnd"/>
      <w:r w:rsidRPr="00007B7D">
        <w:t xml:space="preserve"> justifier </w:t>
      </w:r>
      <w:proofErr w:type="spellStart"/>
      <w:r w:rsidRPr="00007B7D">
        <w:t>qu’une</w:t>
      </w:r>
      <w:proofErr w:type="spellEnd"/>
      <w:r w:rsidRPr="00007B7D">
        <w:t xml:space="preserve"> association </w:t>
      </w:r>
      <w:proofErr w:type="spellStart"/>
      <w:r w:rsidRPr="00007B7D">
        <w:t>représente</w:t>
      </w:r>
      <w:proofErr w:type="spellEnd"/>
      <w:r w:rsidRPr="00007B7D">
        <w:t xml:space="preserve"> des </w:t>
      </w:r>
      <w:proofErr w:type="spellStart"/>
      <w:r w:rsidRPr="00007B7D">
        <w:t>individus</w:t>
      </w:r>
      <w:proofErr w:type="spellEnd"/>
      <w:r w:rsidRPr="00007B7D">
        <w:t xml:space="preserve"> </w:t>
      </w:r>
      <w:proofErr w:type="spellStart"/>
      <w:r w:rsidRPr="00007B7D">
        <w:t>même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l’absence</w:t>
      </w:r>
      <w:proofErr w:type="spellEnd"/>
      <w:r w:rsidRPr="00007B7D">
        <w:t xml:space="preserve"> de </w:t>
      </w:r>
      <w:proofErr w:type="spellStart"/>
      <w:r w:rsidRPr="00007B7D">
        <w:t>pareille</w:t>
      </w:r>
      <w:proofErr w:type="spellEnd"/>
      <w:r w:rsidRPr="00007B7D">
        <w:t xml:space="preserve"> </w:t>
      </w:r>
      <w:proofErr w:type="spellStart"/>
      <w:r w:rsidRPr="00007B7D">
        <w:t>mesure</w:t>
      </w:r>
      <w:proofErr w:type="spellEnd"/>
      <w:r w:rsidRPr="00007B7D">
        <w:t xml:space="preserve"> (</w:t>
      </w:r>
      <w:r w:rsidRPr="00007B7D">
        <w:rPr>
          <w:i/>
          <w:iCs/>
        </w:rPr>
        <w:t>Verein </w:t>
      </w:r>
      <w:proofErr w:type="spellStart"/>
      <w:r w:rsidRPr="00007B7D">
        <w:rPr>
          <w:i/>
          <w:iCs/>
        </w:rPr>
        <w:t>KlimaSeniorinnen</w:t>
      </w:r>
      <w:proofErr w:type="spellEnd"/>
      <w:r w:rsidRPr="00007B7D">
        <w:rPr>
          <w:i/>
          <w:iCs/>
        </w:rPr>
        <w:t xml:space="preserve"> Schweiz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Suisse</w:t>
      </w:r>
      <w:r w:rsidRPr="00007B7D">
        <w:t xml:space="preserve"> [GC], n</w:t>
      </w:r>
      <w:r w:rsidRPr="00007B7D">
        <w:rPr>
          <w:vertAlign w:val="superscript"/>
        </w:rPr>
        <w:t>o</w:t>
      </w:r>
      <w:r w:rsidRPr="00007B7D">
        <w:t> 53600/20, §§ 475-476, 9 </w:t>
      </w:r>
      <w:proofErr w:type="spellStart"/>
      <w:r w:rsidRPr="00007B7D">
        <w:t>avril</w:t>
      </w:r>
      <w:proofErr w:type="spellEnd"/>
      <w:r w:rsidRPr="00007B7D">
        <w:t xml:space="preserve"> </w:t>
      </w:r>
      <w:proofErr w:type="gramStart"/>
      <w:r w:rsidRPr="00007B7D">
        <w:t>2024 ;</w:t>
      </w:r>
      <w:proofErr w:type="gramEnd"/>
      <w:r w:rsidRPr="00007B7D">
        <w:t xml:space="preserve"> </w:t>
      </w:r>
      <w:proofErr w:type="spellStart"/>
      <w:r w:rsidRPr="00007B7D">
        <w:t>voir</w:t>
      </w:r>
      <w:proofErr w:type="spellEnd"/>
      <w:r w:rsidRPr="00007B7D">
        <w:t xml:space="preserve">, </w:t>
      </w:r>
      <w:proofErr w:type="spellStart"/>
      <w:r w:rsidRPr="00007B7D">
        <w:t>également</w:t>
      </w:r>
      <w:proofErr w:type="spellEnd"/>
      <w:r w:rsidRPr="00007B7D">
        <w:t xml:space="preserve">, </w:t>
      </w:r>
      <w:r w:rsidRPr="00007B7D">
        <w:rPr>
          <w:i/>
          <w:iCs/>
        </w:rPr>
        <w:t xml:space="preserve">Association Innocence </w:t>
      </w:r>
      <w:proofErr w:type="spellStart"/>
      <w:r w:rsidRPr="00007B7D">
        <w:rPr>
          <w:i/>
          <w:iCs/>
        </w:rPr>
        <w:t>en</w:t>
      </w:r>
      <w:proofErr w:type="spellEnd"/>
      <w:r w:rsidRPr="00007B7D">
        <w:rPr>
          <w:i/>
          <w:iCs/>
        </w:rPr>
        <w:t xml:space="preserve"> Danger et Association </w:t>
      </w:r>
      <w:proofErr w:type="spellStart"/>
      <w:r w:rsidRPr="00007B7D">
        <w:rPr>
          <w:i/>
          <w:iCs/>
        </w:rPr>
        <w:t>Enfance</w:t>
      </w:r>
      <w:proofErr w:type="spellEnd"/>
      <w:r w:rsidRPr="00007B7D">
        <w:rPr>
          <w:i/>
          <w:iCs/>
        </w:rPr>
        <w:t xml:space="preserve"> et Partage c. France</w:t>
      </w:r>
      <w:r w:rsidRPr="00007B7D">
        <w:t xml:space="preserve">, </w:t>
      </w:r>
      <w:proofErr w:type="spellStart"/>
      <w:r w:rsidRPr="00007B7D">
        <w:t>n</w:t>
      </w:r>
      <w:r w:rsidRPr="00007B7D">
        <w:rPr>
          <w:vertAlign w:val="superscript"/>
        </w:rPr>
        <w:t>os</w:t>
      </w:r>
      <w:proofErr w:type="spellEnd"/>
      <w:r w:rsidRPr="00007B7D">
        <w:t> 15343/15 et 16806/15, §§ 119</w:t>
      </w:r>
      <w:r w:rsidRPr="00007B7D">
        <w:noBreakHyphen/>
        <w:t>122, 4 </w:t>
      </w:r>
      <w:proofErr w:type="spellStart"/>
      <w:r w:rsidRPr="00007B7D">
        <w:t>juin</w:t>
      </w:r>
      <w:proofErr w:type="spellEnd"/>
      <w:r w:rsidRPr="00007B7D">
        <w:t xml:space="preserve"> 2020).</w:t>
      </w:r>
    </w:p>
    <w:p w14:paraId="3D93AD4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103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Faute</w:t>
      </w:r>
      <w:proofErr w:type="spellEnd"/>
      <w:r w:rsidRPr="00007B7D">
        <w:t xml:space="preserve"> </w:t>
      </w:r>
      <w:proofErr w:type="spellStart"/>
      <w:r w:rsidRPr="00007B7D">
        <w:t>d’avoir</w:t>
      </w:r>
      <w:proofErr w:type="spellEnd"/>
      <w:r w:rsidRPr="00007B7D">
        <w:t xml:space="preserve"> </w:t>
      </w:r>
      <w:proofErr w:type="spellStart"/>
      <w:r w:rsidRPr="00007B7D">
        <w:t>directement</w:t>
      </w:r>
      <w:proofErr w:type="spellEnd"/>
      <w:r w:rsidRPr="00007B7D">
        <w:t xml:space="preserve"> </w:t>
      </w:r>
      <w:proofErr w:type="spellStart"/>
      <w:r w:rsidRPr="00007B7D">
        <w:t>subi</w:t>
      </w:r>
      <w:proofErr w:type="spellEnd"/>
      <w:r w:rsidRPr="00007B7D">
        <w:t xml:space="preserve"> les </w:t>
      </w:r>
      <w:proofErr w:type="spellStart"/>
      <w:r w:rsidRPr="00007B7D">
        <w:t>effets</w:t>
      </w:r>
      <w:proofErr w:type="spellEnd"/>
      <w:r w:rsidRPr="00007B7D">
        <w:t xml:space="preserve"> de la violation </w:t>
      </w:r>
      <w:proofErr w:type="spellStart"/>
      <w:r w:rsidRPr="00007B7D">
        <w:t>alléguée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que </w:t>
      </w:r>
      <w:proofErr w:type="spellStart"/>
      <w:r w:rsidRPr="00007B7D">
        <w:t>l’AVFT</w:t>
      </w:r>
      <w:proofErr w:type="spellEnd"/>
      <w:r w:rsidRPr="00007B7D">
        <w:t xml:space="preserve"> ne dispose pas de la </w:t>
      </w:r>
      <w:proofErr w:type="spellStart"/>
      <w:r w:rsidRPr="00007B7D">
        <w:t>qualité</w:t>
      </w:r>
      <w:proofErr w:type="spellEnd"/>
      <w:r w:rsidRPr="00007B7D">
        <w:t xml:space="preserve"> de « </w:t>
      </w:r>
      <w:proofErr w:type="spellStart"/>
      <w:r w:rsidRPr="00007B7D">
        <w:t>victime</w:t>
      </w:r>
      <w:proofErr w:type="spellEnd"/>
      <w:r w:rsidRPr="00007B7D">
        <w:t xml:space="preserve"> » au </w:t>
      </w:r>
      <w:proofErr w:type="spellStart"/>
      <w:r w:rsidRPr="00007B7D">
        <w:t>sens</w:t>
      </w:r>
      <w:proofErr w:type="spellEnd"/>
      <w:r w:rsidRPr="00007B7D">
        <w:t xml:space="preserve"> de </w:t>
      </w:r>
      <w:proofErr w:type="spellStart"/>
      <w:r w:rsidRPr="00007B7D">
        <w:t>l’article</w:t>
      </w:r>
      <w:proofErr w:type="spellEnd"/>
      <w:r w:rsidRPr="00007B7D">
        <w:t xml:space="preserve"> 34. Elle note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outre</w:t>
      </w:r>
      <w:proofErr w:type="spellEnd"/>
      <w:r w:rsidRPr="00007B7D">
        <w:t xml:space="preserve"> </w:t>
      </w:r>
      <w:proofErr w:type="spellStart"/>
      <w:r w:rsidRPr="00007B7D">
        <w:t>qu’E.A</w:t>
      </w:r>
      <w:proofErr w:type="spellEnd"/>
      <w:r w:rsidRPr="00007B7D">
        <w:t xml:space="preserve">. a </w:t>
      </w:r>
      <w:proofErr w:type="spellStart"/>
      <w:r w:rsidRPr="00007B7D">
        <w:t>personnellement</w:t>
      </w:r>
      <w:proofErr w:type="spellEnd"/>
      <w:r w:rsidRPr="00007B7D">
        <w:t xml:space="preserve"> </w:t>
      </w:r>
      <w:proofErr w:type="spellStart"/>
      <w:r w:rsidRPr="00007B7D">
        <w:t>introduit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requête</w:t>
      </w:r>
      <w:proofErr w:type="spellEnd"/>
      <w:r w:rsidRPr="00007B7D">
        <w:t xml:space="preserve"> </w:t>
      </w:r>
      <w:proofErr w:type="spellStart"/>
      <w:r w:rsidRPr="00007B7D">
        <w:t>individuelle</w:t>
      </w:r>
      <w:proofErr w:type="spellEnd"/>
      <w:r w:rsidRPr="00007B7D">
        <w:t xml:space="preserve"> et </w:t>
      </w:r>
      <w:proofErr w:type="spellStart"/>
      <w:r w:rsidRPr="00007B7D">
        <w:t>qu’elle</w:t>
      </w:r>
      <w:proofErr w:type="spellEnd"/>
      <w:r w:rsidRPr="00007B7D">
        <w:t xml:space="preserve"> a </w:t>
      </w:r>
      <w:proofErr w:type="spellStart"/>
      <w:r w:rsidRPr="00007B7D">
        <w:t>bénéficié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</w:t>
      </w:r>
      <w:proofErr w:type="spellStart"/>
      <w:r w:rsidRPr="00007B7D">
        <w:t>représentation</w:t>
      </w:r>
      <w:proofErr w:type="spellEnd"/>
      <w:r w:rsidRPr="00007B7D">
        <w:t xml:space="preserve"> effective </w:t>
      </w:r>
      <w:proofErr w:type="spellStart"/>
      <w:r w:rsidRPr="00007B7D">
        <w:t>devant</w:t>
      </w:r>
      <w:proofErr w:type="spellEnd"/>
      <w:r w:rsidRPr="00007B7D">
        <w:t xml:space="preserve"> la </w:t>
      </w:r>
      <w:proofErr w:type="spellStart"/>
      <w:r w:rsidRPr="00007B7D">
        <w:t>Cour</w:t>
      </w:r>
      <w:proofErr w:type="spellEnd"/>
      <w:r w:rsidRPr="00007B7D">
        <w:t xml:space="preserve">. Il </w:t>
      </w:r>
      <w:proofErr w:type="spellStart"/>
      <w:r w:rsidRPr="00007B7D">
        <w:t>s’ensuit</w:t>
      </w:r>
      <w:proofErr w:type="spellEnd"/>
      <w:r w:rsidRPr="00007B7D">
        <w:t xml:space="preserve"> que </w:t>
      </w:r>
      <w:proofErr w:type="spellStart"/>
      <w:r w:rsidRPr="00007B7D">
        <w:t>l’AVFT</w:t>
      </w:r>
      <w:proofErr w:type="spellEnd"/>
      <w:r w:rsidRPr="00007B7D">
        <w:t xml:space="preserve"> </w:t>
      </w:r>
      <w:proofErr w:type="spellStart"/>
      <w:r w:rsidRPr="00007B7D">
        <w:t>n’a</w:t>
      </w:r>
      <w:proofErr w:type="spellEnd"/>
      <w:r w:rsidRPr="00007B7D">
        <w:t xml:space="preserve"> pas </w:t>
      </w:r>
      <w:proofErr w:type="spellStart"/>
      <w:r w:rsidRPr="00007B7D">
        <w:t>qualité</w:t>
      </w:r>
      <w:proofErr w:type="spellEnd"/>
      <w:r w:rsidRPr="00007B7D">
        <w:t xml:space="preserve"> pour </w:t>
      </w:r>
      <w:proofErr w:type="spellStart"/>
      <w:r w:rsidRPr="00007B7D">
        <w:t>agir</w:t>
      </w:r>
      <w:proofErr w:type="spellEnd"/>
      <w:r w:rsidRPr="00007B7D">
        <w:t xml:space="preserve"> </w:t>
      </w:r>
      <w:proofErr w:type="spellStart"/>
      <w:r w:rsidRPr="00007B7D">
        <w:t>devant</w:t>
      </w:r>
      <w:proofErr w:type="spellEnd"/>
      <w:r w:rsidRPr="00007B7D">
        <w:t xml:space="preserve"> la </w:t>
      </w:r>
      <w:proofErr w:type="spellStart"/>
      <w:r w:rsidRPr="00007B7D">
        <w:t>Cour</w:t>
      </w:r>
      <w:proofErr w:type="spellEnd"/>
      <w:r w:rsidRPr="00007B7D">
        <w:t xml:space="preserve">, que </w:t>
      </w:r>
      <w:proofErr w:type="spellStart"/>
      <w:r w:rsidRPr="00007B7D">
        <w:t>ce</w:t>
      </w:r>
      <w:proofErr w:type="spellEnd"/>
      <w:r w:rsidRPr="00007B7D">
        <w:t xml:space="preserve"> </w:t>
      </w:r>
      <w:proofErr w:type="spellStart"/>
      <w:r w:rsidRPr="00007B7D">
        <w:t>soit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son nom propre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qualité</w:t>
      </w:r>
      <w:proofErr w:type="spellEnd"/>
      <w:r w:rsidRPr="00007B7D">
        <w:t xml:space="preserve"> de </w:t>
      </w:r>
      <w:proofErr w:type="spellStart"/>
      <w:r w:rsidRPr="00007B7D">
        <w:t>représentant</w:t>
      </w:r>
      <w:proofErr w:type="spellEnd"/>
      <w:r w:rsidRPr="00007B7D">
        <w:t xml:space="preserve"> </w:t>
      </w:r>
      <w:r w:rsidRPr="00007B7D">
        <w:rPr>
          <w:i/>
          <w:iCs/>
        </w:rPr>
        <w:t xml:space="preserve">de facto </w:t>
      </w:r>
      <w:proofErr w:type="spellStart"/>
      <w:r w:rsidRPr="00007B7D">
        <w:t>d’E.A</w:t>
      </w:r>
      <w:proofErr w:type="spellEnd"/>
      <w:r w:rsidRPr="00007B7D">
        <w:t xml:space="preserve">. La </w:t>
      </w:r>
      <w:proofErr w:type="spellStart"/>
      <w:r w:rsidRPr="00007B7D">
        <w:t>requête</w:t>
      </w:r>
      <w:proofErr w:type="spellEnd"/>
      <w:r w:rsidRPr="00007B7D">
        <w:t xml:space="preserve"> </w:t>
      </w:r>
      <w:proofErr w:type="spellStart"/>
      <w:r w:rsidRPr="00007B7D">
        <w:t>introduite</w:t>
      </w:r>
      <w:proofErr w:type="spellEnd"/>
      <w:r w:rsidRPr="00007B7D">
        <w:t xml:space="preserve"> par </w:t>
      </w:r>
      <w:proofErr w:type="spellStart"/>
      <w:r w:rsidRPr="00007B7D">
        <w:t>cette</w:t>
      </w:r>
      <w:proofErr w:type="spellEnd"/>
      <w:r w:rsidRPr="00007B7D">
        <w:t xml:space="preserve"> association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donc</w:t>
      </w:r>
      <w:proofErr w:type="spellEnd"/>
      <w:r w:rsidRPr="00007B7D">
        <w:t xml:space="preserve"> incompatible </w:t>
      </w:r>
      <w:proofErr w:type="spellStart"/>
      <w:r w:rsidRPr="00007B7D">
        <w:rPr>
          <w:i/>
          <w:iCs/>
        </w:rPr>
        <w:t>ratione</w:t>
      </w:r>
      <w:proofErr w:type="spellEnd"/>
      <w:r w:rsidRPr="00007B7D">
        <w:rPr>
          <w:i/>
          <w:iCs/>
        </w:rPr>
        <w:t xml:space="preserve"> personae</w:t>
      </w:r>
      <w:r w:rsidRPr="00007B7D">
        <w:t xml:space="preserve"> avec les dispositions de la Convention au </w:t>
      </w:r>
      <w:proofErr w:type="spellStart"/>
      <w:r w:rsidRPr="00007B7D">
        <w:t>sens</w:t>
      </w:r>
      <w:proofErr w:type="spellEnd"/>
      <w:r w:rsidRPr="00007B7D">
        <w:t xml:space="preserve"> de </w:t>
      </w:r>
      <w:proofErr w:type="spellStart"/>
      <w:r w:rsidRPr="00007B7D">
        <w:t>l’article</w:t>
      </w:r>
      <w:proofErr w:type="spellEnd"/>
      <w:r w:rsidRPr="00007B7D">
        <w:t xml:space="preserve"> 35 § 3 a), et doit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rejetée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application de </w:t>
      </w:r>
      <w:proofErr w:type="spellStart"/>
      <w:r w:rsidRPr="00007B7D">
        <w:t>l’article</w:t>
      </w:r>
      <w:proofErr w:type="spellEnd"/>
      <w:r w:rsidRPr="00007B7D">
        <w:t> 35 § 4.</w:t>
      </w:r>
    </w:p>
    <w:p w14:paraId="726AB6DB" w14:textId="77777777" w:rsidR="005D5C86" w:rsidRPr="00007B7D" w:rsidRDefault="005D5C86" w:rsidP="005D5C86">
      <w:pPr>
        <w:pStyle w:val="ECHRHeading2"/>
        <w:numPr>
          <w:ilvl w:val="0"/>
          <w:numId w:val="21"/>
        </w:numPr>
        <w:ind w:left="584" w:hanging="352"/>
      </w:pPr>
      <w:r w:rsidRPr="00007B7D">
        <w:t>Sur le fond</w:t>
      </w:r>
    </w:p>
    <w:p w14:paraId="7D0B0014" w14:textId="77777777" w:rsidR="005D5C86" w:rsidRPr="00007B7D" w:rsidRDefault="005D5C86" w:rsidP="005D5C86">
      <w:pPr>
        <w:pStyle w:val="ECHRHeading4"/>
        <w:numPr>
          <w:ilvl w:val="0"/>
          <w:numId w:val="21"/>
        </w:numPr>
        <w:ind w:left="975" w:hanging="340"/>
      </w:pPr>
      <w:proofErr w:type="spellStart"/>
      <w:r w:rsidRPr="00007B7D">
        <w:t>Principes</w:t>
      </w:r>
      <w:proofErr w:type="spellEnd"/>
      <w:r w:rsidRPr="00007B7D">
        <w:t xml:space="preserve"> </w:t>
      </w:r>
      <w:proofErr w:type="spellStart"/>
      <w:r w:rsidRPr="00007B7D">
        <w:t>généraux</w:t>
      </w:r>
      <w:proofErr w:type="spellEnd"/>
    </w:p>
    <w:p w14:paraId="2A0F04D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130</w:t>
      </w:r>
      <w:r w:rsidRPr="00007B7D">
        <w:rPr>
          <w:noProof/>
        </w:rPr>
        <w:fldChar w:fldCharType="end"/>
      </w:r>
      <w:r w:rsidRPr="00007B7D">
        <w:t xml:space="preserve">.  Les </w:t>
      </w:r>
      <w:proofErr w:type="spellStart"/>
      <w:r w:rsidRPr="00007B7D">
        <w:t>principes</w:t>
      </w:r>
      <w:proofErr w:type="spellEnd"/>
      <w:r w:rsidRPr="00007B7D">
        <w:t xml:space="preserve"> </w:t>
      </w:r>
      <w:proofErr w:type="spellStart"/>
      <w:r w:rsidRPr="00007B7D">
        <w:t>relatifs</w:t>
      </w:r>
      <w:proofErr w:type="spellEnd"/>
      <w:r w:rsidRPr="00007B7D">
        <w:t xml:space="preserve"> à la protection des </w:t>
      </w:r>
      <w:proofErr w:type="spellStart"/>
      <w:r w:rsidRPr="00007B7D">
        <w:t>personnes</w:t>
      </w:r>
      <w:proofErr w:type="spellEnd"/>
      <w:r w:rsidRPr="00007B7D">
        <w:t xml:space="preserve"> relevant de la </w:t>
      </w:r>
      <w:proofErr w:type="spellStart"/>
      <w:r w:rsidRPr="00007B7D">
        <w:t>juridiction</w:t>
      </w:r>
      <w:proofErr w:type="spellEnd"/>
      <w:r w:rsidRPr="00007B7D">
        <w:t xml:space="preserve"> des </w:t>
      </w:r>
      <w:proofErr w:type="spellStart"/>
      <w:r w:rsidRPr="00007B7D">
        <w:t>États</w:t>
      </w:r>
      <w:proofErr w:type="spellEnd"/>
      <w:r w:rsidRPr="00007B7D">
        <w:t xml:space="preserve"> </w:t>
      </w:r>
      <w:proofErr w:type="spellStart"/>
      <w:r w:rsidRPr="00007B7D">
        <w:t>contractants</w:t>
      </w:r>
      <w:proofErr w:type="spellEnd"/>
      <w:r w:rsidRPr="00007B7D">
        <w:t xml:space="preserve"> </w:t>
      </w:r>
      <w:proofErr w:type="spellStart"/>
      <w:r w:rsidRPr="00007B7D">
        <w:t>contre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présentés</w:t>
      </w:r>
      <w:proofErr w:type="spellEnd"/>
      <w:r w:rsidRPr="00007B7D">
        <w:t xml:space="preserve"> dans </w:t>
      </w:r>
      <w:proofErr w:type="spellStart"/>
      <w:r w:rsidRPr="00007B7D">
        <w:t>l’arrêt</w:t>
      </w:r>
      <w:proofErr w:type="spellEnd"/>
      <w:r w:rsidRPr="00007B7D">
        <w:t xml:space="preserve">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 (</w:t>
      </w:r>
      <w:proofErr w:type="spellStart"/>
      <w:r w:rsidRPr="00007B7D">
        <w:t>précité</w:t>
      </w:r>
      <w:proofErr w:type="spellEnd"/>
      <w:r w:rsidRPr="00007B7D">
        <w:t xml:space="preserve">, §§ 192-202), </w:t>
      </w:r>
      <w:proofErr w:type="spellStart"/>
      <w:r w:rsidRPr="00007B7D">
        <w:t>auquel</w:t>
      </w:r>
      <w:proofErr w:type="spellEnd"/>
      <w:r w:rsidRPr="00007B7D">
        <w:t xml:space="preserve"> il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renvoyé</w:t>
      </w:r>
      <w:proofErr w:type="spellEnd"/>
      <w:r w:rsidRPr="00007B7D">
        <w:t>.</w:t>
      </w:r>
    </w:p>
    <w:p w14:paraId="1D3A6708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131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rappelle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particulier que le viol et les </w:t>
      </w:r>
      <w:proofErr w:type="spellStart"/>
      <w:r w:rsidRPr="00007B7D">
        <w:t>agressions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graves </w:t>
      </w:r>
      <w:proofErr w:type="spellStart"/>
      <w:r w:rsidRPr="00007B7D">
        <w:t>s’analysent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des </w:t>
      </w:r>
      <w:proofErr w:type="spellStart"/>
      <w:r w:rsidRPr="00007B7D">
        <w:t>traitements</w:t>
      </w:r>
      <w:proofErr w:type="spellEnd"/>
      <w:r w:rsidRPr="00007B7D">
        <w:t xml:space="preserve"> qui </w:t>
      </w:r>
      <w:proofErr w:type="spellStart"/>
      <w:r w:rsidRPr="00007B7D">
        <w:t>tombent</w:t>
      </w:r>
      <w:proofErr w:type="spellEnd"/>
      <w:r w:rsidRPr="00007B7D">
        <w:t xml:space="preserve"> sous </w:t>
      </w:r>
      <w:proofErr w:type="spellStart"/>
      <w:r w:rsidRPr="00007B7D">
        <w:t>l’empire</w:t>
      </w:r>
      <w:proofErr w:type="spellEnd"/>
      <w:r w:rsidRPr="00007B7D">
        <w:t xml:space="preserve"> de </w:t>
      </w:r>
      <w:proofErr w:type="spellStart"/>
      <w:r w:rsidRPr="00007B7D">
        <w:t>l’article</w:t>
      </w:r>
      <w:proofErr w:type="spellEnd"/>
      <w:r w:rsidRPr="00007B7D">
        <w:t xml:space="preserve"> 3 de la Convention et qui </w:t>
      </w:r>
      <w:proofErr w:type="spellStart"/>
      <w:r w:rsidRPr="00007B7D">
        <w:t>mettent</w:t>
      </w:r>
      <w:proofErr w:type="spellEnd"/>
      <w:r w:rsidRPr="00007B7D">
        <w:t xml:space="preserve"> </w:t>
      </w:r>
      <w:proofErr w:type="spellStart"/>
      <w:r w:rsidRPr="00007B7D">
        <w:t>également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jeu des </w:t>
      </w:r>
      <w:proofErr w:type="spellStart"/>
      <w:r w:rsidRPr="00007B7D">
        <w:t>valeurs</w:t>
      </w:r>
      <w:proofErr w:type="spellEnd"/>
      <w:r w:rsidRPr="00007B7D">
        <w:t xml:space="preserve"> </w:t>
      </w:r>
      <w:proofErr w:type="spellStart"/>
      <w:r w:rsidRPr="00007B7D">
        <w:t>fondamentales</w:t>
      </w:r>
      <w:proofErr w:type="spellEnd"/>
      <w:r w:rsidRPr="00007B7D">
        <w:t xml:space="preserve"> et des aspects </w:t>
      </w:r>
      <w:proofErr w:type="spellStart"/>
      <w:r w:rsidRPr="00007B7D">
        <w:t>essentiels</w:t>
      </w:r>
      <w:proofErr w:type="spellEnd"/>
      <w:r w:rsidRPr="00007B7D">
        <w:t xml:space="preserve"> de la « vie </w:t>
      </w:r>
      <w:proofErr w:type="spellStart"/>
      <w:r w:rsidRPr="00007B7D">
        <w:t>privée</w:t>
      </w:r>
      <w:proofErr w:type="spellEnd"/>
      <w:r w:rsidRPr="00007B7D">
        <w:t xml:space="preserve"> » au </w:t>
      </w:r>
      <w:proofErr w:type="spellStart"/>
      <w:r w:rsidRPr="00007B7D">
        <w:t>sens</w:t>
      </w:r>
      <w:proofErr w:type="spellEnd"/>
      <w:r w:rsidRPr="00007B7D">
        <w:t xml:space="preserve"> de </w:t>
      </w:r>
      <w:proofErr w:type="spellStart"/>
      <w:r w:rsidRPr="00007B7D">
        <w:t>l’article</w:t>
      </w:r>
      <w:proofErr w:type="spellEnd"/>
      <w:r w:rsidRPr="00007B7D">
        <w:t> 8 (</w:t>
      </w:r>
      <w:bookmarkStart w:id="0" w:name="_cl19355"/>
      <w:proofErr w:type="spellStart"/>
      <w:r w:rsidRPr="00007B7D">
        <w:t>voir</w:t>
      </w:r>
      <w:proofErr w:type="spellEnd"/>
      <w:r w:rsidRPr="00007B7D">
        <w:t xml:space="preserve">, </w:t>
      </w:r>
      <w:proofErr w:type="spellStart"/>
      <w:r w:rsidRPr="00007B7D">
        <w:t>notamment</w:t>
      </w:r>
      <w:proofErr w:type="spellEnd"/>
      <w:r w:rsidRPr="00007B7D">
        <w:t xml:space="preserve">, </w:t>
      </w:r>
      <w:r w:rsidRPr="00007B7D">
        <w:rPr>
          <w:i/>
          <w:iCs/>
        </w:rPr>
        <w:t>Y c. </w:t>
      </w:r>
      <w:proofErr w:type="spellStart"/>
      <w:r w:rsidRPr="00007B7D">
        <w:rPr>
          <w:i/>
          <w:iCs/>
        </w:rPr>
        <w:t>Bulgarie</w:t>
      </w:r>
      <w:bookmarkEnd w:id="0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41990/18, §§ 63-65, 20 </w:t>
      </w:r>
      <w:proofErr w:type="spellStart"/>
      <w:r w:rsidRPr="00007B7D">
        <w:t>février</w:t>
      </w:r>
      <w:proofErr w:type="spellEnd"/>
      <w:r w:rsidRPr="00007B7D">
        <w:t xml:space="preserve"> 2020 et </w:t>
      </w:r>
      <w:proofErr w:type="spellStart"/>
      <w:r w:rsidRPr="00007B7D">
        <w:t>références</w:t>
      </w:r>
      <w:proofErr w:type="spellEnd"/>
      <w:r w:rsidRPr="00007B7D">
        <w:t xml:space="preserve"> </w:t>
      </w:r>
      <w:proofErr w:type="spellStart"/>
      <w:r w:rsidRPr="00007B7D">
        <w:t>citées</w:t>
      </w:r>
      <w:proofErr w:type="spellEnd"/>
      <w:r w:rsidRPr="00007B7D">
        <w:t xml:space="preserve">, </w:t>
      </w:r>
      <w:proofErr w:type="spellStart"/>
      <w:r w:rsidRPr="00007B7D">
        <w:t>ainsi</w:t>
      </w:r>
      <w:proofErr w:type="spellEnd"/>
      <w:r w:rsidRPr="00007B7D">
        <w:t xml:space="preserve"> que </w:t>
      </w:r>
      <w:bookmarkStart w:id="1" w:name="_cl40614"/>
      <w:proofErr w:type="gramStart"/>
      <w:r w:rsidRPr="00007B7D">
        <w:rPr>
          <w:i/>
          <w:iCs/>
        </w:rPr>
        <w:t>E.G.</w:t>
      </w:r>
      <w:proofErr w:type="gram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de Moldova</w:t>
      </w:r>
      <w:bookmarkEnd w:id="1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37882/13, § 39, 13 </w:t>
      </w:r>
      <w:proofErr w:type="spellStart"/>
      <w:r w:rsidRPr="00007B7D">
        <w:t>avril</w:t>
      </w:r>
      <w:proofErr w:type="spellEnd"/>
      <w:r w:rsidRPr="00007B7D">
        <w:t xml:space="preserve"> 2021).</w:t>
      </w:r>
    </w:p>
    <w:p w14:paraId="648F6217" w14:textId="77777777" w:rsidR="005D5C86" w:rsidRPr="00007B7D" w:rsidRDefault="005D5C86" w:rsidP="005D5C86">
      <w:pPr>
        <w:pStyle w:val="ECHRPara"/>
        <w:rPr>
          <w:rFonts w:cstheme="minorHAnsi"/>
          <w:color w:val="000000"/>
        </w:rPr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132</w:t>
      </w:r>
      <w:r w:rsidRPr="00007B7D">
        <w:rPr>
          <w:noProof/>
        </w:rPr>
        <w:fldChar w:fldCharType="end"/>
      </w:r>
      <w:r w:rsidRPr="00007B7D">
        <w:t>.  </w:t>
      </w:r>
      <w:r w:rsidRPr="00007B7D">
        <w:rPr>
          <w:rFonts w:cstheme="minorHAnsi"/>
          <w:color w:val="000000"/>
        </w:rPr>
        <w:t xml:space="preserve">Les obligations positives qui </w:t>
      </w:r>
      <w:proofErr w:type="spellStart"/>
      <w:r w:rsidRPr="00007B7D">
        <w:rPr>
          <w:rFonts w:cstheme="minorHAnsi"/>
          <w:color w:val="000000"/>
        </w:rPr>
        <w:t>pèsent</w:t>
      </w:r>
      <w:proofErr w:type="spellEnd"/>
      <w:r w:rsidRPr="00007B7D">
        <w:rPr>
          <w:rFonts w:cstheme="minorHAnsi"/>
          <w:color w:val="000000"/>
        </w:rPr>
        <w:t xml:space="preserve"> sur les </w:t>
      </w:r>
      <w:proofErr w:type="spellStart"/>
      <w:r w:rsidRPr="00007B7D">
        <w:rPr>
          <w:rFonts w:cstheme="minorHAnsi"/>
          <w:color w:val="000000"/>
        </w:rPr>
        <w:t>États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en</w:t>
      </w:r>
      <w:proofErr w:type="spellEnd"/>
      <w:r w:rsidRPr="00007B7D">
        <w:rPr>
          <w:rFonts w:cstheme="minorHAnsi"/>
          <w:color w:val="000000"/>
        </w:rPr>
        <w:t xml:space="preserve"> vertu des articles 3 et 8 de la Convention </w:t>
      </w:r>
      <w:proofErr w:type="spellStart"/>
      <w:r w:rsidRPr="00007B7D">
        <w:rPr>
          <w:rFonts w:cstheme="minorHAnsi"/>
          <w:color w:val="000000"/>
        </w:rPr>
        <w:t>comportent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l’obligation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d’adopter</w:t>
      </w:r>
      <w:proofErr w:type="spellEnd"/>
      <w:r w:rsidRPr="00007B7D">
        <w:rPr>
          <w:rFonts w:cstheme="minorHAnsi"/>
          <w:color w:val="000000"/>
        </w:rPr>
        <w:t xml:space="preserve"> des dispositions </w:t>
      </w:r>
      <w:proofErr w:type="spellStart"/>
      <w:r w:rsidRPr="00007B7D">
        <w:rPr>
          <w:rFonts w:cstheme="minorHAnsi"/>
          <w:color w:val="000000"/>
        </w:rPr>
        <w:t>pénales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incriminant</w:t>
      </w:r>
      <w:proofErr w:type="spellEnd"/>
      <w:r w:rsidRPr="00007B7D">
        <w:rPr>
          <w:rFonts w:cstheme="minorHAnsi"/>
          <w:color w:val="000000"/>
        </w:rPr>
        <w:t xml:space="preserve"> et </w:t>
      </w:r>
      <w:proofErr w:type="spellStart"/>
      <w:r w:rsidRPr="00007B7D">
        <w:rPr>
          <w:rFonts w:cstheme="minorHAnsi"/>
          <w:color w:val="000000"/>
        </w:rPr>
        <w:t>réprimant</w:t>
      </w:r>
      <w:proofErr w:type="spellEnd"/>
      <w:r w:rsidRPr="00007B7D">
        <w:rPr>
          <w:rFonts w:cstheme="minorHAnsi"/>
          <w:color w:val="000000"/>
        </w:rPr>
        <w:t xml:space="preserve"> de manière effective tout </w:t>
      </w:r>
      <w:proofErr w:type="spellStart"/>
      <w:r w:rsidRPr="00007B7D">
        <w:rPr>
          <w:rFonts w:cstheme="minorHAnsi"/>
          <w:color w:val="000000"/>
        </w:rPr>
        <w:t>acte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sexuel</w:t>
      </w:r>
      <w:proofErr w:type="spellEnd"/>
      <w:r w:rsidRPr="00007B7D">
        <w:rPr>
          <w:rFonts w:cstheme="minorHAnsi"/>
          <w:color w:val="000000"/>
        </w:rPr>
        <w:t xml:space="preserve"> non </w:t>
      </w:r>
      <w:proofErr w:type="spellStart"/>
      <w:r w:rsidRPr="00007B7D">
        <w:rPr>
          <w:rFonts w:cstheme="minorHAnsi"/>
          <w:color w:val="000000"/>
        </w:rPr>
        <w:t>consenti</w:t>
      </w:r>
      <w:proofErr w:type="spellEnd"/>
      <w:r w:rsidRPr="00007B7D">
        <w:rPr>
          <w:rFonts w:cstheme="minorHAnsi"/>
          <w:color w:val="000000"/>
        </w:rPr>
        <w:t xml:space="preserve"> (</w:t>
      </w:r>
      <w:r w:rsidRPr="00007B7D">
        <w:rPr>
          <w:i/>
          <w:iCs/>
        </w:rPr>
        <w:t>M.G.C. 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61495/11, § 59, 15 mars 2016</w:t>
      </w:r>
      <w:r w:rsidRPr="00007B7D">
        <w:rPr>
          <w:rFonts w:cstheme="minorHAnsi"/>
          <w:color w:val="000000"/>
        </w:rPr>
        <w:t xml:space="preserve">, </w:t>
      </w:r>
      <w:r w:rsidRPr="00007B7D">
        <w:rPr>
          <w:i/>
          <w:iCs/>
        </w:rPr>
        <w:t>Z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39257/17, § 67, 28 </w:t>
      </w:r>
      <w:proofErr w:type="spellStart"/>
      <w:r w:rsidRPr="00007B7D">
        <w:t>mai</w:t>
      </w:r>
      <w:proofErr w:type="spellEnd"/>
      <w:r w:rsidRPr="00007B7D">
        <w:t xml:space="preserve"> 2020</w:t>
      </w:r>
      <w:r w:rsidRPr="00007B7D">
        <w:rPr>
          <w:rFonts w:cstheme="minorHAnsi"/>
          <w:color w:val="000000"/>
        </w:rPr>
        <w:t xml:space="preserve">, et </w:t>
      </w:r>
      <w:r w:rsidRPr="00007B7D">
        <w:rPr>
          <w:rFonts w:cstheme="minorHAnsi"/>
          <w:i/>
          <w:iCs/>
          <w:color w:val="000000"/>
        </w:rPr>
        <w:t>J.L. c. Italie</w:t>
      </w:r>
      <w:r w:rsidRPr="00007B7D">
        <w:rPr>
          <w:rFonts w:cstheme="minorHAnsi"/>
          <w:color w:val="000000"/>
        </w:rPr>
        <w:t xml:space="preserve">, </w:t>
      </w:r>
      <w:proofErr w:type="spellStart"/>
      <w:r w:rsidRPr="00007B7D">
        <w:rPr>
          <w:rFonts w:cstheme="minorHAnsi"/>
          <w:color w:val="000000"/>
        </w:rPr>
        <w:t>précité</w:t>
      </w:r>
      <w:proofErr w:type="spellEnd"/>
      <w:r w:rsidRPr="00007B7D">
        <w:rPr>
          <w:rFonts w:cstheme="minorHAnsi"/>
          <w:color w:val="000000"/>
        </w:rPr>
        <w:t xml:space="preserve">, § 117), et </w:t>
      </w:r>
      <w:proofErr w:type="spellStart"/>
      <w:r w:rsidRPr="00007B7D">
        <w:rPr>
          <w:rFonts w:cstheme="minorHAnsi"/>
          <w:color w:val="000000"/>
        </w:rPr>
        <w:t>d’appliquer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ces</w:t>
      </w:r>
      <w:proofErr w:type="spellEnd"/>
      <w:r w:rsidRPr="00007B7D">
        <w:rPr>
          <w:rFonts w:cstheme="minorHAnsi"/>
          <w:color w:val="000000"/>
        </w:rPr>
        <w:t xml:space="preserve"> dispositions au travers </w:t>
      </w:r>
      <w:proofErr w:type="spellStart"/>
      <w:r w:rsidRPr="00007B7D">
        <w:rPr>
          <w:rFonts w:cstheme="minorHAnsi"/>
          <w:color w:val="000000"/>
        </w:rPr>
        <w:t>d’enquêtes</w:t>
      </w:r>
      <w:proofErr w:type="spellEnd"/>
      <w:r w:rsidRPr="00007B7D">
        <w:rPr>
          <w:rFonts w:cstheme="minorHAnsi"/>
          <w:color w:val="000000"/>
        </w:rPr>
        <w:t xml:space="preserve"> et de </w:t>
      </w:r>
      <w:proofErr w:type="spellStart"/>
      <w:r w:rsidRPr="00007B7D">
        <w:rPr>
          <w:rFonts w:cstheme="minorHAnsi"/>
          <w:color w:val="000000"/>
        </w:rPr>
        <w:t>poursuites</w:t>
      </w:r>
      <w:proofErr w:type="spellEnd"/>
      <w:r w:rsidRPr="00007B7D">
        <w:rPr>
          <w:rFonts w:cstheme="minorHAnsi"/>
          <w:color w:val="000000"/>
        </w:rPr>
        <w:t xml:space="preserve"> effectives (</w:t>
      </w:r>
      <w:r w:rsidRPr="00007B7D">
        <w:rPr>
          <w:i/>
          <w:iCs/>
        </w:rPr>
        <w:t>M.C.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§§ 153 et 166</w:t>
      </w:r>
      <w:r w:rsidRPr="00007B7D">
        <w:rPr>
          <w:rFonts w:cstheme="minorHAnsi"/>
          <w:color w:val="000000"/>
        </w:rPr>
        <w:t xml:space="preserve">, et </w:t>
      </w:r>
      <w:r w:rsidRPr="00007B7D">
        <w:rPr>
          <w:rFonts w:cstheme="minorHAnsi"/>
          <w:i/>
          <w:iCs/>
          <w:color w:val="000000"/>
        </w:rPr>
        <w:t>B.V. c. Belgique</w:t>
      </w:r>
      <w:r w:rsidRPr="00007B7D">
        <w:rPr>
          <w:rFonts w:cstheme="minorHAnsi"/>
          <w:color w:val="000000"/>
        </w:rPr>
        <w:t xml:space="preserve">, </w:t>
      </w:r>
      <w:r w:rsidRPr="00007B7D">
        <w:rPr>
          <w:rFonts w:cstheme="minorHAnsi"/>
          <w:color w:val="000000"/>
        </w:rPr>
        <w:lastRenderedPageBreak/>
        <w:t>n</w:t>
      </w:r>
      <w:r w:rsidRPr="00007B7D">
        <w:rPr>
          <w:rFonts w:cstheme="minorHAnsi"/>
          <w:color w:val="000000"/>
          <w:vertAlign w:val="superscript"/>
        </w:rPr>
        <w:t>o</w:t>
      </w:r>
      <w:r w:rsidRPr="00007B7D">
        <w:rPr>
          <w:rFonts w:cstheme="minorHAnsi"/>
          <w:color w:val="000000"/>
        </w:rPr>
        <w:t xml:space="preserve"> 61030/08, § 55, 2 </w:t>
      </w:r>
      <w:proofErr w:type="spellStart"/>
      <w:r w:rsidRPr="00007B7D">
        <w:rPr>
          <w:rFonts w:cstheme="minorHAnsi"/>
          <w:color w:val="000000"/>
        </w:rPr>
        <w:t>mai</w:t>
      </w:r>
      <w:proofErr w:type="spellEnd"/>
      <w:r w:rsidRPr="00007B7D">
        <w:rPr>
          <w:rFonts w:cstheme="minorHAnsi"/>
          <w:color w:val="000000"/>
        </w:rPr>
        <w:t xml:space="preserve"> 2017). </w:t>
      </w:r>
      <w:proofErr w:type="spellStart"/>
      <w:r w:rsidRPr="00007B7D">
        <w:rPr>
          <w:rFonts w:cstheme="minorHAnsi"/>
          <w:color w:val="000000"/>
        </w:rPr>
        <w:t>Ces</w:t>
      </w:r>
      <w:proofErr w:type="spellEnd"/>
      <w:r w:rsidRPr="00007B7D">
        <w:rPr>
          <w:rFonts w:cstheme="minorHAnsi"/>
          <w:color w:val="000000"/>
        </w:rPr>
        <w:t xml:space="preserve"> obligations positives </w:t>
      </w:r>
      <w:proofErr w:type="spellStart"/>
      <w:r w:rsidRPr="00007B7D">
        <w:rPr>
          <w:rFonts w:cstheme="minorHAnsi"/>
          <w:color w:val="000000"/>
        </w:rPr>
        <w:t>doivent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être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interprétées</w:t>
      </w:r>
      <w:proofErr w:type="spellEnd"/>
      <w:r w:rsidRPr="00007B7D">
        <w:rPr>
          <w:rFonts w:cstheme="minorHAnsi"/>
          <w:color w:val="000000"/>
        </w:rPr>
        <w:t xml:space="preserve"> à la lumière des instruments </w:t>
      </w:r>
      <w:proofErr w:type="spellStart"/>
      <w:r w:rsidRPr="00007B7D">
        <w:rPr>
          <w:rFonts w:cstheme="minorHAnsi"/>
          <w:color w:val="000000"/>
        </w:rPr>
        <w:t>internationaux</w:t>
      </w:r>
      <w:proofErr w:type="spellEnd"/>
      <w:r w:rsidRPr="00007B7D">
        <w:rPr>
          <w:rFonts w:cstheme="minorHAnsi"/>
          <w:color w:val="000000"/>
        </w:rPr>
        <w:t xml:space="preserve"> </w:t>
      </w:r>
      <w:proofErr w:type="spellStart"/>
      <w:r w:rsidRPr="00007B7D">
        <w:rPr>
          <w:rFonts w:cstheme="minorHAnsi"/>
          <w:color w:val="000000"/>
        </w:rPr>
        <w:t>pertinents</w:t>
      </w:r>
      <w:proofErr w:type="spellEnd"/>
      <w:r w:rsidRPr="00007B7D">
        <w:rPr>
          <w:rFonts w:cstheme="minorHAnsi"/>
          <w:color w:val="000000"/>
        </w:rPr>
        <w:t xml:space="preserve"> et </w:t>
      </w:r>
      <w:proofErr w:type="spellStart"/>
      <w:r w:rsidRPr="00007B7D">
        <w:rPr>
          <w:rFonts w:cstheme="minorHAnsi"/>
          <w:color w:val="000000"/>
        </w:rPr>
        <w:t>en</w:t>
      </w:r>
      <w:proofErr w:type="spellEnd"/>
      <w:r w:rsidRPr="00007B7D">
        <w:rPr>
          <w:rFonts w:cstheme="minorHAnsi"/>
          <w:color w:val="000000"/>
        </w:rPr>
        <w:t xml:space="preserve"> particulier de la Convention </w:t>
      </w:r>
      <w:proofErr w:type="spellStart"/>
      <w:r w:rsidRPr="00007B7D">
        <w:rPr>
          <w:rFonts w:cstheme="minorHAnsi"/>
          <w:color w:val="000000"/>
        </w:rPr>
        <w:t>d’Istanbul</w:t>
      </w:r>
      <w:proofErr w:type="spellEnd"/>
      <w:r w:rsidRPr="00007B7D">
        <w:rPr>
          <w:rFonts w:cstheme="minorHAnsi"/>
          <w:color w:val="000000"/>
        </w:rPr>
        <w:t xml:space="preserve">, qui </w:t>
      </w:r>
      <w:proofErr w:type="spellStart"/>
      <w:r w:rsidRPr="00007B7D">
        <w:rPr>
          <w:rFonts w:cstheme="minorHAnsi"/>
          <w:color w:val="000000"/>
        </w:rPr>
        <w:t>fournit</w:t>
      </w:r>
      <w:proofErr w:type="spellEnd"/>
      <w:r w:rsidRPr="00007B7D">
        <w:rPr>
          <w:rFonts w:cstheme="minorHAnsi"/>
          <w:color w:val="000000"/>
        </w:rPr>
        <w:t xml:space="preserve"> un cadre global pour </w:t>
      </w:r>
      <w:proofErr w:type="spellStart"/>
      <w:r w:rsidRPr="00007B7D">
        <w:rPr>
          <w:rFonts w:cstheme="minorHAnsi"/>
          <w:color w:val="000000"/>
        </w:rPr>
        <w:t>prévenir</w:t>
      </w:r>
      <w:proofErr w:type="spellEnd"/>
      <w:r w:rsidRPr="00007B7D">
        <w:rPr>
          <w:rFonts w:cstheme="minorHAnsi"/>
          <w:color w:val="000000"/>
        </w:rPr>
        <w:t xml:space="preserve">, </w:t>
      </w:r>
      <w:proofErr w:type="spellStart"/>
      <w:r w:rsidRPr="00007B7D">
        <w:rPr>
          <w:rFonts w:cstheme="minorHAnsi"/>
          <w:color w:val="000000"/>
        </w:rPr>
        <w:t>poursuivre</w:t>
      </w:r>
      <w:proofErr w:type="spellEnd"/>
      <w:r w:rsidRPr="00007B7D">
        <w:rPr>
          <w:rFonts w:cstheme="minorHAnsi"/>
          <w:color w:val="000000"/>
        </w:rPr>
        <w:t xml:space="preserve"> et </w:t>
      </w:r>
      <w:proofErr w:type="spellStart"/>
      <w:r w:rsidRPr="00007B7D">
        <w:rPr>
          <w:rFonts w:cstheme="minorHAnsi"/>
          <w:color w:val="000000"/>
        </w:rPr>
        <w:t>éliminer</w:t>
      </w:r>
      <w:proofErr w:type="spellEnd"/>
      <w:r w:rsidRPr="00007B7D">
        <w:rPr>
          <w:rFonts w:cstheme="minorHAnsi"/>
          <w:color w:val="000000"/>
        </w:rPr>
        <w:t xml:space="preserve"> la violence à </w:t>
      </w:r>
      <w:proofErr w:type="spellStart"/>
      <w:r w:rsidRPr="00007B7D">
        <w:rPr>
          <w:rFonts w:cstheme="minorHAnsi"/>
          <w:color w:val="000000"/>
        </w:rPr>
        <w:t>l’égard</w:t>
      </w:r>
      <w:proofErr w:type="spellEnd"/>
      <w:r w:rsidRPr="00007B7D">
        <w:rPr>
          <w:rFonts w:cstheme="minorHAnsi"/>
          <w:color w:val="000000"/>
        </w:rPr>
        <w:t xml:space="preserve"> des femmes et </w:t>
      </w:r>
      <w:proofErr w:type="spellStart"/>
      <w:r w:rsidRPr="00007B7D">
        <w:rPr>
          <w:rFonts w:cstheme="minorHAnsi"/>
          <w:color w:val="000000"/>
        </w:rPr>
        <w:t>protéger</w:t>
      </w:r>
      <w:proofErr w:type="spellEnd"/>
      <w:r w:rsidRPr="00007B7D">
        <w:rPr>
          <w:rFonts w:cstheme="minorHAnsi"/>
          <w:color w:val="000000"/>
        </w:rPr>
        <w:t xml:space="preserve"> les </w:t>
      </w:r>
      <w:proofErr w:type="spellStart"/>
      <w:r w:rsidRPr="00007B7D">
        <w:rPr>
          <w:rFonts w:cstheme="minorHAnsi"/>
          <w:color w:val="000000"/>
        </w:rPr>
        <w:t>victimes</w:t>
      </w:r>
      <w:proofErr w:type="spellEnd"/>
      <w:r w:rsidRPr="00007B7D">
        <w:rPr>
          <w:rFonts w:cstheme="minorHAnsi"/>
          <w:color w:val="000000"/>
        </w:rPr>
        <w:t xml:space="preserve"> (</w:t>
      </w:r>
      <w:r w:rsidRPr="00007B7D">
        <w:rPr>
          <w:rFonts w:cstheme="minorHAnsi"/>
          <w:i/>
          <w:iCs/>
          <w:color w:val="000000"/>
        </w:rPr>
        <w:t>J.L. c. Italie</w:t>
      </w:r>
      <w:r w:rsidRPr="00007B7D">
        <w:rPr>
          <w:rFonts w:cstheme="minorHAnsi"/>
          <w:color w:val="000000"/>
        </w:rPr>
        <w:t xml:space="preserve">, </w:t>
      </w:r>
      <w:proofErr w:type="spellStart"/>
      <w:r w:rsidRPr="00007B7D">
        <w:rPr>
          <w:rFonts w:cstheme="minorHAnsi"/>
          <w:color w:val="000000"/>
        </w:rPr>
        <w:t>précité</w:t>
      </w:r>
      <w:proofErr w:type="spellEnd"/>
      <w:r w:rsidRPr="00007B7D">
        <w:rPr>
          <w:rFonts w:cstheme="minorHAnsi"/>
          <w:color w:val="000000"/>
        </w:rPr>
        <w:t xml:space="preserve">, § 120, et </w:t>
      </w:r>
      <w:proofErr w:type="spellStart"/>
      <w:r w:rsidRPr="00007B7D">
        <w:rPr>
          <w:i/>
          <w:iCs/>
        </w:rPr>
        <w:t>Vučković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Croatie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15798/20, § 57, 12 </w:t>
      </w:r>
      <w:proofErr w:type="spellStart"/>
      <w:r w:rsidRPr="00007B7D">
        <w:t>décembre</w:t>
      </w:r>
      <w:proofErr w:type="spellEnd"/>
      <w:r w:rsidRPr="00007B7D">
        <w:t xml:space="preserve"> 2023</w:t>
      </w:r>
      <w:r w:rsidRPr="00007B7D">
        <w:rPr>
          <w:rFonts w:cstheme="minorHAnsi"/>
          <w:color w:val="000000"/>
        </w:rPr>
        <w:t>).</w:t>
      </w:r>
    </w:p>
    <w:p w14:paraId="6BB2F16E" w14:textId="77777777" w:rsidR="005D5C86" w:rsidRPr="00007B7D" w:rsidRDefault="005D5C86" w:rsidP="005D5C86">
      <w:pPr>
        <w:pStyle w:val="ECHRHeading5"/>
        <w:numPr>
          <w:ilvl w:val="0"/>
          <w:numId w:val="21"/>
        </w:numPr>
        <w:ind w:left="1190" w:hanging="357"/>
      </w:pPr>
      <w:proofErr w:type="spellStart"/>
      <w:r w:rsidRPr="00007B7D">
        <w:t>L’obligation</w:t>
      </w:r>
      <w:proofErr w:type="spellEnd"/>
      <w:r w:rsidRPr="00007B7D">
        <w:t xml:space="preserve"> </w:t>
      </w:r>
      <w:proofErr w:type="spellStart"/>
      <w:r w:rsidRPr="00007B7D">
        <w:t>d’instaurer</w:t>
      </w:r>
      <w:proofErr w:type="spellEnd"/>
      <w:r w:rsidRPr="00007B7D">
        <w:t xml:space="preserve"> un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garantissant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protection </w:t>
      </w:r>
      <w:proofErr w:type="spellStart"/>
      <w:r w:rsidRPr="00007B7D">
        <w:t>adéquate</w:t>
      </w:r>
      <w:proofErr w:type="spellEnd"/>
      <w:r w:rsidRPr="00007B7D">
        <w:t xml:space="preserve"> </w:t>
      </w:r>
      <w:proofErr w:type="spellStart"/>
      <w:r w:rsidRPr="00007B7D">
        <w:t>contre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</w:p>
    <w:p w14:paraId="4AE50A70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133</w:t>
      </w:r>
      <w:r w:rsidRPr="00007B7D">
        <w:rPr>
          <w:noProof/>
        </w:rPr>
        <w:fldChar w:fldCharType="end"/>
      </w:r>
      <w:r w:rsidRPr="00007B7D">
        <w:t xml:space="preserve">.  Les obligations positives </w:t>
      </w:r>
      <w:proofErr w:type="spellStart"/>
      <w:r w:rsidRPr="00007B7D">
        <w:t>inhérentes</w:t>
      </w:r>
      <w:proofErr w:type="spellEnd"/>
      <w:r w:rsidRPr="00007B7D">
        <w:t xml:space="preserve"> aux articles 3 et 8 </w:t>
      </w:r>
      <w:proofErr w:type="spellStart"/>
      <w:r w:rsidRPr="00007B7D">
        <w:t>commandent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premier lieu </w:t>
      </w:r>
      <w:proofErr w:type="spellStart"/>
      <w:r w:rsidRPr="00007B7D">
        <w:t>l’instauration</w:t>
      </w:r>
      <w:proofErr w:type="spellEnd"/>
      <w:r w:rsidRPr="00007B7D">
        <w:t xml:space="preserve"> d’un cadre </w:t>
      </w:r>
      <w:proofErr w:type="spellStart"/>
      <w:r w:rsidRPr="00007B7D">
        <w:t>législatif</w:t>
      </w:r>
      <w:proofErr w:type="spellEnd"/>
      <w:r w:rsidRPr="00007B7D">
        <w:t xml:space="preserve"> et </w:t>
      </w:r>
      <w:proofErr w:type="spellStart"/>
      <w:r w:rsidRPr="00007B7D">
        <w:t>réglementaire</w:t>
      </w:r>
      <w:proofErr w:type="spellEnd"/>
      <w:r w:rsidRPr="00007B7D">
        <w:t xml:space="preserve"> </w:t>
      </w:r>
      <w:proofErr w:type="spellStart"/>
      <w:r w:rsidRPr="00007B7D">
        <w:t>permettant</w:t>
      </w:r>
      <w:proofErr w:type="spellEnd"/>
      <w:r w:rsidRPr="00007B7D">
        <w:t xml:space="preserve"> de </w:t>
      </w:r>
      <w:proofErr w:type="spellStart"/>
      <w:r w:rsidRPr="00007B7D">
        <w:t>protéger</w:t>
      </w:r>
      <w:proofErr w:type="spellEnd"/>
      <w:r w:rsidRPr="00007B7D">
        <w:t xml:space="preserve"> </w:t>
      </w:r>
      <w:proofErr w:type="spellStart"/>
      <w:r w:rsidRPr="00007B7D">
        <w:t>adéquatement</w:t>
      </w:r>
      <w:proofErr w:type="spellEnd"/>
      <w:r w:rsidRPr="00007B7D">
        <w:t xml:space="preserve"> les </w:t>
      </w:r>
      <w:proofErr w:type="spellStart"/>
      <w:r w:rsidRPr="00007B7D">
        <w:t>individus</w:t>
      </w:r>
      <w:proofErr w:type="spellEnd"/>
      <w:r w:rsidRPr="00007B7D">
        <w:t xml:space="preserve"> </w:t>
      </w:r>
      <w:proofErr w:type="spellStart"/>
      <w:r w:rsidRPr="00007B7D">
        <w:t>contre</w:t>
      </w:r>
      <w:proofErr w:type="spellEnd"/>
      <w:r w:rsidRPr="00007B7D">
        <w:t xml:space="preserve"> les </w:t>
      </w:r>
      <w:proofErr w:type="spellStart"/>
      <w:r w:rsidRPr="00007B7D">
        <w:t>atteintes</w:t>
      </w:r>
      <w:proofErr w:type="spellEnd"/>
      <w:r w:rsidRPr="00007B7D">
        <w:t xml:space="preserve"> à </w:t>
      </w:r>
      <w:proofErr w:type="spellStart"/>
      <w:r w:rsidRPr="00007B7D">
        <w:t>leur</w:t>
      </w:r>
      <w:proofErr w:type="spellEnd"/>
      <w:r w:rsidRPr="00007B7D">
        <w:t xml:space="preserve"> </w:t>
      </w:r>
      <w:proofErr w:type="spellStart"/>
      <w:r w:rsidRPr="00007B7D">
        <w:t>intégrité</w:t>
      </w:r>
      <w:proofErr w:type="spellEnd"/>
      <w:r w:rsidRPr="00007B7D">
        <w:t xml:space="preserve"> physique et morale, </w:t>
      </w:r>
      <w:proofErr w:type="spellStart"/>
      <w:r w:rsidRPr="00007B7D">
        <w:t>notamment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aussi</w:t>
      </w:r>
      <w:proofErr w:type="spellEnd"/>
      <w:r w:rsidRPr="00007B7D">
        <w:t xml:space="preserve"> graves que le viol (</w:t>
      </w:r>
      <w:r w:rsidRPr="00007B7D">
        <w:rPr>
          <w:i/>
          <w:iCs/>
        </w:rPr>
        <w:t>M.C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150).</w:t>
      </w:r>
    </w:p>
    <w:p w14:paraId="4FCE3FBB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134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S’agissant</w:t>
      </w:r>
      <w:proofErr w:type="spellEnd"/>
      <w:r w:rsidRPr="00007B7D">
        <w:t xml:space="preserve"> de </w:t>
      </w:r>
      <w:proofErr w:type="spellStart"/>
      <w:r w:rsidRPr="00007B7D">
        <w:t>cette</w:t>
      </w:r>
      <w:proofErr w:type="spellEnd"/>
      <w:r w:rsidRPr="00007B7D">
        <w:t xml:space="preserve"> obligation </w:t>
      </w:r>
      <w:proofErr w:type="spellStart"/>
      <w:r w:rsidRPr="00007B7D">
        <w:t>matérielle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juge</w:t>
      </w:r>
      <w:proofErr w:type="spellEnd"/>
      <w:r w:rsidRPr="00007B7D">
        <w:t xml:space="preserve"> que les </w:t>
      </w:r>
      <w:proofErr w:type="spellStart"/>
      <w:r w:rsidRPr="00007B7D">
        <w:t>États</w:t>
      </w:r>
      <w:proofErr w:type="spellEnd"/>
      <w:r w:rsidRPr="00007B7D">
        <w:t xml:space="preserve"> </w:t>
      </w:r>
      <w:proofErr w:type="spellStart"/>
      <w:r w:rsidRPr="00007B7D">
        <w:t>contractants</w:t>
      </w:r>
      <w:proofErr w:type="spellEnd"/>
      <w:r w:rsidRPr="00007B7D">
        <w:t xml:space="preserve"> </w:t>
      </w:r>
      <w:proofErr w:type="spellStart"/>
      <w:r w:rsidRPr="00007B7D">
        <w:t>jouissent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large marge </w:t>
      </w:r>
      <w:proofErr w:type="spellStart"/>
      <w:r w:rsidRPr="00007B7D">
        <w:t>d’appréciation</w:t>
      </w:r>
      <w:proofErr w:type="spellEnd"/>
      <w:r w:rsidRPr="00007B7D">
        <w:t xml:space="preserve"> dans le </w:t>
      </w:r>
      <w:proofErr w:type="spellStart"/>
      <w:r w:rsidRPr="00007B7D">
        <w:t>choix</w:t>
      </w:r>
      <w:proofErr w:type="spellEnd"/>
      <w:r w:rsidRPr="00007B7D">
        <w:t xml:space="preserve"> des </w:t>
      </w:r>
      <w:proofErr w:type="spellStart"/>
      <w:r w:rsidRPr="00007B7D">
        <w:t>moyens</w:t>
      </w:r>
      <w:proofErr w:type="spellEnd"/>
      <w:r w:rsidRPr="00007B7D">
        <w:t xml:space="preserve"> </w:t>
      </w:r>
      <w:proofErr w:type="spellStart"/>
      <w:r w:rsidRPr="00007B7D">
        <w:t>propres</w:t>
      </w:r>
      <w:proofErr w:type="spellEnd"/>
      <w:r w:rsidRPr="00007B7D">
        <w:t xml:space="preserve"> à </w:t>
      </w:r>
      <w:proofErr w:type="spellStart"/>
      <w:r w:rsidRPr="00007B7D">
        <w:t>garantir</w:t>
      </w:r>
      <w:proofErr w:type="spellEnd"/>
      <w:r w:rsidRPr="00007B7D">
        <w:t xml:space="preserve"> </w:t>
      </w:r>
      <w:proofErr w:type="spellStart"/>
      <w:r w:rsidRPr="00007B7D">
        <w:t>cette</w:t>
      </w:r>
      <w:proofErr w:type="spellEnd"/>
      <w:r w:rsidRPr="00007B7D">
        <w:t xml:space="preserve"> protection (</w:t>
      </w:r>
      <w:r w:rsidRPr="00007B7D">
        <w:rPr>
          <w:i/>
          <w:iCs/>
        </w:rPr>
        <w:t>ibidem</w:t>
      </w:r>
      <w:r w:rsidRPr="00007B7D">
        <w:t xml:space="preserve">, § 154). Celle-ci </w:t>
      </w:r>
      <w:proofErr w:type="spellStart"/>
      <w:r w:rsidRPr="00007B7D">
        <w:t>n’est</w:t>
      </w:r>
      <w:proofErr w:type="spellEnd"/>
      <w:r w:rsidRPr="00007B7D">
        <w:t xml:space="preserve"> </w:t>
      </w:r>
      <w:proofErr w:type="spellStart"/>
      <w:r w:rsidRPr="00007B7D">
        <w:t>toutefois</w:t>
      </w:r>
      <w:proofErr w:type="spellEnd"/>
      <w:r w:rsidRPr="00007B7D">
        <w:t xml:space="preserve"> pas sans </w:t>
      </w:r>
      <w:proofErr w:type="spellStart"/>
      <w:r w:rsidRPr="00007B7D">
        <w:t>limites</w:t>
      </w:r>
      <w:proofErr w:type="spellEnd"/>
      <w:r w:rsidRPr="00007B7D">
        <w:t xml:space="preserve">. Une dissuasion effective </w:t>
      </w:r>
      <w:proofErr w:type="spellStart"/>
      <w:r w:rsidRPr="00007B7D">
        <w:t>contre</w:t>
      </w:r>
      <w:proofErr w:type="spellEnd"/>
      <w:r w:rsidRPr="00007B7D">
        <w:t xml:space="preserve"> un </w:t>
      </w:r>
      <w:proofErr w:type="spellStart"/>
      <w:r w:rsidRPr="00007B7D">
        <w:t>acte</w:t>
      </w:r>
      <w:proofErr w:type="spellEnd"/>
      <w:r w:rsidRPr="00007B7D">
        <w:t xml:space="preserve"> </w:t>
      </w:r>
      <w:proofErr w:type="spellStart"/>
      <w:r w:rsidRPr="00007B7D">
        <w:t>aussi</w:t>
      </w:r>
      <w:proofErr w:type="spellEnd"/>
      <w:r w:rsidRPr="00007B7D">
        <w:t xml:space="preserve"> grave que le viol, qui met </w:t>
      </w:r>
      <w:proofErr w:type="spellStart"/>
      <w:r w:rsidRPr="00007B7D">
        <w:t>en</w:t>
      </w:r>
      <w:proofErr w:type="spellEnd"/>
      <w:r w:rsidRPr="00007B7D">
        <w:t xml:space="preserve"> jeu des </w:t>
      </w:r>
      <w:proofErr w:type="spellStart"/>
      <w:r w:rsidRPr="00007B7D">
        <w:t>valeurs</w:t>
      </w:r>
      <w:proofErr w:type="spellEnd"/>
      <w:r w:rsidRPr="00007B7D">
        <w:t xml:space="preserve"> </w:t>
      </w:r>
      <w:proofErr w:type="spellStart"/>
      <w:r w:rsidRPr="00007B7D">
        <w:t>fondamentales</w:t>
      </w:r>
      <w:proofErr w:type="spellEnd"/>
      <w:r w:rsidRPr="00007B7D">
        <w:t xml:space="preserve"> et des aspects </w:t>
      </w:r>
      <w:proofErr w:type="spellStart"/>
      <w:r w:rsidRPr="00007B7D">
        <w:t>essentiels</w:t>
      </w:r>
      <w:proofErr w:type="spellEnd"/>
      <w:r w:rsidRPr="00007B7D">
        <w:t xml:space="preserve"> de la vie </w:t>
      </w:r>
      <w:proofErr w:type="spellStart"/>
      <w:r w:rsidRPr="00007B7D">
        <w:t>privée</w:t>
      </w:r>
      <w:proofErr w:type="spellEnd"/>
      <w:r w:rsidRPr="00007B7D">
        <w:t xml:space="preserve">, </w:t>
      </w:r>
      <w:proofErr w:type="spellStart"/>
      <w:r w:rsidRPr="00007B7D">
        <w:t>appelle</w:t>
      </w:r>
      <w:proofErr w:type="spellEnd"/>
      <w:r w:rsidRPr="00007B7D">
        <w:t xml:space="preserve"> des dispositions </w:t>
      </w:r>
      <w:proofErr w:type="spellStart"/>
      <w:r w:rsidRPr="00007B7D">
        <w:t>pénales</w:t>
      </w:r>
      <w:proofErr w:type="spellEnd"/>
      <w:r w:rsidRPr="00007B7D">
        <w:t xml:space="preserve"> </w:t>
      </w:r>
      <w:proofErr w:type="spellStart"/>
      <w:r w:rsidRPr="00007B7D">
        <w:t>efficaces</w:t>
      </w:r>
      <w:proofErr w:type="spellEnd"/>
      <w:r w:rsidRPr="00007B7D">
        <w:t xml:space="preserve"> (</w:t>
      </w:r>
      <w:r w:rsidRPr="00007B7D">
        <w:rPr>
          <w:i/>
          <w:iCs/>
        </w:rPr>
        <w:t>ibidem</w:t>
      </w:r>
      <w:r w:rsidRPr="00007B7D">
        <w:t xml:space="preserve">, §§ 150 et 185). </w:t>
      </w:r>
      <w:proofErr w:type="spellStart"/>
      <w:r w:rsidRPr="00007B7D">
        <w:t>Compte</w:t>
      </w:r>
      <w:proofErr w:type="spellEnd"/>
      <w:r w:rsidRPr="00007B7D">
        <w:t xml:space="preserve"> </w:t>
      </w:r>
      <w:proofErr w:type="spellStart"/>
      <w:r w:rsidRPr="00007B7D">
        <w:t>tenu</w:t>
      </w:r>
      <w:proofErr w:type="spellEnd"/>
      <w:r w:rsidRPr="00007B7D">
        <w:t xml:space="preserve"> du consensus </w:t>
      </w:r>
      <w:proofErr w:type="spellStart"/>
      <w:r w:rsidRPr="00007B7D">
        <w:t>existant</w:t>
      </w:r>
      <w:proofErr w:type="spellEnd"/>
      <w:r w:rsidRPr="00007B7D">
        <w:t xml:space="preserve"> entre les </w:t>
      </w:r>
      <w:proofErr w:type="spellStart"/>
      <w:r w:rsidRPr="00007B7D">
        <w:t>États</w:t>
      </w:r>
      <w:proofErr w:type="spellEnd"/>
      <w:r w:rsidRPr="00007B7D">
        <w:t xml:space="preserve"> </w:t>
      </w:r>
      <w:proofErr w:type="spellStart"/>
      <w:r w:rsidRPr="00007B7D">
        <w:t>contractants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proscrit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approche</w:t>
      </w:r>
      <w:proofErr w:type="spellEnd"/>
      <w:r w:rsidRPr="00007B7D">
        <w:t xml:space="preserve"> </w:t>
      </w:r>
      <w:proofErr w:type="spellStart"/>
      <w:r w:rsidRPr="00007B7D">
        <w:t>rigide</w:t>
      </w:r>
      <w:proofErr w:type="spellEnd"/>
      <w:r w:rsidRPr="00007B7D">
        <w:t xml:space="preserve"> de la </w:t>
      </w:r>
      <w:proofErr w:type="spellStart"/>
      <w:r w:rsidRPr="00007B7D">
        <w:t>répression</w:t>
      </w:r>
      <w:proofErr w:type="spellEnd"/>
      <w:r w:rsidRPr="00007B7D">
        <w:t xml:space="preserve"> des infractions à </w:t>
      </w:r>
      <w:proofErr w:type="spellStart"/>
      <w:r w:rsidRPr="00007B7D">
        <w:t>caractère</w:t>
      </w:r>
      <w:proofErr w:type="spellEnd"/>
      <w:r w:rsidRPr="00007B7D">
        <w:t xml:space="preserve"> </w:t>
      </w:r>
      <w:proofErr w:type="spellStart"/>
      <w:r w:rsidRPr="00007B7D">
        <w:t>sexuel</w:t>
      </w:r>
      <w:proofErr w:type="spellEnd"/>
      <w:r w:rsidRPr="00007B7D">
        <w:t xml:space="preserve"> et </w:t>
      </w:r>
      <w:proofErr w:type="spellStart"/>
      <w:r w:rsidRPr="00007B7D">
        <w:t>considère</w:t>
      </w:r>
      <w:proofErr w:type="spellEnd"/>
      <w:r w:rsidRPr="00007B7D">
        <w:t xml:space="preserve"> que tout </w:t>
      </w:r>
      <w:proofErr w:type="spellStart"/>
      <w:r w:rsidRPr="00007B7D">
        <w:t>acte</w:t>
      </w:r>
      <w:proofErr w:type="spellEnd"/>
      <w:r w:rsidRPr="00007B7D">
        <w:t xml:space="preserve"> </w:t>
      </w:r>
      <w:proofErr w:type="spellStart"/>
      <w:r w:rsidRPr="00007B7D">
        <w:t>sexuel</w:t>
      </w:r>
      <w:proofErr w:type="spellEnd"/>
      <w:r w:rsidRPr="00007B7D">
        <w:t xml:space="preserve"> non </w:t>
      </w:r>
      <w:proofErr w:type="spellStart"/>
      <w:r w:rsidRPr="00007B7D">
        <w:t>consenti</w:t>
      </w:r>
      <w:proofErr w:type="spellEnd"/>
      <w:r w:rsidRPr="00007B7D">
        <w:t xml:space="preserve"> doit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incriminé</w:t>
      </w:r>
      <w:proofErr w:type="spellEnd"/>
      <w:r w:rsidRPr="00007B7D">
        <w:t xml:space="preserve"> et </w:t>
      </w:r>
      <w:proofErr w:type="spellStart"/>
      <w:r w:rsidRPr="00007B7D">
        <w:t>réprimé</w:t>
      </w:r>
      <w:proofErr w:type="spellEnd"/>
      <w:r w:rsidRPr="00007B7D">
        <w:t xml:space="preserve"> de </w:t>
      </w:r>
      <w:proofErr w:type="spellStart"/>
      <w:r w:rsidRPr="00007B7D">
        <w:t>façon</w:t>
      </w:r>
      <w:proofErr w:type="spellEnd"/>
      <w:r w:rsidRPr="00007B7D">
        <w:t xml:space="preserve"> effective, y </w:t>
      </w:r>
      <w:proofErr w:type="spellStart"/>
      <w:r w:rsidRPr="00007B7D">
        <w:t>compris</w:t>
      </w:r>
      <w:proofErr w:type="spellEnd"/>
      <w:r w:rsidRPr="00007B7D">
        <w:t xml:space="preserve"> </w:t>
      </w:r>
      <w:proofErr w:type="spellStart"/>
      <w:r w:rsidRPr="00007B7D">
        <w:t>lorsque</w:t>
      </w:r>
      <w:proofErr w:type="spellEnd"/>
      <w:r w:rsidRPr="00007B7D">
        <w:t xml:space="preserve"> la </w:t>
      </w:r>
      <w:proofErr w:type="spellStart"/>
      <w:r w:rsidRPr="00007B7D">
        <w:t>victime</w:t>
      </w:r>
      <w:proofErr w:type="spellEnd"/>
      <w:r w:rsidRPr="00007B7D">
        <w:t xml:space="preserve"> </w:t>
      </w:r>
      <w:proofErr w:type="spellStart"/>
      <w:r w:rsidRPr="00007B7D">
        <w:t>n’a</w:t>
      </w:r>
      <w:proofErr w:type="spellEnd"/>
      <w:r w:rsidRPr="00007B7D">
        <w:t xml:space="preserve"> pas </w:t>
      </w:r>
      <w:proofErr w:type="spellStart"/>
      <w:r w:rsidRPr="00007B7D">
        <w:t>opposé</w:t>
      </w:r>
      <w:proofErr w:type="spellEnd"/>
      <w:r w:rsidRPr="00007B7D">
        <w:t xml:space="preserve"> de </w:t>
      </w:r>
      <w:proofErr w:type="spellStart"/>
      <w:r w:rsidRPr="00007B7D">
        <w:t>résistance</w:t>
      </w:r>
      <w:proofErr w:type="spellEnd"/>
      <w:r w:rsidRPr="00007B7D">
        <w:t xml:space="preserve"> physique (</w:t>
      </w:r>
      <w:r w:rsidRPr="00007B7D">
        <w:rPr>
          <w:i/>
          <w:iCs/>
        </w:rPr>
        <w:t>ibidem</w:t>
      </w:r>
      <w:r w:rsidRPr="00007B7D">
        <w:t xml:space="preserve">, §§ 155-166). </w:t>
      </w:r>
      <w:proofErr w:type="spellStart"/>
      <w:r w:rsidRPr="00007B7D">
        <w:t>Cette</w:t>
      </w:r>
      <w:proofErr w:type="spellEnd"/>
      <w:r w:rsidRPr="00007B7D">
        <w:t xml:space="preserve"> jurisprudence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constante</w:t>
      </w:r>
      <w:proofErr w:type="spellEnd"/>
      <w:r w:rsidRPr="00007B7D">
        <w:t xml:space="preserve"> (</w:t>
      </w:r>
      <w:proofErr w:type="spellStart"/>
      <w:r w:rsidRPr="00007B7D">
        <w:t>voir</w:t>
      </w:r>
      <w:proofErr w:type="spellEnd"/>
      <w:r w:rsidRPr="00007B7D">
        <w:t xml:space="preserve">, </w:t>
      </w:r>
      <w:proofErr w:type="spellStart"/>
      <w:r w:rsidRPr="00007B7D">
        <w:t>parmi</w:t>
      </w:r>
      <w:proofErr w:type="spellEnd"/>
      <w:r w:rsidRPr="00007B7D">
        <w:t xml:space="preserve"> </w:t>
      </w:r>
      <w:proofErr w:type="spellStart"/>
      <w:r w:rsidRPr="00007B7D">
        <w:t>d’autres</w:t>
      </w:r>
      <w:proofErr w:type="spellEnd"/>
      <w:r w:rsidRPr="00007B7D">
        <w:t xml:space="preserve">, </w:t>
      </w:r>
      <w:bookmarkStart w:id="2" w:name="_cl10825"/>
      <w:bookmarkStart w:id="3" w:name="_cl44035"/>
      <w:r w:rsidRPr="00007B7D">
        <w:rPr>
          <w:i/>
          <w:iCs/>
        </w:rPr>
        <w:t>M.G.C. c. </w:t>
      </w:r>
      <w:proofErr w:type="spellStart"/>
      <w:r w:rsidRPr="00007B7D">
        <w:rPr>
          <w:i/>
          <w:iCs/>
        </w:rPr>
        <w:t>Roumanie</w:t>
      </w:r>
      <w:bookmarkEnd w:id="2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61495/11, § 59, 15 mars 2016, </w:t>
      </w:r>
      <w:r w:rsidRPr="00007B7D">
        <w:rPr>
          <w:i/>
          <w:iCs/>
        </w:rPr>
        <w:t>J.L. c. Italie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118, </w:t>
      </w:r>
      <w:r w:rsidRPr="00007B7D">
        <w:rPr>
          <w:i/>
          <w:iCs/>
        </w:rPr>
        <w:t>X c. </w:t>
      </w:r>
      <w:proofErr w:type="spellStart"/>
      <w:r w:rsidRPr="00007B7D">
        <w:rPr>
          <w:i/>
          <w:iCs/>
        </w:rPr>
        <w:t>Grèce</w:t>
      </w:r>
      <w:bookmarkEnd w:id="3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38588/21, § 68, 13 </w:t>
      </w:r>
      <w:proofErr w:type="spellStart"/>
      <w:r w:rsidRPr="00007B7D">
        <w:t>février</w:t>
      </w:r>
      <w:proofErr w:type="spellEnd"/>
      <w:r w:rsidRPr="00007B7D">
        <w:t xml:space="preserve"> 2024,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52, et </w:t>
      </w:r>
      <w:bookmarkStart w:id="4" w:name="_cl44422"/>
      <w:r w:rsidRPr="00007B7D">
        <w:rPr>
          <w:i/>
          <w:iCs/>
        </w:rPr>
        <w:t>Daugaard Sorensen c. </w:t>
      </w:r>
      <w:proofErr w:type="spellStart"/>
      <w:r w:rsidRPr="00007B7D">
        <w:rPr>
          <w:i/>
          <w:iCs/>
        </w:rPr>
        <w:t>Danemark</w:t>
      </w:r>
      <w:bookmarkEnd w:id="4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25650/22, § 51, 15 </w:t>
      </w:r>
      <w:proofErr w:type="spellStart"/>
      <w:r w:rsidRPr="00007B7D">
        <w:t>octobre</w:t>
      </w:r>
      <w:proofErr w:type="spellEnd"/>
      <w:r w:rsidRPr="00007B7D">
        <w:t xml:space="preserve"> 2024).</w:t>
      </w:r>
    </w:p>
    <w:p w14:paraId="366FC8FE" w14:textId="77777777" w:rsidR="005D5C86" w:rsidRPr="00007B7D" w:rsidRDefault="005D5C86" w:rsidP="005D5C86">
      <w:pPr>
        <w:pStyle w:val="ECHRHeading5"/>
        <w:numPr>
          <w:ilvl w:val="0"/>
          <w:numId w:val="21"/>
        </w:numPr>
        <w:ind w:left="1190" w:hanging="357"/>
      </w:pPr>
      <w:proofErr w:type="spellStart"/>
      <w:r w:rsidRPr="00007B7D">
        <w:t>L’obligation</w:t>
      </w:r>
      <w:proofErr w:type="spellEnd"/>
      <w:r w:rsidRPr="00007B7D">
        <w:t xml:space="preserve"> de </w:t>
      </w:r>
      <w:proofErr w:type="spellStart"/>
      <w:r w:rsidRPr="00007B7D">
        <w:t>mettre</w:t>
      </w:r>
      <w:proofErr w:type="spellEnd"/>
      <w:r w:rsidRPr="00007B7D">
        <w:t xml:space="preserve"> </w:t>
      </w:r>
      <w:proofErr w:type="spellStart"/>
      <w:r w:rsidRPr="00007B7D">
        <w:t>effectivement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</w:t>
      </w:r>
      <w:proofErr w:type="spellStart"/>
      <w:r w:rsidRPr="00007B7D">
        <w:t>ce</w:t>
      </w:r>
      <w:proofErr w:type="spellEnd"/>
      <w:r w:rsidRPr="00007B7D">
        <w:t xml:space="preserve">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répressif</w:t>
      </w:r>
      <w:proofErr w:type="spellEnd"/>
    </w:p>
    <w:p w14:paraId="797E8CD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135</w:t>
      </w:r>
      <w:r w:rsidRPr="00007B7D">
        <w:rPr>
          <w:noProof/>
        </w:rPr>
        <w:fldChar w:fldCharType="end"/>
      </w:r>
      <w:r w:rsidRPr="00007B7D">
        <w:t>.  </w:t>
      </w:r>
      <w:r w:rsidRPr="00007B7D">
        <w:rPr>
          <w:rFonts w:ascii="Times New Roman" w:hAnsi="Times New Roman" w:cs="Times New Roman"/>
        </w:rPr>
        <w:t xml:space="preserve">La </w:t>
      </w:r>
      <w:proofErr w:type="spellStart"/>
      <w:r w:rsidRPr="00007B7D">
        <w:rPr>
          <w:rFonts w:ascii="Times New Roman" w:hAnsi="Times New Roman" w:cs="Times New Roman"/>
        </w:rPr>
        <w:t>Cour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rappelle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</w:t>
      </w:r>
      <w:proofErr w:type="spellEnd"/>
      <w:r w:rsidRPr="00007B7D">
        <w:rPr>
          <w:rFonts w:ascii="Times New Roman" w:hAnsi="Times New Roman" w:cs="Times New Roman"/>
        </w:rPr>
        <w:t xml:space="preserve"> second lieu que les articles 3 et 8 de la Convention </w:t>
      </w:r>
      <w:proofErr w:type="spellStart"/>
      <w:r w:rsidRPr="00007B7D">
        <w:rPr>
          <w:rFonts w:ascii="Times New Roman" w:hAnsi="Times New Roman" w:cs="Times New Roman"/>
        </w:rPr>
        <w:t>mettent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également</w:t>
      </w:r>
      <w:proofErr w:type="spellEnd"/>
      <w:r w:rsidRPr="00007B7D">
        <w:rPr>
          <w:rFonts w:ascii="Times New Roman" w:hAnsi="Times New Roman" w:cs="Times New Roman"/>
        </w:rPr>
        <w:t xml:space="preserve"> à la charge des </w:t>
      </w:r>
      <w:proofErr w:type="spellStart"/>
      <w:r w:rsidRPr="00007B7D">
        <w:rPr>
          <w:rFonts w:ascii="Times New Roman" w:hAnsi="Times New Roman" w:cs="Times New Roman"/>
        </w:rPr>
        <w:t>États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une</w:t>
      </w:r>
      <w:proofErr w:type="spellEnd"/>
      <w:r w:rsidRPr="00007B7D">
        <w:rPr>
          <w:rFonts w:ascii="Times New Roman" w:hAnsi="Times New Roman" w:cs="Times New Roman"/>
        </w:rPr>
        <w:t xml:space="preserve"> obligation positive </w:t>
      </w:r>
      <w:proofErr w:type="spellStart"/>
      <w:r w:rsidRPr="00007B7D">
        <w:rPr>
          <w:rFonts w:ascii="Times New Roman" w:hAnsi="Times New Roman" w:cs="Times New Roman"/>
        </w:rPr>
        <w:t>procédurale</w:t>
      </w:r>
      <w:proofErr w:type="spellEnd"/>
      <w:r w:rsidRPr="00007B7D">
        <w:rPr>
          <w:rFonts w:ascii="Times New Roman" w:hAnsi="Times New Roman" w:cs="Times New Roman"/>
        </w:rPr>
        <w:t xml:space="preserve">. </w:t>
      </w:r>
      <w:proofErr w:type="spellStart"/>
      <w:r w:rsidRPr="00007B7D">
        <w:rPr>
          <w:rFonts w:ascii="Times New Roman" w:hAnsi="Times New Roman" w:cs="Times New Roman"/>
        </w:rPr>
        <w:t>Ainsi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t>lorsqu’une</w:t>
      </w:r>
      <w:proofErr w:type="spellEnd"/>
      <w:r w:rsidRPr="00007B7D">
        <w:t xml:space="preserve"> </w:t>
      </w:r>
      <w:proofErr w:type="spellStart"/>
      <w:r w:rsidRPr="00007B7D">
        <w:t>personne</w:t>
      </w:r>
      <w:proofErr w:type="spellEnd"/>
      <w:r w:rsidRPr="00007B7D">
        <w:t xml:space="preserve"> </w:t>
      </w:r>
      <w:proofErr w:type="spellStart"/>
      <w:r w:rsidRPr="00007B7D">
        <w:t>allègue</w:t>
      </w:r>
      <w:proofErr w:type="spellEnd"/>
      <w:r w:rsidRPr="00007B7D">
        <w:t xml:space="preserve"> de manière </w:t>
      </w:r>
      <w:proofErr w:type="spellStart"/>
      <w:r w:rsidRPr="00007B7D">
        <w:t>défendable</w:t>
      </w:r>
      <w:proofErr w:type="spellEnd"/>
      <w:r w:rsidRPr="00007B7D">
        <w:t xml:space="preserve"> </w:t>
      </w:r>
      <w:proofErr w:type="spellStart"/>
      <w:r w:rsidRPr="00007B7D">
        <w:t>avoir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victime</w:t>
      </w:r>
      <w:proofErr w:type="spellEnd"/>
      <w:r w:rsidRPr="00007B7D">
        <w:t xml:space="preserve"> </w:t>
      </w:r>
      <w:proofErr w:type="spellStart"/>
      <w:r w:rsidRPr="00007B7D">
        <w:t>d’actes</w:t>
      </w:r>
      <w:proofErr w:type="spellEnd"/>
      <w:r w:rsidRPr="00007B7D">
        <w:t xml:space="preserve"> </w:t>
      </w:r>
      <w:proofErr w:type="spellStart"/>
      <w:r w:rsidRPr="00007B7D">
        <w:t>contraires</w:t>
      </w:r>
      <w:proofErr w:type="spellEnd"/>
      <w:r w:rsidRPr="00007B7D">
        <w:t xml:space="preserve"> à </w:t>
      </w:r>
      <w:proofErr w:type="spellStart"/>
      <w:r w:rsidRPr="00007B7D">
        <w:t>ces</w:t>
      </w:r>
      <w:proofErr w:type="spellEnd"/>
      <w:r w:rsidRPr="00007B7D">
        <w:t xml:space="preserve"> dispositions,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nationales</w:t>
      </w:r>
      <w:proofErr w:type="spellEnd"/>
      <w:r w:rsidRPr="00007B7D">
        <w:t xml:space="preserve"> </w:t>
      </w:r>
      <w:proofErr w:type="spellStart"/>
      <w:r w:rsidRPr="00007B7D">
        <w:t>doivent</w:t>
      </w:r>
      <w:proofErr w:type="spellEnd"/>
      <w:r w:rsidRPr="00007B7D">
        <w:t xml:space="preserve"> </w:t>
      </w:r>
      <w:proofErr w:type="spellStart"/>
      <w:r w:rsidRPr="00007B7D">
        <w:t>mener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enquête</w:t>
      </w:r>
      <w:proofErr w:type="spellEnd"/>
      <w:r w:rsidRPr="00007B7D">
        <w:t xml:space="preserve"> </w:t>
      </w:r>
      <w:proofErr w:type="spellStart"/>
      <w:r w:rsidRPr="00007B7D">
        <w:t>officielle</w:t>
      </w:r>
      <w:proofErr w:type="spellEnd"/>
      <w:r w:rsidRPr="00007B7D">
        <w:t xml:space="preserve"> effective propre à </w:t>
      </w:r>
      <w:proofErr w:type="spellStart"/>
      <w:r w:rsidRPr="00007B7D">
        <w:t>permettre</w:t>
      </w:r>
      <w:proofErr w:type="spellEnd"/>
      <w:r w:rsidRPr="00007B7D">
        <w:t xml:space="preserve"> </w:t>
      </w:r>
      <w:proofErr w:type="spellStart"/>
      <w:r w:rsidRPr="00007B7D">
        <w:t>l’établissement</w:t>
      </w:r>
      <w:proofErr w:type="spellEnd"/>
      <w:r w:rsidRPr="00007B7D">
        <w:t xml:space="preserve"> des faits </w:t>
      </w:r>
      <w:proofErr w:type="spellStart"/>
      <w:r w:rsidRPr="00007B7D">
        <w:t>ainsi</w:t>
      </w:r>
      <w:proofErr w:type="spellEnd"/>
      <w:r w:rsidRPr="00007B7D">
        <w:t xml:space="preserve"> que </w:t>
      </w:r>
      <w:proofErr w:type="spellStart"/>
      <w:r w:rsidRPr="00007B7D">
        <w:t>l’identification</w:t>
      </w:r>
      <w:proofErr w:type="spellEnd"/>
      <w:r w:rsidRPr="00007B7D">
        <w:t xml:space="preserve"> et la </w:t>
      </w:r>
      <w:proofErr w:type="spellStart"/>
      <w:r w:rsidRPr="00007B7D">
        <w:t>punition</w:t>
      </w:r>
      <w:proofErr w:type="spellEnd"/>
      <w:r w:rsidRPr="00007B7D">
        <w:t xml:space="preserve">, le </w:t>
      </w:r>
      <w:proofErr w:type="spellStart"/>
      <w:r w:rsidRPr="00007B7D">
        <w:t>cas</w:t>
      </w:r>
      <w:proofErr w:type="spellEnd"/>
      <w:r w:rsidRPr="00007B7D">
        <w:t xml:space="preserve"> </w:t>
      </w:r>
      <w:proofErr w:type="spellStart"/>
      <w:r w:rsidRPr="00007B7D">
        <w:t>échéant</w:t>
      </w:r>
      <w:proofErr w:type="spellEnd"/>
      <w:r w:rsidRPr="00007B7D">
        <w:t xml:space="preserve">, des </w:t>
      </w:r>
      <w:proofErr w:type="spellStart"/>
      <w:r w:rsidRPr="00007B7D">
        <w:t>personnes</w:t>
      </w:r>
      <w:proofErr w:type="spellEnd"/>
      <w:r w:rsidRPr="00007B7D">
        <w:t xml:space="preserve"> </w:t>
      </w:r>
      <w:proofErr w:type="spellStart"/>
      <w:r w:rsidRPr="00007B7D">
        <w:t>responsables</w:t>
      </w:r>
      <w:proofErr w:type="spellEnd"/>
      <w:r w:rsidRPr="00007B7D">
        <w:t xml:space="preserve"> </w:t>
      </w:r>
      <w:bookmarkStart w:id="5" w:name="_cl1463"/>
      <w:r w:rsidRPr="00007B7D">
        <w:t>(</w:t>
      </w:r>
      <w:r w:rsidRPr="00007B7D">
        <w:rPr>
          <w:i/>
          <w:iCs/>
        </w:rPr>
        <w:t>B.V. c. Belgique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56</w:t>
      </w:r>
      <w:bookmarkEnd w:id="5"/>
      <w:r w:rsidRPr="00007B7D">
        <w:t xml:space="preserve">, </w:t>
      </w:r>
      <w:bookmarkStart w:id="6" w:name="_cl40426"/>
      <w:r w:rsidRPr="00007B7D">
        <w:rPr>
          <w:i/>
          <w:iCs/>
        </w:rPr>
        <w:t>X et 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Bulgarie</w:t>
      </w:r>
      <w:bookmarkEnd w:id="6"/>
      <w:proofErr w:type="spellEnd"/>
      <w:r w:rsidRPr="00007B7D">
        <w:t xml:space="preserve"> [GC], n</w:t>
      </w:r>
      <w:r w:rsidRPr="00007B7D">
        <w:rPr>
          <w:vertAlign w:val="superscript"/>
        </w:rPr>
        <w:t>o</w:t>
      </w:r>
      <w:r w:rsidRPr="00007B7D">
        <w:t> 22457/16, § 184, 2 </w:t>
      </w:r>
      <w:proofErr w:type="spellStart"/>
      <w:r w:rsidRPr="00007B7D">
        <w:t>février</w:t>
      </w:r>
      <w:proofErr w:type="spellEnd"/>
      <w:r w:rsidRPr="00007B7D">
        <w:t xml:space="preserve"> 2021, et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53). </w:t>
      </w:r>
      <w:r w:rsidRPr="00007B7D">
        <w:rPr>
          <w:rFonts w:ascii="Times New Roman" w:hAnsi="Times New Roman" w:cs="Times New Roman"/>
        </w:rPr>
        <w:t xml:space="preserve">Il </w:t>
      </w:r>
      <w:proofErr w:type="spellStart"/>
      <w:r w:rsidRPr="00007B7D">
        <w:rPr>
          <w:rFonts w:ascii="Times New Roman" w:hAnsi="Times New Roman" w:cs="Times New Roman"/>
        </w:rPr>
        <w:t>s’agit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là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obligation de </w:t>
      </w:r>
      <w:proofErr w:type="spellStart"/>
      <w:r w:rsidRPr="00007B7D">
        <w:rPr>
          <w:rFonts w:ascii="Times New Roman" w:hAnsi="Times New Roman" w:cs="Times New Roman"/>
        </w:rPr>
        <w:t>moyens</w:t>
      </w:r>
      <w:proofErr w:type="spellEnd"/>
      <w:r w:rsidRPr="00007B7D">
        <w:rPr>
          <w:rFonts w:ascii="Times New Roman" w:hAnsi="Times New Roman" w:cs="Times New Roman"/>
        </w:rPr>
        <w:t xml:space="preserve"> et non de </w:t>
      </w:r>
      <w:proofErr w:type="spellStart"/>
      <w:r w:rsidRPr="00007B7D">
        <w:rPr>
          <w:rFonts w:ascii="Times New Roman" w:hAnsi="Times New Roman" w:cs="Times New Roman"/>
        </w:rPr>
        <w:t>résultat</w:t>
      </w:r>
      <w:proofErr w:type="spellEnd"/>
      <w:r w:rsidRPr="00007B7D">
        <w:rPr>
          <w:rFonts w:ascii="Times New Roman" w:hAnsi="Times New Roman" w:cs="Times New Roman"/>
        </w:rPr>
        <w:t xml:space="preserve">. Si </w:t>
      </w:r>
      <w:proofErr w:type="spellStart"/>
      <w:r w:rsidRPr="00007B7D">
        <w:rPr>
          <w:rFonts w:ascii="Times New Roman" w:hAnsi="Times New Roman" w:cs="Times New Roman"/>
        </w:rPr>
        <w:t>elle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n’impose</w:t>
      </w:r>
      <w:proofErr w:type="spellEnd"/>
      <w:r w:rsidRPr="00007B7D">
        <w:rPr>
          <w:rFonts w:ascii="Times New Roman" w:hAnsi="Times New Roman" w:cs="Times New Roman"/>
        </w:rPr>
        <w:t xml:space="preserve"> pas que </w:t>
      </w:r>
      <w:proofErr w:type="spellStart"/>
      <w:r w:rsidRPr="00007B7D">
        <w:rPr>
          <w:rFonts w:ascii="Times New Roman" w:hAnsi="Times New Roman" w:cs="Times New Roman"/>
        </w:rPr>
        <w:t>toute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procédure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pénale</w:t>
      </w:r>
      <w:proofErr w:type="spellEnd"/>
      <w:r w:rsidRPr="00007B7D">
        <w:rPr>
          <w:rFonts w:ascii="Times New Roman" w:hAnsi="Times New Roman" w:cs="Times New Roman"/>
        </w:rPr>
        <w:t xml:space="preserve"> se </w:t>
      </w:r>
      <w:proofErr w:type="spellStart"/>
      <w:r w:rsidRPr="00007B7D">
        <w:rPr>
          <w:rFonts w:ascii="Times New Roman" w:hAnsi="Times New Roman" w:cs="Times New Roman"/>
        </w:rPr>
        <w:t>solde</w:t>
      </w:r>
      <w:proofErr w:type="spellEnd"/>
      <w:r w:rsidRPr="00007B7D">
        <w:rPr>
          <w:rFonts w:ascii="Times New Roman" w:hAnsi="Times New Roman" w:cs="Times New Roman"/>
        </w:rPr>
        <w:t xml:space="preserve"> par </w:t>
      </w:r>
      <w:proofErr w:type="spellStart"/>
      <w:r w:rsidRPr="00007B7D">
        <w:rPr>
          <w:rFonts w:ascii="Times New Roman" w:hAnsi="Times New Roman" w:cs="Times New Roman"/>
        </w:rPr>
        <w:t>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condamnation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voire</w:t>
      </w:r>
      <w:proofErr w:type="spellEnd"/>
      <w:r w:rsidRPr="00007B7D">
        <w:rPr>
          <w:rFonts w:ascii="Times New Roman" w:hAnsi="Times New Roman" w:cs="Times New Roman"/>
        </w:rPr>
        <w:t xml:space="preserve"> par le </w:t>
      </w:r>
      <w:proofErr w:type="spellStart"/>
      <w:r w:rsidRPr="00007B7D">
        <w:rPr>
          <w:rFonts w:ascii="Times New Roman" w:hAnsi="Times New Roman" w:cs="Times New Roman"/>
        </w:rPr>
        <w:t>prononcé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peine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déterminée</w:t>
      </w:r>
      <w:proofErr w:type="spellEnd"/>
      <w:r w:rsidRPr="00007B7D">
        <w:rPr>
          <w:rFonts w:ascii="Times New Roman" w:hAnsi="Times New Roman" w:cs="Times New Roman"/>
        </w:rPr>
        <w:t xml:space="preserve">, les instances </w:t>
      </w:r>
      <w:proofErr w:type="spellStart"/>
      <w:r w:rsidRPr="00007B7D">
        <w:rPr>
          <w:rFonts w:ascii="Times New Roman" w:hAnsi="Times New Roman" w:cs="Times New Roman"/>
        </w:rPr>
        <w:t>judiciaires</w:t>
      </w:r>
      <w:proofErr w:type="spellEnd"/>
      <w:r w:rsidRPr="00007B7D">
        <w:rPr>
          <w:rFonts w:ascii="Times New Roman" w:hAnsi="Times New Roman" w:cs="Times New Roman"/>
        </w:rPr>
        <w:t xml:space="preserve"> internes ne </w:t>
      </w:r>
      <w:proofErr w:type="spellStart"/>
      <w:r w:rsidRPr="00007B7D">
        <w:rPr>
          <w:rFonts w:ascii="Times New Roman" w:hAnsi="Times New Roman" w:cs="Times New Roman"/>
        </w:rPr>
        <w:t>doivent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aucun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cas</w:t>
      </w:r>
      <w:proofErr w:type="spellEnd"/>
      <w:r w:rsidRPr="00007B7D">
        <w:rPr>
          <w:rFonts w:ascii="Times New Roman" w:hAnsi="Times New Roman" w:cs="Times New Roman"/>
        </w:rPr>
        <w:t xml:space="preserve"> se </w:t>
      </w:r>
      <w:proofErr w:type="spellStart"/>
      <w:r w:rsidRPr="00007B7D">
        <w:rPr>
          <w:rFonts w:ascii="Times New Roman" w:hAnsi="Times New Roman" w:cs="Times New Roman"/>
        </w:rPr>
        <w:t>montrer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disposées</w:t>
      </w:r>
      <w:proofErr w:type="spellEnd"/>
      <w:r w:rsidRPr="00007B7D">
        <w:rPr>
          <w:rFonts w:ascii="Times New Roman" w:hAnsi="Times New Roman" w:cs="Times New Roman"/>
        </w:rPr>
        <w:t xml:space="preserve"> à </w:t>
      </w:r>
      <w:proofErr w:type="spellStart"/>
      <w:r w:rsidRPr="00007B7D">
        <w:rPr>
          <w:rFonts w:ascii="Times New Roman" w:hAnsi="Times New Roman" w:cs="Times New Roman"/>
        </w:rPr>
        <w:t>laisser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impunies</w:t>
      </w:r>
      <w:proofErr w:type="spellEnd"/>
      <w:r w:rsidRPr="00007B7D">
        <w:rPr>
          <w:rFonts w:ascii="Times New Roman" w:hAnsi="Times New Roman" w:cs="Times New Roman"/>
        </w:rPr>
        <w:t xml:space="preserve"> des </w:t>
      </w:r>
      <w:proofErr w:type="spellStart"/>
      <w:r w:rsidRPr="00007B7D">
        <w:rPr>
          <w:rFonts w:ascii="Times New Roman" w:hAnsi="Times New Roman" w:cs="Times New Roman"/>
        </w:rPr>
        <w:t>atteintes</w:t>
      </w:r>
      <w:proofErr w:type="spellEnd"/>
      <w:r w:rsidRPr="00007B7D">
        <w:rPr>
          <w:rFonts w:ascii="Times New Roman" w:hAnsi="Times New Roman" w:cs="Times New Roman"/>
        </w:rPr>
        <w:t xml:space="preserve"> à </w:t>
      </w:r>
      <w:proofErr w:type="spellStart"/>
      <w:r w:rsidRPr="00007B7D">
        <w:rPr>
          <w:rFonts w:ascii="Times New Roman" w:hAnsi="Times New Roman" w:cs="Times New Roman"/>
        </w:rPr>
        <w:t>l’intégrité</w:t>
      </w:r>
      <w:proofErr w:type="spellEnd"/>
      <w:r w:rsidRPr="00007B7D">
        <w:rPr>
          <w:rFonts w:ascii="Times New Roman" w:hAnsi="Times New Roman" w:cs="Times New Roman"/>
        </w:rPr>
        <w:t xml:space="preserve"> physique et morale des </w:t>
      </w:r>
      <w:proofErr w:type="spellStart"/>
      <w:r w:rsidRPr="00007B7D">
        <w:rPr>
          <w:rFonts w:ascii="Times New Roman" w:hAnsi="Times New Roman" w:cs="Times New Roman"/>
        </w:rPr>
        <w:t>personnes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r w:rsidRPr="00007B7D">
        <w:rPr>
          <w:rFonts w:ascii="Times New Roman" w:hAnsi="Times New Roman" w:cs="Times New Roman"/>
        </w:rPr>
        <w:lastRenderedPageBreak/>
        <w:t xml:space="preserve">pour </w:t>
      </w:r>
      <w:proofErr w:type="spellStart"/>
      <w:r w:rsidRPr="00007B7D">
        <w:rPr>
          <w:rFonts w:ascii="Times New Roman" w:hAnsi="Times New Roman" w:cs="Times New Roman"/>
        </w:rPr>
        <w:t>préserver</w:t>
      </w:r>
      <w:proofErr w:type="spellEnd"/>
      <w:r w:rsidRPr="00007B7D">
        <w:rPr>
          <w:rFonts w:ascii="Times New Roman" w:hAnsi="Times New Roman" w:cs="Times New Roman"/>
        </w:rPr>
        <w:t xml:space="preserve"> la </w:t>
      </w:r>
      <w:proofErr w:type="spellStart"/>
      <w:r w:rsidRPr="00007B7D">
        <w:rPr>
          <w:rFonts w:ascii="Times New Roman" w:hAnsi="Times New Roman" w:cs="Times New Roman"/>
        </w:rPr>
        <w:t>confiance</w:t>
      </w:r>
      <w:proofErr w:type="spellEnd"/>
      <w:r w:rsidRPr="00007B7D">
        <w:rPr>
          <w:rFonts w:ascii="Times New Roman" w:hAnsi="Times New Roman" w:cs="Times New Roman"/>
        </w:rPr>
        <w:t xml:space="preserve"> du public dans le respect du </w:t>
      </w:r>
      <w:proofErr w:type="spellStart"/>
      <w:r w:rsidRPr="00007B7D">
        <w:rPr>
          <w:rFonts w:ascii="Times New Roman" w:hAnsi="Times New Roman" w:cs="Times New Roman"/>
        </w:rPr>
        <w:t>principe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légalité</w:t>
      </w:r>
      <w:proofErr w:type="spellEnd"/>
      <w:r w:rsidRPr="00007B7D">
        <w:rPr>
          <w:rFonts w:ascii="Times New Roman" w:hAnsi="Times New Roman" w:cs="Times New Roman"/>
        </w:rPr>
        <w:t xml:space="preserve"> et pour </w:t>
      </w:r>
      <w:proofErr w:type="spellStart"/>
      <w:r w:rsidRPr="00007B7D">
        <w:rPr>
          <w:rFonts w:ascii="Times New Roman" w:hAnsi="Times New Roman" w:cs="Times New Roman"/>
        </w:rPr>
        <w:t>éviter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toute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apparence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complicité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ou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tolérance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envers</w:t>
      </w:r>
      <w:proofErr w:type="spellEnd"/>
      <w:r w:rsidRPr="00007B7D">
        <w:rPr>
          <w:rFonts w:ascii="Times New Roman" w:hAnsi="Times New Roman" w:cs="Times New Roman"/>
        </w:rPr>
        <w:t xml:space="preserve"> des </w:t>
      </w:r>
      <w:proofErr w:type="spellStart"/>
      <w:r w:rsidRPr="00007B7D">
        <w:rPr>
          <w:rFonts w:ascii="Times New Roman" w:hAnsi="Times New Roman" w:cs="Times New Roman"/>
        </w:rPr>
        <w:t>actes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illégaux</w:t>
      </w:r>
      <w:proofErr w:type="spellEnd"/>
      <w:r w:rsidRPr="00007B7D">
        <w:rPr>
          <w:rFonts w:ascii="Times New Roman" w:hAnsi="Times New Roman" w:cs="Times New Roman"/>
        </w:rPr>
        <w:t xml:space="preserve"> (</w:t>
      </w:r>
      <w:proofErr w:type="spellStart"/>
      <w:r w:rsidRPr="00007B7D">
        <w:rPr>
          <w:rFonts w:ascii="Times New Roman" w:hAnsi="Times New Roman" w:cs="Times New Roman"/>
        </w:rPr>
        <w:t>voir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parmi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d’autres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r w:rsidRPr="00007B7D">
        <w:rPr>
          <w:i/>
          <w:iCs/>
        </w:rPr>
        <w:t>J.L. c. Italie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118</w:t>
      </w:r>
      <w:r w:rsidRPr="00007B7D">
        <w:rPr>
          <w:rFonts w:ascii="Times New Roman" w:hAnsi="Times New Roman" w:cs="Times New Roman"/>
        </w:rPr>
        <w:t xml:space="preserve">, </w:t>
      </w:r>
      <w:r w:rsidRPr="00007B7D">
        <w:rPr>
          <w:i/>
          <w:iCs/>
        </w:rPr>
        <w:t>N.Ç. c. </w:t>
      </w:r>
      <w:proofErr w:type="spellStart"/>
      <w:r w:rsidRPr="00007B7D">
        <w:rPr>
          <w:i/>
          <w:iCs/>
        </w:rPr>
        <w:t>Turquie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96</w:t>
      </w:r>
      <w:r w:rsidRPr="00007B7D">
        <w:rPr>
          <w:rFonts w:ascii="Times New Roman" w:hAnsi="Times New Roman" w:cs="Times New Roman"/>
        </w:rPr>
        <w:t xml:space="preserve">, et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53</w:t>
      </w:r>
      <w:r w:rsidRPr="00007B7D">
        <w:rPr>
          <w:rFonts w:ascii="Times New Roman" w:hAnsi="Times New Roman" w:cs="Times New Roman"/>
        </w:rPr>
        <w:t>).</w:t>
      </w:r>
    </w:p>
    <w:p w14:paraId="06EEFD43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136</w:t>
      </w:r>
      <w:r w:rsidRPr="00007B7D">
        <w:rPr>
          <w:noProof/>
        </w:rPr>
        <w:fldChar w:fldCharType="end"/>
      </w:r>
      <w:r w:rsidRPr="00007B7D">
        <w:t xml:space="preserve">.  Pour </w:t>
      </w:r>
      <w:proofErr w:type="spellStart"/>
      <w:r w:rsidRPr="00007B7D">
        <w:t>être</w:t>
      </w:r>
      <w:proofErr w:type="spellEnd"/>
      <w:r w:rsidRPr="00007B7D">
        <w:t xml:space="preserve"> effective, </w:t>
      </w:r>
      <w:proofErr w:type="spellStart"/>
      <w:r w:rsidRPr="00007B7D">
        <w:t>l’enquête</w:t>
      </w:r>
      <w:proofErr w:type="spellEnd"/>
      <w:r w:rsidRPr="00007B7D">
        <w:t xml:space="preserve"> </w:t>
      </w:r>
      <w:proofErr w:type="spellStart"/>
      <w:r w:rsidRPr="00007B7D">
        <w:t>menée</w:t>
      </w:r>
      <w:proofErr w:type="spellEnd"/>
      <w:r w:rsidRPr="00007B7D">
        <w:t xml:space="preserve"> doit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suffisamment</w:t>
      </w:r>
      <w:proofErr w:type="spellEnd"/>
      <w:r w:rsidRPr="00007B7D">
        <w:t xml:space="preserve"> </w:t>
      </w:r>
      <w:proofErr w:type="spellStart"/>
      <w:r w:rsidRPr="00007B7D">
        <w:t>approfondie</w:t>
      </w:r>
      <w:proofErr w:type="spellEnd"/>
      <w:r w:rsidRPr="00007B7D">
        <w:t xml:space="preserve"> et objective.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doivent</w:t>
      </w:r>
      <w:proofErr w:type="spellEnd"/>
      <w:r w:rsidRPr="00007B7D">
        <w:t xml:space="preserve"> prendre les </w:t>
      </w:r>
      <w:proofErr w:type="spellStart"/>
      <w:r w:rsidRPr="00007B7D">
        <w:t>mesures</w:t>
      </w:r>
      <w:proofErr w:type="spellEnd"/>
      <w:r w:rsidRPr="00007B7D">
        <w:t xml:space="preserve"> </w:t>
      </w:r>
      <w:proofErr w:type="spellStart"/>
      <w:r w:rsidRPr="00007B7D">
        <w:t>raisonnables</w:t>
      </w:r>
      <w:proofErr w:type="spellEnd"/>
      <w:r w:rsidRPr="00007B7D">
        <w:t xml:space="preserve"> à </w:t>
      </w:r>
      <w:proofErr w:type="spellStart"/>
      <w:r w:rsidRPr="00007B7D">
        <w:t>leur</w:t>
      </w:r>
      <w:proofErr w:type="spellEnd"/>
      <w:r w:rsidRPr="00007B7D">
        <w:t xml:space="preserve"> disposition pour </w:t>
      </w:r>
      <w:proofErr w:type="spellStart"/>
      <w:r w:rsidRPr="00007B7D">
        <w:t>collecter</w:t>
      </w:r>
      <w:proofErr w:type="spellEnd"/>
      <w:r w:rsidRPr="00007B7D">
        <w:t xml:space="preserve"> les </w:t>
      </w:r>
      <w:proofErr w:type="spellStart"/>
      <w:r w:rsidRPr="00007B7D">
        <w:t>preuves</w:t>
      </w:r>
      <w:proofErr w:type="spellEnd"/>
      <w:r w:rsidRPr="00007B7D">
        <w:t xml:space="preserve"> relatives aux faits </w:t>
      </w:r>
      <w:proofErr w:type="spellStart"/>
      <w:r w:rsidRPr="00007B7D">
        <w:t>en</w:t>
      </w:r>
      <w:proofErr w:type="spellEnd"/>
      <w:r w:rsidRPr="00007B7D">
        <w:t xml:space="preserve"> question, par </w:t>
      </w:r>
      <w:proofErr w:type="spellStart"/>
      <w:r w:rsidRPr="00007B7D">
        <w:t>exemple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recueillant</w:t>
      </w:r>
      <w:proofErr w:type="spellEnd"/>
      <w:r w:rsidRPr="00007B7D">
        <w:t xml:space="preserve"> des </w:t>
      </w:r>
      <w:proofErr w:type="spellStart"/>
      <w:r w:rsidRPr="00007B7D">
        <w:t>dépositions</w:t>
      </w:r>
      <w:proofErr w:type="spellEnd"/>
      <w:r w:rsidRPr="00007B7D">
        <w:t xml:space="preserve"> de </w:t>
      </w:r>
      <w:proofErr w:type="spellStart"/>
      <w:r w:rsidRPr="00007B7D">
        <w:t>témoins</w:t>
      </w:r>
      <w:proofErr w:type="spellEnd"/>
      <w:r w:rsidRPr="00007B7D">
        <w:t xml:space="preserve">, des </w:t>
      </w:r>
      <w:proofErr w:type="spellStart"/>
      <w:r w:rsidRPr="00007B7D">
        <w:t>expertises</w:t>
      </w:r>
      <w:proofErr w:type="spellEnd"/>
      <w:r w:rsidRPr="00007B7D">
        <w:t xml:space="preserve"> et des </w:t>
      </w:r>
      <w:proofErr w:type="spellStart"/>
      <w:r w:rsidRPr="00007B7D">
        <w:t>éléments</w:t>
      </w:r>
      <w:proofErr w:type="spellEnd"/>
      <w:r w:rsidRPr="00007B7D">
        <w:t xml:space="preserve"> </w:t>
      </w:r>
      <w:proofErr w:type="spellStart"/>
      <w:r w:rsidRPr="00007B7D">
        <w:t>médicolégaux</w:t>
      </w:r>
      <w:proofErr w:type="spellEnd"/>
      <w:r w:rsidRPr="00007B7D">
        <w:t xml:space="preserve"> (</w:t>
      </w:r>
      <w:proofErr w:type="spellStart"/>
      <w:r w:rsidRPr="00007B7D">
        <w:t>voir</w:t>
      </w:r>
      <w:proofErr w:type="spellEnd"/>
      <w:r w:rsidRPr="00007B7D">
        <w:t xml:space="preserve">, </w:t>
      </w:r>
      <w:proofErr w:type="spellStart"/>
      <w:r w:rsidRPr="00007B7D">
        <w:t>parmi</w:t>
      </w:r>
      <w:proofErr w:type="spellEnd"/>
      <w:r w:rsidRPr="00007B7D">
        <w:t xml:space="preserve"> </w:t>
      </w:r>
      <w:proofErr w:type="spellStart"/>
      <w:r w:rsidRPr="00007B7D">
        <w:t>d’autres</w:t>
      </w:r>
      <w:proofErr w:type="spellEnd"/>
      <w:r w:rsidRPr="00007B7D">
        <w:t xml:space="preserve">, </w:t>
      </w:r>
      <w:r w:rsidRPr="00007B7D">
        <w:rPr>
          <w:i/>
          <w:iCs/>
        </w:rPr>
        <w:t>M.N.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> 3832/06, § 39, 27 </w:t>
      </w:r>
      <w:proofErr w:type="spellStart"/>
      <w:r w:rsidRPr="00007B7D">
        <w:t>novembre</w:t>
      </w:r>
      <w:proofErr w:type="spellEnd"/>
      <w:r w:rsidRPr="00007B7D">
        <w:t xml:space="preserve"> 2012, </w:t>
      </w:r>
      <w:r w:rsidRPr="00007B7D">
        <w:rPr>
          <w:i/>
          <w:iCs/>
        </w:rPr>
        <w:t>W. c. </w:t>
      </w:r>
      <w:proofErr w:type="spellStart"/>
      <w:r w:rsidRPr="00007B7D">
        <w:rPr>
          <w:i/>
          <w:iCs/>
        </w:rPr>
        <w:t>Slovénie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24125/06, § 64, 23 </w:t>
      </w:r>
      <w:proofErr w:type="spellStart"/>
      <w:r w:rsidRPr="00007B7D">
        <w:t>janvier</w:t>
      </w:r>
      <w:proofErr w:type="spellEnd"/>
      <w:r w:rsidRPr="00007B7D">
        <w:t xml:space="preserve"> 2014, et </w:t>
      </w:r>
      <w:r w:rsidRPr="00007B7D">
        <w:rPr>
          <w:i/>
          <w:iCs/>
        </w:rPr>
        <w:t>X c. </w:t>
      </w:r>
      <w:proofErr w:type="spellStart"/>
      <w:r w:rsidRPr="00007B7D">
        <w:rPr>
          <w:i/>
          <w:iCs/>
        </w:rPr>
        <w:t>Grèce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69).</w:t>
      </w:r>
    </w:p>
    <w:p w14:paraId="1976BA4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137</w:t>
      </w:r>
      <w:r w:rsidRPr="00007B7D">
        <w:rPr>
          <w:noProof/>
        </w:rPr>
        <w:fldChar w:fldCharType="end"/>
      </w:r>
      <w:r w:rsidRPr="00007B7D">
        <w:t xml:space="preserve">.  Une exigence de </w:t>
      </w:r>
      <w:proofErr w:type="spellStart"/>
      <w:r w:rsidRPr="00007B7D">
        <w:t>célérité</w:t>
      </w:r>
      <w:proofErr w:type="spellEnd"/>
      <w:r w:rsidRPr="00007B7D">
        <w:t xml:space="preserve"> et de diligence </w:t>
      </w:r>
      <w:proofErr w:type="spellStart"/>
      <w:r w:rsidRPr="00007B7D">
        <w:t>raisonnable</w:t>
      </w:r>
      <w:proofErr w:type="spellEnd"/>
      <w:r w:rsidRPr="00007B7D">
        <w:t xml:space="preserve">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également</w:t>
      </w:r>
      <w:proofErr w:type="spellEnd"/>
      <w:r w:rsidRPr="00007B7D">
        <w:t xml:space="preserve"> </w:t>
      </w:r>
      <w:proofErr w:type="spellStart"/>
      <w:r w:rsidRPr="00007B7D">
        <w:t>inhérente</w:t>
      </w:r>
      <w:proofErr w:type="spellEnd"/>
      <w:r w:rsidRPr="00007B7D">
        <w:t xml:space="preserve"> à la </w:t>
      </w:r>
      <w:proofErr w:type="spellStart"/>
      <w:r w:rsidRPr="00007B7D">
        <w:t>garantie</w:t>
      </w:r>
      <w:proofErr w:type="spellEnd"/>
      <w:r w:rsidRPr="00007B7D">
        <w:t xml:space="preserve"> </w:t>
      </w:r>
      <w:proofErr w:type="spellStart"/>
      <w:r w:rsidRPr="00007B7D">
        <w:t>d’effectivité</w:t>
      </w:r>
      <w:proofErr w:type="spellEnd"/>
      <w:r w:rsidRPr="00007B7D">
        <w:t xml:space="preserve"> dans </w:t>
      </w:r>
      <w:proofErr w:type="spellStart"/>
      <w:r w:rsidRPr="00007B7D">
        <w:t>ce</w:t>
      </w:r>
      <w:proofErr w:type="spellEnd"/>
      <w:r w:rsidRPr="00007B7D">
        <w:t xml:space="preserve"> </w:t>
      </w:r>
      <w:proofErr w:type="spellStart"/>
      <w:r w:rsidRPr="00007B7D">
        <w:t>contexte</w:t>
      </w:r>
      <w:proofErr w:type="spellEnd"/>
      <w:r w:rsidRPr="00007B7D">
        <w:t xml:space="preserve"> (</w:t>
      </w:r>
      <w:r w:rsidRPr="00007B7D">
        <w:rPr>
          <w:i/>
          <w:iCs/>
        </w:rPr>
        <w:t>M.N.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46, </w:t>
      </w:r>
      <w:r w:rsidRPr="00007B7D">
        <w:rPr>
          <w:i/>
          <w:iCs/>
        </w:rPr>
        <w:t>Y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81, et </w:t>
      </w:r>
      <w:r w:rsidRPr="00007B7D">
        <w:rPr>
          <w:i/>
          <w:iCs/>
        </w:rPr>
        <w:t>X c. </w:t>
      </w:r>
      <w:proofErr w:type="spellStart"/>
      <w:r w:rsidRPr="00007B7D">
        <w:rPr>
          <w:i/>
          <w:iCs/>
        </w:rPr>
        <w:t>Grèce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</w:t>
      </w:r>
      <w:r w:rsidRPr="00007B7D">
        <w:rPr>
          <w:i/>
          <w:iCs/>
        </w:rPr>
        <w:t>ibidem</w:t>
      </w:r>
      <w:r w:rsidRPr="00007B7D">
        <w:rPr>
          <w:rFonts w:ascii="Times New Roman" w:hAnsi="Times New Roman" w:cs="Times New Roman"/>
        </w:rPr>
        <w:t xml:space="preserve">). </w:t>
      </w:r>
      <w:r w:rsidRPr="00007B7D">
        <w:t xml:space="preserve">Les </w:t>
      </w:r>
      <w:proofErr w:type="spellStart"/>
      <w:r w:rsidRPr="00007B7D">
        <w:t>autorités</w:t>
      </w:r>
      <w:proofErr w:type="spellEnd"/>
      <w:r w:rsidRPr="00007B7D">
        <w:t xml:space="preserve"> internes </w:t>
      </w:r>
      <w:proofErr w:type="spellStart"/>
      <w:r w:rsidRPr="00007B7D">
        <w:t>sont</w:t>
      </w:r>
      <w:proofErr w:type="spellEnd"/>
      <w:r w:rsidRPr="00007B7D">
        <w:t xml:space="preserve"> tenues </w:t>
      </w:r>
      <w:proofErr w:type="spellStart"/>
      <w:r w:rsidRPr="00007B7D">
        <w:t>d’agir</w:t>
      </w:r>
      <w:proofErr w:type="spellEnd"/>
      <w:r w:rsidRPr="00007B7D">
        <w:t xml:space="preserve"> </w:t>
      </w:r>
      <w:proofErr w:type="spellStart"/>
      <w:r w:rsidRPr="00007B7D">
        <w:t>promptement</w:t>
      </w:r>
      <w:proofErr w:type="spellEnd"/>
      <w:r w:rsidRPr="00007B7D">
        <w:t xml:space="preserve"> </w:t>
      </w:r>
      <w:proofErr w:type="spellStart"/>
      <w:r w:rsidRPr="00007B7D">
        <w:t>dès</w:t>
      </w:r>
      <w:proofErr w:type="spellEnd"/>
      <w:r w:rsidRPr="00007B7D">
        <w:t xml:space="preserve"> que de </w:t>
      </w:r>
      <w:proofErr w:type="spellStart"/>
      <w:r w:rsidRPr="00007B7D">
        <w:t>telles</w:t>
      </w:r>
      <w:proofErr w:type="spellEnd"/>
      <w:r w:rsidRPr="00007B7D">
        <w:t xml:space="preserve"> </w:t>
      </w:r>
      <w:proofErr w:type="spellStart"/>
      <w:r w:rsidRPr="00007B7D">
        <w:t>allégations</w:t>
      </w:r>
      <w:proofErr w:type="spellEnd"/>
      <w:r w:rsidRPr="00007B7D">
        <w:t xml:space="preserve"> </w:t>
      </w:r>
      <w:proofErr w:type="spellStart"/>
      <w:r w:rsidRPr="00007B7D">
        <w:t>sont</w:t>
      </w:r>
      <w:proofErr w:type="spellEnd"/>
      <w:r w:rsidRPr="00007B7D">
        <w:t xml:space="preserve"> </w:t>
      </w:r>
      <w:proofErr w:type="spellStart"/>
      <w:r w:rsidRPr="00007B7D">
        <w:t>clairement</w:t>
      </w:r>
      <w:proofErr w:type="spellEnd"/>
      <w:r w:rsidRPr="00007B7D">
        <w:t xml:space="preserve"> </w:t>
      </w:r>
      <w:proofErr w:type="spellStart"/>
      <w:r w:rsidRPr="00007B7D">
        <w:t>portées</w:t>
      </w:r>
      <w:proofErr w:type="spellEnd"/>
      <w:r w:rsidRPr="00007B7D">
        <w:t xml:space="preserve"> à </w:t>
      </w:r>
      <w:proofErr w:type="spellStart"/>
      <w:r w:rsidRPr="00007B7D">
        <w:t>leur</w:t>
      </w:r>
      <w:proofErr w:type="spellEnd"/>
      <w:r w:rsidRPr="00007B7D">
        <w:t xml:space="preserve"> attention, sans </w:t>
      </w:r>
      <w:proofErr w:type="spellStart"/>
      <w:r w:rsidRPr="00007B7D">
        <w:t>attendre</w:t>
      </w:r>
      <w:proofErr w:type="spellEnd"/>
      <w:r w:rsidRPr="00007B7D">
        <w:t xml:space="preserve"> le </w:t>
      </w:r>
      <w:proofErr w:type="spellStart"/>
      <w:r w:rsidRPr="00007B7D">
        <w:t>dépôt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</w:t>
      </w:r>
      <w:proofErr w:type="spellStart"/>
      <w:r w:rsidRPr="00007B7D">
        <w:t>plainte</w:t>
      </w:r>
      <w:proofErr w:type="spellEnd"/>
      <w:r w:rsidRPr="00007B7D">
        <w:t xml:space="preserve"> </w:t>
      </w:r>
      <w:proofErr w:type="spellStart"/>
      <w:r w:rsidRPr="00007B7D">
        <w:t>officielle</w:t>
      </w:r>
      <w:proofErr w:type="spellEnd"/>
      <w:r w:rsidRPr="00007B7D">
        <w:t xml:space="preserve"> (</w:t>
      </w:r>
      <w:bookmarkStart w:id="7" w:name="_cl11748"/>
      <w:proofErr w:type="spellStart"/>
      <w:r w:rsidRPr="00007B7D">
        <w:rPr>
          <w:i/>
          <w:iCs/>
        </w:rPr>
        <w:t>Membres</w:t>
      </w:r>
      <w:proofErr w:type="spellEnd"/>
      <w:r w:rsidRPr="00007B7D">
        <w:rPr>
          <w:i/>
          <w:iCs/>
        </w:rPr>
        <w:t xml:space="preserve"> de la </w:t>
      </w:r>
      <w:proofErr w:type="spellStart"/>
      <w:r w:rsidRPr="00007B7D">
        <w:rPr>
          <w:i/>
          <w:iCs/>
        </w:rPr>
        <w:t>Congrégation</w:t>
      </w:r>
      <w:proofErr w:type="spellEnd"/>
      <w:r w:rsidRPr="00007B7D">
        <w:rPr>
          <w:i/>
          <w:iCs/>
        </w:rPr>
        <w:t xml:space="preserve"> des </w:t>
      </w:r>
      <w:proofErr w:type="spellStart"/>
      <w:r w:rsidRPr="00007B7D">
        <w:rPr>
          <w:i/>
          <w:iCs/>
        </w:rPr>
        <w:t>témoins</w:t>
      </w:r>
      <w:proofErr w:type="spellEnd"/>
      <w:r w:rsidRPr="00007B7D">
        <w:rPr>
          <w:i/>
          <w:iCs/>
        </w:rPr>
        <w:t xml:space="preserve"> de </w:t>
      </w:r>
      <w:proofErr w:type="spellStart"/>
      <w:r w:rsidRPr="00007B7D">
        <w:rPr>
          <w:i/>
          <w:iCs/>
        </w:rPr>
        <w:t>Jéhovah</w:t>
      </w:r>
      <w:proofErr w:type="spellEnd"/>
      <w:r w:rsidRPr="00007B7D">
        <w:rPr>
          <w:i/>
          <w:iCs/>
        </w:rPr>
        <w:t xml:space="preserve"> de </w:t>
      </w:r>
      <w:proofErr w:type="spellStart"/>
      <w:r w:rsidRPr="00007B7D">
        <w:rPr>
          <w:i/>
          <w:iCs/>
        </w:rPr>
        <w:t>Gldani</w:t>
      </w:r>
      <w:proofErr w:type="spellEnd"/>
      <w:r w:rsidRPr="00007B7D">
        <w:rPr>
          <w:i/>
          <w:iCs/>
        </w:rPr>
        <w:t xml:space="preserve"> et 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Géorgie</w:t>
      </w:r>
      <w:bookmarkEnd w:id="7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71156/01, §§ 97 et 112-114, 3 </w:t>
      </w:r>
      <w:proofErr w:type="spellStart"/>
      <w:r w:rsidRPr="00007B7D">
        <w:t>mai</w:t>
      </w:r>
      <w:proofErr w:type="spellEnd"/>
      <w:r w:rsidRPr="00007B7D">
        <w:t xml:space="preserve"> 2007). </w:t>
      </w:r>
      <w:r w:rsidRPr="00007B7D">
        <w:rPr>
          <w:rFonts w:ascii="Times New Roman" w:hAnsi="Times New Roman" w:cs="Times New Roman"/>
        </w:rPr>
        <w:t xml:space="preserve">La </w:t>
      </w:r>
      <w:proofErr w:type="spellStart"/>
      <w:r w:rsidRPr="00007B7D">
        <w:rPr>
          <w:rFonts w:ascii="Times New Roman" w:hAnsi="Times New Roman" w:cs="Times New Roman"/>
        </w:rPr>
        <w:t>Cour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rappelle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également</w:t>
      </w:r>
      <w:proofErr w:type="spellEnd"/>
      <w:r w:rsidRPr="00007B7D">
        <w:rPr>
          <w:rFonts w:ascii="Times New Roman" w:hAnsi="Times New Roman" w:cs="Times New Roman"/>
        </w:rPr>
        <w:t xml:space="preserve"> que le respect de </w:t>
      </w:r>
      <w:proofErr w:type="spellStart"/>
      <w:r w:rsidRPr="00007B7D">
        <w:rPr>
          <w:rFonts w:ascii="Times New Roman" w:hAnsi="Times New Roman" w:cs="Times New Roman"/>
        </w:rPr>
        <w:t>l’exigence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procédurale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l’article</w:t>
      </w:r>
      <w:proofErr w:type="spellEnd"/>
      <w:r w:rsidRPr="00007B7D">
        <w:rPr>
          <w:rFonts w:ascii="Times New Roman" w:hAnsi="Times New Roman" w:cs="Times New Roman"/>
        </w:rPr>
        <w:t xml:space="preserve"> 3 </w:t>
      </w:r>
      <w:proofErr w:type="spellStart"/>
      <w:r w:rsidRPr="00007B7D">
        <w:rPr>
          <w:rFonts w:ascii="Times New Roman" w:hAnsi="Times New Roman" w:cs="Times New Roman"/>
        </w:rPr>
        <w:t>est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évalué</w:t>
      </w:r>
      <w:proofErr w:type="spellEnd"/>
      <w:r w:rsidRPr="00007B7D">
        <w:rPr>
          <w:rFonts w:ascii="Times New Roman" w:hAnsi="Times New Roman" w:cs="Times New Roman"/>
        </w:rPr>
        <w:t xml:space="preserve"> sur la base de </w:t>
      </w:r>
      <w:proofErr w:type="spellStart"/>
      <w:r w:rsidRPr="00007B7D">
        <w:rPr>
          <w:rFonts w:ascii="Times New Roman" w:hAnsi="Times New Roman" w:cs="Times New Roman"/>
        </w:rPr>
        <w:t>plusieurs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paramètres</w:t>
      </w:r>
      <w:proofErr w:type="spellEnd"/>
      <w:r w:rsidRPr="00007B7D">
        <w:rPr>
          <w:rFonts w:ascii="Times New Roman" w:hAnsi="Times New Roman" w:cs="Times New Roman"/>
        </w:rPr>
        <w:t xml:space="preserve">, de </w:t>
      </w:r>
      <w:proofErr w:type="spellStart"/>
      <w:r w:rsidRPr="00007B7D">
        <w:rPr>
          <w:rFonts w:ascii="Times New Roman" w:hAnsi="Times New Roman" w:cs="Times New Roman"/>
        </w:rPr>
        <w:t>sorte</w:t>
      </w:r>
      <w:proofErr w:type="spellEnd"/>
      <w:r w:rsidRPr="00007B7D">
        <w:rPr>
          <w:rFonts w:ascii="Times New Roman" w:hAnsi="Times New Roman" w:cs="Times New Roman"/>
        </w:rPr>
        <w:t xml:space="preserve"> que </w:t>
      </w:r>
      <w:proofErr w:type="spellStart"/>
      <w:r w:rsidRPr="00007B7D">
        <w:rPr>
          <w:rFonts w:ascii="Times New Roman" w:hAnsi="Times New Roman" w:cs="Times New Roman"/>
        </w:rPr>
        <w:t>si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chacun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ces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éléments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interdépendants</w:t>
      </w:r>
      <w:proofErr w:type="spellEnd"/>
      <w:r w:rsidRPr="00007B7D">
        <w:rPr>
          <w:rFonts w:ascii="Times New Roman" w:hAnsi="Times New Roman" w:cs="Times New Roman"/>
        </w:rPr>
        <w:t xml:space="preserve">, pris </w:t>
      </w:r>
      <w:proofErr w:type="spellStart"/>
      <w:r w:rsidRPr="00007B7D">
        <w:rPr>
          <w:rFonts w:ascii="Times New Roman" w:hAnsi="Times New Roman" w:cs="Times New Roman"/>
        </w:rPr>
        <w:t>séparément</w:t>
      </w:r>
      <w:proofErr w:type="spellEnd"/>
      <w:r w:rsidRPr="00007B7D">
        <w:rPr>
          <w:rFonts w:ascii="Times New Roman" w:hAnsi="Times New Roman" w:cs="Times New Roman"/>
        </w:rPr>
        <w:t xml:space="preserve">, ne </w:t>
      </w:r>
      <w:proofErr w:type="spellStart"/>
      <w:r w:rsidRPr="00007B7D">
        <w:rPr>
          <w:rFonts w:ascii="Times New Roman" w:hAnsi="Times New Roman" w:cs="Times New Roman"/>
        </w:rPr>
        <w:t>constitue</w:t>
      </w:r>
      <w:proofErr w:type="spellEnd"/>
      <w:r w:rsidRPr="00007B7D">
        <w:rPr>
          <w:rFonts w:ascii="Times New Roman" w:hAnsi="Times New Roman" w:cs="Times New Roman"/>
        </w:rPr>
        <w:t xml:space="preserve"> pas </w:t>
      </w:r>
      <w:proofErr w:type="spellStart"/>
      <w:r w:rsidRPr="00007B7D">
        <w:rPr>
          <w:rFonts w:ascii="Times New Roman" w:hAnsi="Times New Roman" w:cs="Times New Roman"/>
        </w:rPr>
        <w:t>une</w:t>
      </w:r>
      <w:proofErr w:type="spellEnd"/>
      <w:r w:rsidRPr="00007B7D">
        <w:rPr>
          <w:rFonts w:ascii="Times New Roman" w:hAnsi="Times New Roman" w:cs="Times New Roman"/>
        </w:rPr>
        <w:t xml:space="preserve"> fin </w:t>
      </w:r>
      <w:proofErr w:type="spellStart"/>
      <w:r w:rsidRPr="00007B7D">
        <w:rPr>
          <w:rFonts w:ascii="Times New Roman" w:hAnsi="Times New Roman" w:cs="Times New Roman"/>
        </w:rPr>
        <w:t>en</w:t>
      </w:r>
      <w:proofErr w:type="spellEnd"/>
      <w:r w:rsidRPr="00007B7D">
        <w:rPr>
          <w:rFonts w:ascii="Times New Roman" w:hAnsi="Times New Roman" w:cs="Times New Roman"/>
        </w:rPr>
        <w:t xml:space="preserve"> soi, </w:t>
      </w:r>
      <w:proofErr w:type="spellStart"/>
      <w:r w:rsidRPr="00007B7D">
        <w:rPr>
          <w:rFonts w:ascii="Times New Roman" w:hAnsi="Times New Roman" w:cs="Times New Roman"/>
        </w:rPr>
        <w:t>ils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permettent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lorsqu’ils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sont</w:t>
      </w:r>
      <w:proofErr w:type="spellEnd"/>
      <w:r w:rsidRPr="00007B7D">
        <w:rPr>
          <w:rFonts w:ascii="Times New Roman" w:hAnsi="Times New Roman" w:cs="Times New Roman"/>
        </w:rPr>
        <w:t xml:space="preserve"> pris </w:t>
      </w:r>
      <w:proofErr w:type="spellStart"/>
      <w:r w:rsidRPr="00007B7D">
        <w:rPr>
          <w:rFonts w:ascii="Times New Roman" w:hAnsi="Times New Roman" w:cs="Times New Roman"/>
        </w:rPr>
        <w:t>conjointement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d’évaluer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l’efficacité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globale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enquête</w:t>
      </w:r>
      <w:proofErr w:type="spellEnd"/>
      <w:r w:rsidRPr="00007B7D">
        <w:rPr>
          <w:rFonts w:ascii="Times New Roman" w:hAnsi="Times New Roman" w:cs="Times New Roman"/>
        </w:rPr>
        <w:t xml:space="preserve"> (</w:t>
      </w:r>
      <w:proofErr w:type="spellStart"/>
      <w:r w:rsidRPr="00007B7D">
        <w:rPr>
          <w:rFonts w:ascii="Times New Roman" w:hAnsi="Times New Roman" w:cs="Times New Roman"/>
        </w:rPr>
        <w:t>voir</w:t>
      </w:r>
      <w:proofErr w:type="spellEnd"/>
      <w:r w:rsidRPr="00007B7D">
        <w:rPr>
          <w:rFonts w:ascii="Times New Roman" w:hAnsi="Times New Roman" w:cs="Times New Roman"/>
        </w:rPr>
        <w:t xml:space="preserve">, par </w:t>
      </w:r>
      <w:proofErr w:type="spellStart"/>
      <w:r w:rsidRPr="00007B7D">
        <w:rPr>
          <w:rFonts w:ascii="Times New Roman" w:hAnsi="Times New Roman" w:cs="Times New Roman"/>
        </w:rPr>
        <w:t>exemple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r w:rsidRPr="00007B7D">
        <w:rPr>
          <w:rFonts w:ascii="Times New Roman" w:hAnsi="Times New Roman" w:cs="Times New Roman"/>
          <w:i/>
          <w:iCs/>
        </w:rPr>
        <w:t xml:space="preserve">M.B. et </w:t>
      </w:r>
      <w:proofErr w:type="spellStart"/>
      <w:r w:rsidRPr="00007B7D">
        <w:rPr>
          <w:rFonts w:ascii="Times New Roman" w:hAnsi="Times New Roman" w:cs="Times New Roman"/>
          <w:i/>
          <w:iCs/>
        </w:rPr>
        <w:t>autres</w:t>
      </w:r>
      <w:proofErr w:type="spellEnd"/>
      <w:r w:rsidRPr="00007B7D">
        <w:rPr>
          <w:rFonts w:ascii="Times New Roman" w:hAnsi="Times New Roman" w:cs="Times New Roman"/>
          <w:i/>
          <w:iCs/>
        </w:rPr>
        <w:t xml:space="preserve"> c. </w:t>
      </w:r>
      <w:proofErr w:type="spellStart"/>
      <w:r w:rsidRPr="00007B7D">
        <w:rPr>
          <w:rFonts w:ascii="Times New Roman" w:hAnsi="Times New Roman" w:cs="Times New Roman"/>
          <w:i/>
          <w:iCs/>
        </w:rPr>
        <w:t>Slovaquie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r w:rsidRPr="00007B7D">
        <w:rPr>
          <w:rFonts w:ascii="Times New Roman" w:hAnsi="Times New Roman" w:cs="Times New Roman"/>
          <w:i/>
          <w:iCs/>
        </w:rPr>
        <w:t>(n</w:t>
      </w:r>
      <w:r w:rsidRPr="00007B7D">
        <w:rPr>
          <w:rFonts w:ascii="Times New Roman" w:hAnsi="Times New Roman" w:cs="Times New Roman"/>
          <w:i/>
          <w:iCs/>
          <w:vertAlign w:val="superscript"/>
        </w:rPr>
        <w:t>o</w:t>
      </w:r>
      <w:r w:rsidRPr="00007B7D">
        <w:rPr>
          <w:rFonts w:ascii="Times New Roman" w:hAnsi="Times New Roman" w:cs="Times New Roman"/>
          <w:i/>
          <w:iCs/>
        </w:rPr>
        <w:t> 2)</w:t>
      </w:r>
      <w:r w:rsidRPr="00007B7D">
        <w:rPr>
          <w:rFonts w:ascii="Times New Roman" w:hAnsi="Times New Roman" w:cs="Times New Roman"/>
        </w:rPr>
        <w:t>, n</w:t>
      </w:r>
      <w:r w:rsidRPr="00007B7D">
        <w:rPr>
          <w:rFonts w:ascii="Times New Roman" w:hAnsi="Times New Roman" w:cs="Times New Roman"/>
          <w:vertAlign w:val="superscript"/>
        </w:rPr>
        <w:t>o</w:t>
      </w:r>
      <w:r w:rsidRPr="00007B7D">
        <w:rPr>
          <w:rFonts w:ascii="Times New Roman" w:hAnsi="Times New Roman" w:cs="Times New Roman"/>
        </w:rPr>
        <w:t> 63962/19, § 55, 7 </w:t>
      </w:r>
      <w:proofErr w:type="spellStart"/>
      <w:r w:rsidRPr="00007B7D">
        <w:rPr>
          <w:rFonts w:ascii="Times New Roman" w:hAnsi="Times New Roman" w:cs="Times New Roman"/>
        </w:rPr>
        <w:t>février</w:t>
      </w:r>
      <w:proofErr w:type="spellEnd"/>
      <w:r w:rsidRPr="00007B7D">
        <w:rPr>
          <w:rFonts w:ascii="Times New Roman" w:hAnsi="Times New Roman" w:cs="Times New Roman"/>
        </w:rPr>
        <w:t xml:space="preserve"> 2023, et </w:t>
      </w:r>
      <w:proofErr w:type="spellStart"/>
      <w:r w:rsidRPr="00007B7D">
        <w:rPr>
          <w:rFonts w:ascii="Times New Roman" w:hAnsi="Times New Roman" w:cs="Times New Roman"/>
          <w:i/>
          <w:iCs/>
        </w:rPr>
        <w:t>Panayotopoulos</w:t>
      </w:r>
      <w:proofErr w:type="spellEnd"/>
      <w:r w:rsidRPr="00007B7D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Pr="00007B7D">
        <w:rPr>
          <w:rFonts w:ascii="Times New Roman" w:hAnsi="Times New Roman" w:cs="Times New Roman"/>
          <w:i/>
          <w:iCs/>
        </w:rPr>
        <w:t>autres</w:t>
      </w:r>
      <w:proofErr w:type="spellEnd"/>
      <w:r w:rsidRPr="00007B7D">
        <w:rPr>
          <w:rFonts w:ascii="Times New Roman" w:hAnsi="Times New Roman" w:cs="Times New Roman"/>
          <w:i/>
          <w:iCs/>
        </w:rPr>
        <w:t xml:space="preserve"> c. </w:t>
      </w:r>
      <w:proofErr w:type="spellStart"/>
      <w:r w:rsidRPr="00007B7D">
        <w:rPr>
          <w:rFonts w:ascii="Times New Roman" w:hAnsi="Times New Roman" w:cs="Times New Roman"/>
          <w:i/>
          <w:iCs/>
        </w:rPr>
        <w:t>Grèce</w:t>
      </w:r>
      <w:proofErr w:type="spellEnd"/>
      <w:r w:rsidRPr="00007B7D">
        <w:rPr>
          <w:rFonts w:ascii="Times New Roman" w:hAnsi="Times New Roman" w:cs="Times New Roman"/>
        </w:rPr>
        <w:t>, n</w:t>
      </w:r>
      <w:r w:rsidRPr="00007B7D">
        <w:rPr>
          <w:rFonts w:ascii="Times New Roman" w:hAnsi="Times New Roman" w:cs="Times New Roman"/>
          <w:vertAlign w:val="superscript"/>
        </w:rPr>
        <w:t>o</w:t>
      </w:r>
      <w:r w:rsidRPr="00007B7D">
        <w:rPr>
          <w:rFonts w:ascii="Times New Roman" w:hAnsi="Times New Roman" w:cs="Times New Roman"/>
        </w:rPr>
        <w:t> 44758/20, § 104, 21 </w:t>
      </w:r>
      <w:proofErr w:type="spellStart"/>
      <w:r w:rsidRPr="00007B7D">
        <w:rPr>
          <w:rFonts w:ascii="Times New Roman" w:hAnsi="Times New Roman" w:cs="Times New Roman"/>
        </w:rPr>
        <w:t>janvier</w:t>
      </w:r>
      <w:proofErr w:type="spellEnd"/>
      <w:r w:rsidRPr="00007B7D">
        <w:rPr>
          <w:rFonts w:ascii="Times New Roman" w:hAnsi="Times New Roman" w:cs="Times New Roman"/>
        </w:rPr>
        <w:t xml:space="preserve"> 2025). </w:t>
      </w:r>
      <w:r w:rsidRPr="00007B7D">
        <w:t xml:space="preserve">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procède</w:t>
      </w:r>
      <w:proofErr w:type="spellEnd"/>
      <w:r w:rsidRPr="00007B7D">
        <w:t xml:space="preserve"> à son examen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considérant</w:t>
      </w:r>
      <w:proofErr w:type="spellEnd"/>
      <w:r w:rsidRPr="00007B7D">
        <w:t xml:space="preserve"> la </w:t>
      </w:r>
      <w:proofErr w:type="spellStart"/>
      <w:r w:rsidRPr="00007B7D">
        <w:t>procédure</w:t>
      </w:r>
      <w:proofErr w:type="spellEnd"/>
      <w:r w:rsidRPr="00007B7D">
        <w:t xml:space="preserve"> interne dans son ensemble (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§§ 71 et 81).</w:t>
      </w:r>
    </w:p>
    <w:p w14:paraId="7AD5CFF8" w14:textId="77777777" w:rsidR="005D5C86" w:rsidRPr="00007B7D" w:rsidRDefault="005D5C86" w:rsidP="005D5C86">
      <w:pPr>
        <w:pStyle w:val="ECHRPara"/>
      </w:pPr>
      <w:r w:rsidRPr="00007B7D">
        <w:rPr>
          <w:rFonts w:ascii="Times New Roman" w:hAnsi="Times New Roman" w:cs="Times New Roman"/>
        </w:rPr>
        <w:fldChar w:fldCharType="begin"/>
      </w:r>
      <w:r w:rsidRPr="00007B7D">
        <w:rPr>
          <w:rFonts w:ascii="Times New Roman" w:hAnsi="Times New Roman" w:cs="Times New Roman"/>
        </w:rPr>
        <w:instrText xml:space="preserve"> SEQ level0 \*arabic \* MERGEFORMAT </w:instrText>
      </w:r>
      <w:r w:rsidRPr="00007B7D">
        <w:rPr>
          <w:rFonts w:ascii="Times New Roman" w:hAnsi="Times New Roman" w:cs="Times New Roman"/>
        </w:rPr>
        <w:fldChar w:fldCharType="separate"/>
      </w:r>
      <w:r w:rsidRPr="00007B7D">
        <w:rPr>
          <w:rFonts w:ascii="Times New Roman" w:hAnsi="Times New Roman" w:cs="Times New Roman"/>
          <w:noProof/>
        </w:rPr>
        <w:t>138</w:t>
      </w:r>
      <w:r w:rsidRPr="00007B7D">
        <w:rPr>
          <w:rFonts w:ascii="Times New Roman" w:hAnsi="Times New Roman" w:cs="Times New Roman"/>
        </w:rPr>
        <w:fldChar w:fldCharType="end"/>
      </w:r>
      <w:r w:rsidRPr="00007B7D">
        <w:rPr>
          <w:rFonts w:ascii="Times New Roman" w:hAnsi="Times New Roman" w:cs="Times New Roman"/>
        </w:rPr>
        <w:t xml:space="preserve">.  Dans son </w:t>
      </w:r>
      <w:proofErr w:type="spellStart"/>
      <w:r w:rsidRPr="00007B7D">
        <w:rPr>
          <w:rFonts w:ascii="Times New Roman" w:hAnsi="Times New Roman" w:cs="Times New Roman"/>
        </w:rPr>
        <w:t>appréciation</w:t>
      </w:r>
      <w:proofErr w:type="spellEnd"/>
      <w:r w:rsidRPr="00007B7D">
        <w:rPr>
          <w:rFonts w:ascii="Times New Roman" w:hAnsi="Times New Roman" w:cs="Times New Roman"/>
        </w:rPr>
        <w:t xml:space="preserve"> du respect par </w:t>
      </w:r>
      <w:proofErr w:type="spellStart"/>
      <w:r w:rsidRPr="00007B7D">
        <w:rPr>
          <w:rFonts w:ascii="Times New Roman" w:hAnsi="Times New Roman" w:cs="Times New Roman"/>
        </w:rPr>
        <w:t>l’État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ses</w:t>
      </w:r>
      <w:proofErr w:type="spellEnd"/>
      <w:r w:rsidRPr="00007B7D">
        <w:rPr>
          <w:rFonts w:ascii="Times New Roman" w:hAnsi="Times New Roman" w:cs="Times New Roman"/>
        </w:rPr>
        <w:t xml:space="preserve"> obligations positives, la </w:t>
      </w:r>
      <w:proofErr w:type="spellStart"/>
      <w:r w:rsidRPr="00007B7D">
        <w:rPr>
          <w:rFonts w:ascii="Times New Roman" w:hAnsi="Times New Roman" w:cs="Times New Roman"/>
        </w:rPr>
        <w:t>Cour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tient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compte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l’importance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protéger</w:t>
      </w:r>
      <w:proofErr w:type="spellEnd"/>
      <w:r w:rsidRPr="00007B7D">
        <w:rPr>
          <w:rFonts w:ascii="Times New Roman" w:hAnsi="Times New Roman" w:cs="Times New Roman"/>
        </w:rPr>
        <w:t xml:space="preserve"> les droits des </w:t>
      </w:r>
      <w:proofErr w:type="spellStart"/>
      <w:r w:rsidRPr="00007B7D">
        <w:rPr>
          <w:rFonts w:ascii="Times New Roman" w:hAnsi="Times New Roman" w:cs="Times New Roman"/>
        </w:rPr>
        <w:t>victimes</w:t>
      </w:r>
      <w:proofErr w:type="spellEnd"/>
      <w:r w:rsidRPr="00007B7D">
        <w:rPr>
          <w:rFonts w:ascii="Times New Roman" w:hAnsi="Times New Roman" w:cs="Times New Roman"/>
        </w:rPr>
        <w:t xml:space="preserve">. </w:t>
      </w:r>
      <w:r w:rsidRPr="00007B7D">
        <w:rPr>
          <w:rFonts w:ascii="Times New Roman" w:hAnsi="Times New Roman" w:cs="Times New Roman"/>
          <w:color w:val="000000"/>
        </w:rPr>
        <w:t xml:space="preserve">Les </w:t>
      </w:r>
      <w:proofErr w:type="spellStart"/>
      <w:r w:rsidRPr="00007B7D">
        <w:rPr>
          <w:rFonts w:ascii="Times New Roman" w:hAnsi="Times New Roman" w:cs="Times New Roman"/>
          <w:color w:val="000000"/>
        </w:rPr>
        <w:t>procédures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pénales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relatives à des infractions à </w:t>
      </w:r>
      <w:proofErr w:type="spellStart"/>
      <w:r w:rsidRPr="00007B7D">
        <w:rPr>
          <w:rFonts w:ascii="Times New Roman" w:hAnsi="Times New Roman" w:cs="Times New Roman"/>
          <w:color w:val="000000"/>
        </w:rPr>
        <w:t>caractère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sexuel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sont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souvent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vécues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comme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une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épreuve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par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07B7D">
        <w:rPr>
          <w:rFonts w:ascii="Times New Roman" w:hAnsi="Times New Roman" w:cs="Times New Roman"/>
          <w:color w:val="000000"/>
        </w:rPr>
        <w:t>victime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7B7D">
        <w:rPr>
          <w:rFonts w:ascii="Times New Roman" w:hAnsi="Times New Roman" w:cs="Times New Roman"/>
          <w:color w:val="000000"/>
        </w:rPr>
        <w:t>en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particulier </w:t>
      </w:r>
      <w:proofErr w:type="spellStart"/>
      <w:r w:rsidRPr="00007B7D">
        <w:rPr>
          <w:rFonts w:ascii="Times New Roman" w:hAnsi="Times New Roman" w:cs="Times New Roman"/>
          <w:color w:val="000000"/>
        </w:rPr>
        <w:t>lorsque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celle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-ci </w:t>
      </w:r>
      <w:proofErr w:type="spellStart"/>
      <w:r w:rsidRPr="00007B7D">
        <w:rPr>
          <w:rFonts w:ascii="Times New Roman" w:hAnsi="Times New Roman" w:cs="Times New Roman"/>
          <w:color w:val="000000"/>
        </w:rPr>
        <w:t>est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confrontée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7B7D">
        <w:rPr>
          <w:rFonts w:ascii="Times New Roman" w:hAnsi="Times New Roman" w:cs="Times New Roman"/>
          <w:color w:val="000000"/>
        </w:rPr>
        <w:t>contre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son </w:t>
      </w:r>
      <w:proofErr w:type="spellStart"/>
      <w:r w:rsidRPr="00007B7D">
        <w:rPr>
          <w:rFonts w:ascii="Times New Roman" w:hAnsi="Times New Roman" w:cs="Times New Roman"/>
          <w:color w:val="000000"/>
        </w:rPr>
        <w:t>gré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au </w:t>
      </w:r>
      <w:proofErr w:type="spellStart"/>
      <w:r w:rsidRPr="00007B7D">
        <w:rPr>
          <w:rFonts w:ascii="Times New Roman" w:hAnsi="Times New Roman" w:cs="Times New Roman"/>
          <w:color w:val="000000"/>
        </w:rPr>
        <w:t>prévenu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(</w:t>
      </w:r>
      <w:r w:rsidRPr="00007B7D">
        <w:rPr>
          <w:rFonts w:ascii="Times New Roman" w:hAnsi="Times New Roman" w:cs="Times New Roman"/>
          <w:i/>
          <w:iCs/>
          <w:color w:val="000000"/>
        </w:rPr>
        <w:t>Y. c. </w:t>
      </w:r>
      <w:proofErr w:type="spellStart"/>
      <w:r w:rsidRPr="00007B7D">
        <w:rPr>
          <w:rFonts w:ascii="Times New Roman" w:hAnsi="Times New Roman" w:cs="Times New Roman"/>
          <w:i/>
          <w:iCs/>
          <w:color w:val="000000"/>
        </w:rPr>
        <w:t>Slovénie</w:t>
      </w:r>
      <w:proofErr w:type="spellEnd"/>
      <w:r w:rsidRPr="00007B7D">
        <w:rPr>
          <w:rFonts w:ascii="Times New Roman" w:hAnsi="Times New Roman" w:cs="Times New Roman"/>
          <w:color w:val="000000"/>
        </w:rPr>
        <w:t>, n</w:t>
      </w:r>
      <w:r w:rsidRPr="00007B7D">
        <w:rPr>
          <w:rFonts w:ascii="Times New Roman" w:hAnsi="Times New Roman" w:cs="Times New Roman"/>
          <w:color w:val="000000"/>
          <w:vertAlign w:val="superscript"/>
        </w:rPr>
        <w:t>o</w:t>
      </w:r>
      <w:r w:rsidRPr="00007B7D">
        <w:rPr>
          <w:rFonts w:ascii="Times New Roman" w:hAnsi="Times New Roman" w:cs="Times New Roman"/>
          <w:color w:val="000000"/>
        </w:rPr>
        <w:t> </w:t>
      </w:r>
      <w:r w:rsidRPr="00007B7D">
        <w:rPr>
          <w:rFonts w:ascii="Times New Roman" w:hAnsi="Times New Roman" w:cs="Times New Roman"/>
        </w:rPr>
        <w:t>41107/10</w:t>
      </w:r>
      <w:r w:rsidRPr="00007B7D">
        <w:rPr>
          <w:rFonts w:ascii="Times New Roman" w:hAnsi="Times New Roman" w:cs="Times New Roman"/>
          <w:color w:val="000000"/>
        </w:rPr>
        <w:t>, § 103, 28 </w:t>
      </w:r>
      <w:proofErr w:type="spellStart"/>
      <w:r w:rsidRPr="00007B7D">
        <w:rPr>
          <w:rFonts w:ascii="Times New Roman" w:hAnsi="Times New Roman" w:cs="Times New Roman"/>
          <w:color w:val="000000"/>
        </w:rPr>
        <w:t>mai</w:t>
      </w:r>
      <w:proofErr w:type="spellEnd"/>
      <w:r w:rsidRPr="00007B7D">
        <w:rPr>
          <w:rFonts w:ascii="Times New Roman" w:hAnsi="Times New Roman" w:cs="Times New Roman"/>
          <w:color w:val="000000"/>
        </w:rPr>
        <w:t xml:space="preserve"> 2015, et </w:t>
      </w:r>
      <w:r w:rsidRPr="00007B7D">
        <w:rPr>
          <w:rFonts w:ascii="Times New Roman" w:hAnsi="Times New Roman" w:cs="Times New Roman"/>
          <w:i/>
          <w:iCs/>
        </w:rPr>
        <w:t>X c. </w:t>
      </w:r>
      <w:proofErr w:type="spellStart"/>
      <w:r w:rsidRPr="00007B7D">
        <w:rPr>
          <w:rFonts w:ascii="Times New Roman" w:hAnsi="Times New Roman" w:cs="Times New Roman"/>
          <w:i/>
          <w:iCs/>
        </w:rPr>
        <w:t>Grèce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précité</w:t>
      </w:r>
      <w:proofErr w:type="spellEnd"/>
      <w:r w:rsidRPr="00007B7D">
        <w:rPr>
          <w:rFonts w:ascii="Times New Roman" w:hAnsi="Times New Roman" w:cs="Times New Roman"/>
        </w:rPr>
        <w:t>, § 70</w:t>
      </w:r>
      <w:r w:rsidRPr="00007B7D">
        <w:rPr>
          <w:rFonts w:ascii="Times New Roman" w:hAnsi="Times New Roman" w:cs="Times New Roman"/>
          <w:color w:val="000000"/>
        </w:rPr>
        <w:t xml:space="preserve">). </w:t>
      </w:r>
      <w:r w:rsidRPr="00007B7D">
        <w:rPr>
          <w:rFonts w:ascii="Times New Roman" w:hAnsi="Times New Roman" w:cs="Times New Roman"/>
        </w:rPr>
        <w:t xml:space="preserve">Dans la </w:t>
      </w:r>
      <w:proofErr w:type="spellStart"/>
      <w:r w:rsidRPr="00007B7D">
        <w:rPr>
          <w:rFonts w:ascii="Times New Roman" w:hAnsi="Times New Roman" w:cs="Times New Roman"/>
        </w:rPr>
        <w:t>conduite</w:t>
      </w:r>
      <w:proofErr w:type="spellEnd"/>
      <w:r w:rsidRPr="00007B7D">
        <w:rPr>
          <w:rFonts w:ascii="Times New Roman" w:hAnsi="Times New Roman" w:cs="Times New Roman"/>
        </w:rPr>
        <w:t xml:space="preserve"> de la </w:t>
      </w:r>
      <w:proofErr w:type="spellStart"/>
      <w:r w:rsidRPr="00007B7D">
        <w:rPr>
          <w:rFonts w:ascii="Times New Roman" w:hAnsi="Times New Roman" w:cs="Times New Roman"/>
        </w:rPr>
        <w:t>procédure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en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parallèle</w:t>
      </w:r>
      <w:proofErr w:type="spellEnd"/>
      <w:r w:rsidRPr="00007B7D">
        <w:rPr>
          <w:rFonts w:ascii="Times New Roman" w:hAnsi="Times New Roman" w:cs="Times New Roman"/>
        </w:rPr>
        <w:t xml:space="preserve"> avec le respect</w:t>
      </w:r>
      <w:r w:rsidRPr="00007B7D">
        <w:t xml:space="preserve"> </w:t>
      </w:r>
      <w:proofErr w:type="spellStart"/>
      <w:r w:rsidRPr="00007B7D">
        <w:t>effectif</w:t>
      </w:r>
      <w:proofErr w:type="spellEnd"/>
      <w:r w:rsidRPr="00007B7D">
        <w:t xml:space="preserve"> des droits de la </w:t>
      </w:r>
      <w:proofErr w:type="spellStart"/>
      <w:r w:rsidRPr="00007B7D">
        <w:t>défense</w:t>
      </w:r>
      <w:proofErr w:type="spellEnd"/>
      <w:r w:rsidRPr="00007B7D">
        <w:t xml:space="preserve">,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judiciaires</w:t>
      </w:r>
      <w:proofErr w:type="spellEnd"/>
      <w:r w:rsidRPr="00007B7D">
        <w:t xml:space="preserve"> </w:t>
      </w:r>
      <w:proofErr w:type="spellStart"/>
      <w:r w:rsidRPr="00007B7D">
        <w:t>doivent</w:t>
      </w:r>
      <w:proofErr w:type="spellEnd"/>
      <w:r w:rsidRPr="00007B7D">
        <w:t xml:space="preserve"> </w:t>
      </w:r>
      <w:proofErr w:type="spellStart"/>
      <w:r w:rsidRPr="00007B7D">
        <w:t>veiller</w:t>
      </w:r>
      <w:proofErr w:type="spellEnd"/>
      <w:r w:rsidRPr="00007B7D">
        <w:t xml:space="preserve"> à </w:t>
      </w:r>
      <w:proofErr w:type="spellStart"/>
      <w:r w:rsidRPr="00007B7D">
        <w:t>protéger</w:t>
      </w:r>
      <w:proofErr w:type="spellEnd"/>
      <w:r w:rsidRPr="00007B7D">
        <w:t xml:space="preserve"> </w:t>
      </w:r>
      <w:proofErr w:type="spellStart"/>
      <w:r w:rsidRPr="00007B7D">
        <w:t>l’image</w:t>
      </w:r>
      <w:proofErr w:type="spellEnd"/>
      <w:r w:rsidRPr="00007B7D">
        <w:t xml:space="preserve">, la </w:t>
      </w:r>
      <w:proofErr w:type="spellStart"/>
      <w:r w:rsidRPr="00007B7D">
        <w:t>dignité</w:t>
      </w:r>
      <w:proofErr w:type="spellEnd"/>
      <w:r w:rsidRPr="00007B7D">
        <w:t xml:space="preserve"> et la vie </w:t>
      </w:r>
      <w:proofErr w:type="spellStart"/>
      <w:r w:rsidRPr="00007B7D">
        <w:t>privée</w:t>
      </w:r>
      <w:proofErr w:type="spellEnd"/>
      <w:r w:rsidRPr="00007B7D">
        <w:t xml:space="preserve"> des </w:t>
      </w:r>
      <w:proofErr w:type="spellStart"/>
      <w:r w:rsidRPr="00007B7D">
        <w:t>victimes</w:t>
      </w:r>
      <w:proofErr w:type="spellEnd"/>
      <w:r w:rsidRPr="00007B7D">
        <w:t xml:space="preserve"> </w:t>
      </w:r>
      <w:proofErr w:type="spellStart"/>
      <w:r w:rsidRPr="00007B7D">
        <w:t>présumées</w:t>
      </w:r>
      <w:proofErr w:type="spellEnd"/>
      <w:r w:rsidRPr="00007B7D">
        <w:t xml:space="preserve">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, y </w:t>
      </w:r>
      <w:proofErr w:type="spellStart"/>
      <w:r w:rsidRPr="00007B7D">
        <w:t>compris</w:t>
      </w:r>
      <w:proofErr w:type="spellEnd"/>
      <w:r w:rsidRPr="00007B7D">
        <w:t xml:space="preserve"> </w:t>
      </w:r>
      <w:proofErr w:type="spellStart"/>
      <w:r w:rsidRPr="00007B7D">
        <w:t>par</w:t>
      </w:r>
      <w:proofErr w:type="spellEnd"/>
      <w:r w:rsidRPr="00007B7D">
        <w:t xml:space="preserve"> la non</w:t>
      </w:r>
      <w:r w:rsidRPr="00007B7D">
        <w:noBreakHyphen/>
        <w:t xml:space="preserve">divulgation </w:t>
      </w:r>
      <w:proofErr w:type="spellStart"/>
      <w:r w:rsidRPr="00007B7D">
        <w:t>d’informations</w:t>
      </w:r>
      <w:proofErr w:type="spellEnd"/>
      <w:r w:rsidRPr="00007B7D">
        <w:t xml:space="preserve"> et de </w:t>
      </w:r>
      <w:proofErr w:type="spellStart"/>
      <w:r w:rsidRPr="00007B7D">
        <w:t>données</w:t>
      </w:r>
      <w:proofErr w:type="spellEnd"/>
      <w:r w:rsidRPr="00007B7D">
        <w:t xml:space="preserve"> </w:t>
      </w:r>
      <w:proofErr w:type="spellStart"/>
      <w:r w:rsidRPr="00007B7D">
        <w:t>personnelles</w:t>
      </w:r>
      <w:proofErr w:type="spellEnd"/>
      <w:r w:rsidRPr="00007B7D">
        <w:t xml:space="preserve"> sans relation avec les faits. Aux </w:t>
      </w:r>
      <w:proofErr w:type="spellStart"/>
      <w:r w:rsidRPr="00007B7D">
        <w:t>yeux</w:t>
      </w:r>
      <w:proofErr w:type="spellEnd"/>
      <w:r w:rsidRPr="00007B7D">
        <w:t xml:space="preserve"> de la </w:t>
      </w:r>
      <w:proofErr w:type="spellStart"/>
      <w:r w:rsidRPr="00007B7D">
        <w:t>Cour</w:t>
      </w:r>
      <w:proofErr w:type="spellEnd"/>
      <w:r w:rsidRPr="00007B7D">
        <w:t xml:space="preserve">, il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essentiel</w:t>
      </w:r>
      <w:proofErr w:type="spellEnd"/>
      <w:r w:rsidRPr="00007B7D">
        <w:t xml:space="preserve"> </w:t>
      </w:r>
      <w:proofErr w:type="spellStart"/>
      <w:r w:rsidRPr="00007B7D">
        <w:t>qu’elles</w:t>
      </w:r>
      <w:proofErr w:type="spellEnd"/>
      <w:r w:rsidRPr="00007B7D">
        <w:t xml:space="preserve"> </w:t>
      </w:r>
      <w:proofErr w:type="spellStart"/>
      <w:r w:rsidRPr="00007B7D">
        <w:t>évitent</w:t>
      </w:r>
      <w:proofErr w:type="spellEnd"/>
      <w:r w:rsidRPr="00007B7D">
        <w:t xml:space="preserve"> de </w:t>
      </w:r>
      <w:proofErr w:type="spellStart"/>
      <w:r w:rsidRPr="00007B7D">
        <w:t>reproduire</w:t>
      </w:r>
      <w:proofErr w:type="spellEnd"/>
      <w:r w:rsidRPr="00007B7D">
        <w:t xml:space="preserve"> des </w:t>
      </w:r>
      <w:proofErr w:type="spellStart"/>
      <w:r w:rsidRPr="00007B7D">
        <w:t>stéréotypes</w:t>
      </w:r>
      <w:proofErr w:type="spellEnd"/>
      <w:r w:rsidRPr="00007B7D">
        <w:t xml:space="preserve"> </w:t>
      </w:r>
      <w:proofErr w:type="spellStart"/>
      <w:r w:rsidRPr="00007B7D">
        <w:t>sexistes</w:t>
      </w:r>
      <w:proofErr w:type="spellEnd"/>
      <w:r w:rsidRPr="00007B7D">
        <w:t xml:space="preserve"> dans les </w:t>
      </w:r>
      <w:proofErr w:type="spellStart"/>
      <w:r w:rsidRPr="00007B7D">
        <w:t>décisions</w:t>
      </w:r>
      <w:proofErr w:type="spellEnd"/>
      <w:r w:rsidRPr="00007B7D">
        <w:t xml:space="preserve"> de justice, de minimiser les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contre</w:t>
      </w:r>
      <w:proofErr w:type="spellEnd"/>
      <w:r w:rsidRPr="00007B7D">
        <w:t xml:space="preserve"> le genre et </w:t>
      </w:r>
      <w:proofErr w:type="spellStart"/>
      <w:r w:rsidRPr="00007B7D">
        <w:t>d’exposer</w:t>
      </w:r>
      <w:proofErr w:type="spellEnd"/>
      <w:r w:rsidRPr="00007B7D">
        <w:t xml:space="preserve"> les femmes à </w:t>
      </w:r>
      <w:proofErr w:type="spellStart"/>
      <w:r w:rsidRPr="00007B7D">
        <w:t>une</w:t>
      </w:r>
      <w:proofErr w:type="spellEnd"/>
      <w:r w:rsidRPr="00007B7D">
        <w:t xml:space="preserve"> victimisation </w:t>
      </w:r>
      <w:proofErr w:type="spellStart"/>
      <w:r w:rsidRPr="00007B7D">
        <w:t>secondaire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utilisant</w:t>
      </w:r>
      <w:proofErr w:type="spellEnd"/>
      <w:r w:rsidRPr="00007B7D">
        <w:t xml:space="preserve"> des </w:t>
      </w:r>
      <w:proofErr w:type="spellStart"/>
      <w:r w:rsidRPr="00007B7D">
        <w:t>propos</w:t>
      </w:r>
      <w:proofErr w:type="spellEnd"/>
      <w:r w:rsidRPr="00007B7D">
        <w:t xml:space="preserve"> </w:t>
      </w:r>
      <w:proofErr w:type="spellStart"/>
      <w:r w:rsidRPr="00007B7D">
        <w:t>culpabilisants</w:t>
      </w:r>
      <w:proofErr w:type="spellEnd"/>
      <w:r w:rsidRPr="00007B7D">
        <w:t xml:space="preserve"> et </w:t>
      </w:r>
      <w:proofErr w:type="spellStart"/>
      <w:r w:rsidRPr="00007B7D">
        <w:t>moralisants</w:t>
      </w:r>
      <w:proofErr w:type="spellEnd"/>
      <w:r w:rsidRPr="00007B7D">
        <w:t xml:space="preserve"> </w:t>
      </w:r>
      <w:proofErr w:type="spellStart"/>
      <w:r w:rsidRPr="00007B7D">
        <w:t>propres</w:t>
      </w:r>
      <w:proofErr w:type="spellEnd"/>
      <w:r w:rsidRPr="00007B7D">
        <w:t xml:space="preserve"> à </w:t>
      </w:r>
      <w:proofErr w:type="spellStart"/>
      <w:r w:rsidRPr="00007B7D">
        <w:t>décourager</w:t>
      </w:r>
      <w:proofErr w:type="spellEnd"/>
      <w:r w:rsidRPr="00007B7D">
        <w:t xml:space="preserve"> la </w:t>
      </w:r>
      <w:proofErr w:type="spellStart"/>
      <w:r w:rsidRPr="00007B7D">
        <w:t>confiance</w:t>
      </w:r>
      <w:proofErr w:type="spellEnd"/>
      <w:r w:rsidRPr="00007B7D">
        <w:t xml:space="preserve"> des </w:t>
      </w:r>
      <w:proofErr w:type="spellStart"/>
      <w:r w:rsidRPr="00007B7D">
        <w:t>victimes</w:t>
      </w:r>
      <w:proofErr w:type="spellEnd"/>
      <w:r w:rsidRPr="00007B7D">
        <w:t xml:space="preserve"> dans la justice (</w:t>
      </w:r>
      <w:r w:rsidRPr="00007B7D">
        <w:rPr>
          <w:i/>
          <w:iCs/>
        </w:rPr>
        <w:t>Y. c. </w:t>
      </w:r>
      <w:proofErr w:type="spellStart"/>
      <w:r w:rsidRPr="00007B7D">
        <w:rPr>
          <w:i/>
          <w:iCs/>
        </w:rPr>
        <w:t>Slovénie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97 et 101</w:t>
      </w:r>
      <w:r w:rsidRPr="00007B7D">
        <w:noBreakHyphen/>
        <w:t xml:space="preserve">104, et </w:t>
      </w:r>
      <w:r w:rsidRPr="00007B7D">
        <w:rPr>
          <w:i/>
          <w:iCs/>
        </w:rPr>
        <w:t>J.L. c. Italie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§§ 137-141).</w:t>
      </w:r>
    </w:p>
    <w:p w14:paraId="77985F8A" w14:textId="77777777" w:rsidR="005D5C86" w:rsidRPr="00007B7D" w:rsidRDefault="005D5C86" w:rsidP="005D5C86">
      <w:pPr>
        <w:pStyle w:val="ECHRPara"/>
        <w:rPr>
          <w:rFonts w:ascii="Times New Roman" w:hAnsi="Times New Roman" w:cs="Times New Roman"/>
        </w:rPr>
      </w:pPr>
      <w:r w:rsidRPr="00007B7D">
        <w:rPr>
          <w:rFonts w:ascii="Times New Roman" w:hAnsi="Times New Roman" w:cs="Times New Roman"/>
        </w:rPr>
        <w:lastRenderedPageBreak/>
        <w:fldChar w:fldCharType="begin"/>
      </w:r>
      <w:r w:rsidRPr="00007B7D">
        <w:rPr>
          <w:rFonts w:ascii="Times New Roman" w:hAnsi="Times New Roman" w:cs="Times New Roman"/>
        </w:rPr>
        <w:instrText xml:space="preserve"> SEQ level0 \*arabic \* MERGEFORMAT </w:instrText>
      </w:r>
      <w:r w:rsidRPr="00007B7D">
        <w:rPr>
          <w:rFonts w:ascii="Times New Roman" w:hAnsi="Times New Roman" w:cs="Times New Roman"/>
        </w:rPr>
        <w:fldChar w:fldCharType="separate"/>
      </w:r>
      <w:r w:rsidRPr="00007B7D">
        <w:rPr>
          <w:rFonts w:ascii="Times New Roman" w:hAnsi="Times New Roman" w:cs="Times New Roman"/>
          <w:noProof/>
        </w:rPr>
        <w:t>139</w:t>
      </w:r>
      <w:r w:rsidRPr="00007B7D">
        <w:rPr>
          <w:rFonts w:ascii="Times New Roman" w:hAnsi="Times New Roman" w:cs="Times New Roman"/>
        </w:rPr>
        <w:fldChar w:fldCharType="end"/>
      </w:r>
      <w:r w:rsidRPr="00007B7D">
        <w:rPr>
          <w:rFonts w:ascii="Times New Roman" w:hAnsi="Times New Roman" w:cs="Times New Roman"/>
        </w:rPr>
        <w:t>.  </w:t>
      </w:r>
      <w:proofErr w:type="spellStart"/>
      <w:r w:rsidRPr="00007B7D">
        <w:rPr>
          <w:rFonts w:ascii="Times New Roman" w:hAnsi="Times New Roman" w:cs="Times New Roman"/>
        </w:rPr>
        <w:t>Lorsque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l’enquête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gramStart"/>
      <w:r w:rsidRPr="00007B7D">
        <w:rPr>
          <w:rFonts w:ascii="Times New Roman" w:hAnsi="Times New Roman" w:cs="Times New Roman"/>
        </w:rPr>
        <w:t>a</w:t>
      </w:r>
      <w:proofErr w:type="gram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entraîné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l’engagement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poursuites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devant</w:t>
      </w:r>
      <w:proofErr w:type="spellEnd"/>
      <w:r w:rsidRPr="00007B7D">
        <w:rPr>
          <w:rFonts w:ascii="Times New Roman" w:hAnsi="Times New Roman" w:cs="Times New Roman"/>
        </w:rPr>
        <w:t xml:space="preserve"> les </w:t>
      </w:r>
      <w:proofErr w:type="spellStart"/>
      <w:r w:rsidRPr="00007B7D">
        <w:rPr>
          <w:rFonts w:ascii="Times New Roman" w:hAnsi="Times New Roman" w:cs="Times New Roman"/>
        </w:rPr>
        <w:t>juridictions</w:t>
      </w:r>
      <w:proofErr w:type="spellEnd"/>
      <w:r w:rsidRPr="00007B7D">
        <w:rPr>
          <w:rFonts w:ascii="Times New Roman" w:hAnsi="Times New Roman" w:cs="Times New Roman"/>
        </w:rPr>
        <w:t xml:space="preserve"> internes, </w:t>
      </w:r>
      <w:proofErr w:type="spellStart"/>
      <w:r w:rsidRPr="00007B7D">
        <w:rPr>
          <w:rFonts w:ascii="Times New Roman" w:hAnsi="Times New Roman" w:cs="Times New Roman"/>
        </w:rPr>
        <w:t>cette</w:t>
      </w:r>
      <w:proofErr w:type="spellEnd"/>
      <w:r w:rsidRPr="00007B7D">
        <w:rPr>
          <w:rFonts w:ascii="Times New Roman" w:hAnsi="Times New Roman" w:cs="Times New Roman"/>
        </w:rPr>
        <w:t xml:space="preserve"> obligation </w:t>
      </w:r>
      <w:proofErr w:type="spellStart"/>
      <w:r w:rsidRPr="00007B7D">
        <w:rPr>
          <w:rFonts w:ascii="Times New Roman" w:hAnsi="Times New Roman" w:cs="Times New Roman"/>
        </w:rPr>
        <w:t>procédurale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s’étend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également</w:t>
      </w:r>
      <w:proofErr w:type="spellEnd"/>
      <w:r w:rsidRPr="00007B7D">
        <w:rPr>
          <w:rFonts w:ascii="Times New Roman" w:hAnsi="Times New Roman" w:cs="Times New Roman"/>
        </w:rPr>
        <w:t xml:space="preserve"> à la phase de </w:t>
      </w:r>
      <w:proofErr w:type="spellStart"/>
      <w:r w:rsidRPr="00007B7D">
        <w:rPr>
          <w:rFonts w:ascii="Times New Roman" w:hAnsi="Times New Roman" w:cs="Times New Roman"/>
        </w:rPr>
        <w:t>jugement</w:t>
      </w:r>
      <w:proofErr w:type="spellEnd"/>
      <w:r w:rsidRPr="00007B7D">
        <w:rPr>
          <w:rFonts w:ascii="Times New Roman" w:hAnsi="Times New Roman" w:cs="Times New Roman"/>
        </w:rPr>
        <w:t xml:space="preserve"> (</w:t>
      </w:r>
      <w:r w:rsidRPr="00007B7D">
        <w:rPr>
          <w:rFonts w:ascii="Times New Roman" w:hAnsi="Times New Roman" w:cs="Times New Roman"/>
          <w:i/>
          <w:iCs/>
        </w:rPr>
        <w:t>Z c. </w:t>
      </w:r>
      <w:proofErr w:type="spellStart"/>
      <w:r w:rsidRPr="00007B7D">
        <w:rPr>
          <w:rFonts w:ascii="Times New Roman" w:hAnsi="Times New Roman" w:cs="Times New Roman"/>
          <w:i/>
          <w:iCs/>
        </w:rPr>
        <w:t>Bulgarie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précité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r w:rsidRPr="00007B7D">
        <w:t xml:space="preserve">§ 67 et </w:t>
      </w:r>
      <w:proofErr w:type="spellStart"/>
      <w:r w:rsidRPr="00007B7D">
        <w:t>références</w:t>
      </w:r>
      <w:proofErr w:type="spellEnd"/>
      <w:r w:rsidRPr="00007B7D">
        <w:t xml:space="preserve"> </w:t>
      </w:r>
      <w:proofErr w:type="spellStart"/>
      <w:r w:rsidRPr="00007B7D">
        <w:t>citées</w:t>
      </w:r>
      <w:proofErr w:type="spellEnd"/>
      <w:r w:rsidRPr="00007B7D">
        <w:rPr>
          <w:rFonts w:ascii="Times New Roman" w:hAnsi="Times New Roman" w:cs="Times New Roman"/>
        </w:rPr>
        <w:t>).</w:t>
      </w:r>
    </w:p>
    <w:p w14:paraId="2B963A7A" w14:textId="77777777" w:rsidR="005D5C86" w:rsidRPr="00007B7D" w:rsidRDefault="005D5C86" w:rsidP="005D5C86">
      <w:pPr>
        <w:pStyle w:val="ECHRHeading6"/>
        <w:numPr>
          <w:ilvl w:val="0"/>
          <w:numId w:val="21"/>
        </w:numPr>
        <w:ind w:left="1373" w:hanging="335"/>
      </w:pPr>
      <w:r w:rsidRPr="00007B7D">
        <w:t xml:space="preserve">Sur </w:t>
      </w:r>
      <w:proofErr w:type="spellStart"/>
      <w:r w:rsidRPr="00007B7D">
        <w:t>l’appréciation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 et </w:t>
      </w:r>
      <w:proofErr w:type="spellStart"/>
      <w:r w:rsidRPr="00007B7D">
        <w:t>l’établissement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environnantes</w:t>
      </w:r>
      <w:proofErr w:type="spellEnd"/>
    </w:p>
    <w:p w14:paraId="3D4E3236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140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L’enquête</w:t>
      </w:r>
      <w:proofErr w:type="spellEnd"/>
      <w:r w:rsidRPr="00007B7D">
        <w:t xml:space="preserve"> et </w:t>
      </w:r>
      <w:proofErr w:type="spellStart"/>
      <w:r w:rsidRPr="00007B7D">
        <w:t>ses</w:t>
      </w:r>
      <w:proofErr w:type="spellEnd"/>
      <w:r w:rsidRPr="00007B7D">
        <w:t xml:space="preserve"> conclusions </w:t>
      </w:r>
      <w:proofErr w:type="spellStart"/>
      <w:r w:rsidRPr="00007B7D">
        <w:t>doivent</w:t>
      </w:r>
      <w:proofErr w:type="spellEnd"/>
      <w:r w:rsidRPr="00007B7D">
        <w:t xml:space="preserve"> porter </w:t>
      </w:r>
      <w:proofErr w:type="spellStart"/>
      <w:r w:rsidRPr="00007B7D">
        <w:t>avant</w:t>
      </w:r>
      <w:proofErr w:type="spellEnd"/>
      <w:r w:rsidRPr="00007B7D">
        <w:t xml:space="preserve"> tout sur la question de </w:t>
      </w:r>
      <w:proofErr w:type="spellStart"/>
      <w:r w:rsidRPr="00007B7D">
        <w:t>l’absence</w:t>
      </w:r>
      <w:proofErr w:type="spellEnd"/>
      <w:r w:rsidRPr="00007B7D">
        <w:t xml:space="preserve"> de </w:t>
      </w:r>
      <w:proofErr w:type="spellStart"/>
      <w:r w:rsidRPr="00007B7D">
        <w:t>consentement</w:t>
      </w:r>
      <w:proofErr w:type="spellEnd"/>
      <w:r w:rsidRPr="00007B7D">
        <w:t xml:space="preserve"> (</w:t>
      </w:r>
      <w:r w:rsidRPr="00007B7D">
        <w:rPr>
          <w:i/>
          <w:iCs/>
        </w:rPr>
        <w:t>M.C.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181, </w:t>
      </w:r>
      <w:r w:rsidRPr="00007B7D">
        <w:rPr>
          <w:i/>
          <w:iCs/>
        </w:rPr>
        <w:t>M.G.C. 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72,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75, et </w:t>
      </w:r>
      <w:r w:rsidRPr="00007B7D">
        <w:rPr>
          <w:i/>
          <w:iCs/>
        </w:rPr>
        <w:t>N.Ç. c. </w:t>
      </w:r>
      <w:proofErr w:type="spellStart"/>
      <w:r w:rsidRPr="00007B7D">
        <w:rPr>
          <w:i/>
          <w:iCs/>
        </w:rPr>
        <w:t>Turquie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115). </w:t>
      </w:r>
      <w:proofErr w:type="spellStart"/>
      <w:r w:rsidRPr="00007B7D">
        <w:t>Celui</w:t>
      </w:r>
      <w:proofErr w:type="spellEnd"/>
      <w:r w:rsidRPr="00007B7D">
        <w:t xml:space="preserve">-ci doit </w:t>
      </w:r>
      <w:proofErr w:type="spellStart"/>
      <w:r w:rsidRPr="00007B7D">
        <w:t>traduire</w:t>
      </w:r>
      <w:proofErr w:type="spellEnd"/>
      <w:r w:rsidRPr="00007B7D">
        <w:t xml:space="preserve"> la libre </w:t>
      </w:r>
      <w:proofErr w:type="spellStart"/>
      <w:r w:rsidRPr="00007B7D">
        <w:t>volonté</w:t>
      </w:r>
      <w:proofErr w:type="spellEnd"/>
      <w:r w:rsidRPr="00007B7D">
        <w:t xml:space="preserve"> </w:t>
      </w:r>
      <w:proofErr w:type="spellStart"/>
      <w:r w:rsidRPr="00007B7D">
        <w:t>d’avoir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relation </w:t>
      </w:r>
      <w:proofErr w:type="spellStart"/>
      <w:r w:rsidRPr="00007B7D">
        <w:t>sexuelle</w:t>
      </w:r>
      <w:proofErr w:type="spellEnd"/>
      <w:r w:rsidRPr="00007B7D">
        <w:t xml:space="preserve"> </w:t>
      </w:r>
      <w:proofErr w:type="spellStart"/>
      <w:r w:rsidRPr="00007B7D">
        <w:t>déterminée</w:t>
      </w:r>
      <w:proofErr w:type="spellEnd"/>
      <w:r w:rsidRPr="00007B7D">
        <w:t xml:space="preserve">, au moment </w:t>
      </w:r>
      <w:proofErr w:type="spellStart"/>
      <w:r w:rsidRPr="00007B7D">
        <w:t>où</w:t>
      </w:r>
      <w:proofErr w:type="spellEnd"/>
      <w:r w:rsidRPr="00007B7D">
        <w:t xml:space="preserve">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intervient</w:t>
      </w:r>
      <w:proofErr w:type="spellEnd"/>
      <w:r w:rsidRPr="00007B7D">
        <w:t xml:space="preserve"> et </w:t>
      </w:r>
      <w:proofErr w:type="spellStart"/>
      <w:r w:rsidRPr="00007B7D">
        <w:t>en</w:t>
      </w:r>
      <w:proofErr w:type="spellEnd"/>
      <w:r w:rsidRPr="00007B7D">
        <w:t xml:space="preserve"> tenant </w:t>
      </w:r>
      <w:proofErr w:type="spellStart"/>
      <w:r w:rsidRPr="00007B7D">
        <w:t>compte</w:t>
      </w:r>
      <w:proofErr w:type="spellEnd"/>
      <w:r w:rsidRPr="00007B7D">
        <w:t xml:space="preserve">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circonstances</w:t>
      </w:r>
      <w:proofErr w:type="spellEnd"/>
      <w:r w:rsidRPr="00007B7D">
        <w:t xml:space="preserve"> (</w:t>
      </w:r>
      <w:r w:rsidRPr="00007B7D">
        <w:rPr>
          <w:i/>
          <w:iCs/>
        </w:rPr>
        <w:t>H.W. c. France</w:t>
      </w:r>
      <w:r w:rsidRPr="00007B7D">
        <w:t>, n</w:t>
      </w:r>
      <w:r w:rsidRPr="00007B7D">
        <w:rPr>
          <w:vertAlign w:val="superscript"/>
        </w:rPr>
        <w:t>o</w:t>
      </w:r>
      <w:r w:rsidRPr="00007B7D">
        <w:t> 13805/21, § 91, 23 </w:t>
      </w:r>
      <w:proofErr w:type="spellStart"/>
      <w:r w:rsidRPr="00007B7D">
        <w:t>janvier</w:t>
      </w:r>
      <w:proofErr w:type="spellEnd"/>
      <w:r w:rsidRPr="00007B7D">
        <w:t xml:space="preserve"> 2025),</w:t>
      </w:r>
    </w:p>
    <w:p w14:paraId="7BE91DE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141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Même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pratique, il </w:t>
      </w:r>
      <w:proofErr w:type="spellStart"/>
      <w:r w:rsidRPr="00007B7D">
        <w:t>peut</w:t>
      </w:r>
      <w:proofErr w:type="spellEnd"/>
      <w:r w:rsidRPr="00007B7D">
        <w:t xml:space="preserve"> </w:t>
      </w:r>
      <w:proofErr w:type="spellStart"/>
      <w:r w:rsidRPr="00007B7D">
        <w:t>parfois</w:t>
      </w:r>
      <w:proofErr w:type="spellEnd"/>
      <w:r w:rsidRPr="00007B7D">
        <w:t xml:space="preserve"> </w:t>
      </w:r>
      <w:proofErr w:type="spellStart"/>
      <w:r w:rsidRPr="00007B7D">
        <w:t>s’avérer</w:t>
      </w:r>
      <w:proofErr w:type="spellEnd"/>
      <w:r w:rsidRPr="00007B7D">
        <w:t xml:space="preserve"> difficile de </w:t>
      </w:r>
      <w:proofErr w:type="spellStart"/>
      <w:r w:rsidRPr="00007B7D">
        <w:t>prouver</w:t>
      </w:r>
      <w:proofErr w:type="spellEnd"/>
      <w:r w:rsidRPr="00007B7D">
        <w:t xml:space="preserve"> </w:t>
      </w:r>
      <w:proofErr w:type="spellStart"/>
      <w:r w:rsidRPr="00007B7D">
        <w:t>l’absence</w:t>
      </w:r>
      <w:proofErr w:type="spellEnd"/>
      <w:r w:rsidRPr="00007B7D">
        <w:t xml:space="preserve"> de </w:t>
      </w:r>
      <w:proofErr w:type="spellStart"/>
      <w:r w:rsidRPr="00007B7D">
        <w:t>consentement</w:t>
      </w:r>
      <w:proofErr w:type="spellEnd"/>
      <w:r w:rsidRPr="00007B7D">
        <w:t xml:space="preserve"> sans </w:t>
      </w:r>
      <w:proofErr w:type="spellStart"/>
      <w:r w:rsidRPr="00007B7D">
        <w:t>preuves</w:t>
      </w:r>
      <w:proofErr w:type="spellEnd"/>
      <w:r w:rsidRPr="00007B7D">
        <w:t xml:space="preserve"> « </w:t>
      </w:r>
      <w:proofErr w:type="spellStart"/>
      <w:r w:rsidRPr="00007B7D">
        <w:t>directes</w:t>
      </w:r>
      <w:proofErr w:type="spellEnd"/>
      <w:r w:rsidRPr="00007B7D">
        <w:t xml:space="preserve"> » de viol, </w:t>
      </w:r>
      <w:proofErr w:type="spellStart"/>
      <w:r w:rsidRPr="00007B7D">
        <w:t>comme</w:t>
      </w:r>
      <w:proofErr w:type="spellEnd"/>
      <w:r w:rsidRPr="00007B7D">
        <w:t xml:space="preserve"> des traces de violence </w:t>
      </w:r>
      <w:proofErr w:type="spellStart"/>
      <w:r w:rsidRPr="00007B7D">
        <w:t>ou</w:t>
      </w:r>
      <w:proofErr w:type="spellEnd"/>
      <w:r w:rsidRPr="00007B7D">
        <w:t xml:space="preserve"> des </w:t>
      </w:r>
      <w:proofErr w:type="spellStart"/>
      <w:r w:rsidRPr="00007B7D">
        <w:t>témoins</w:t>
      </w:r>
      <w:proofErr w:type="spellEnd"/>
      <w:r w:rsidRPr="00007B7D">
        <w:t xml:space="preserve"> directs,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n’en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pas </w:t>
      </w:r>
      <w:proofErr w:type="spellStart"/>
      <w:r w:rsidRPr="00007B7D">
        <w:t>moins</w:t>
      </w:r>
      <w:proofErr w:type="spellEnd"/>
      <w:r w:rsidRPr="00007B7D">
        <w:t xml:space="preserve"> </w:t>
      </w:r>
      <w:proofErr w:type="spellStart"/>
      <w:r w:rsidRPr="00007B7D">
        <w:t>l’obligation</w:t>
      </w:r>
      <w:proofErr w:type="spellEnd"/>
      <w:r w:rsidRPr="00007B7D">
        <w:t xml:space="preserve"> </w:t>
      </w:r>
      <w:proofErr w:type="spellStart"/>
      <w:r w:rsidRPr="00007B7D">
        <w:t>d’examiner</w:t>
      </w:r>
      <w:proofErr w:type="spellEnd"/>
      <w:r w:rsidRPr="00007B7D">
        <w:t xml:space="preserve"> </w:t>
      </w:r>
      <w:proofErr w:type="spellStart"/>
      <w:r w:rsidRPr="00007B7D">
        <w:t>tous</w:t>
      </w:r>
      <w:proofErr w:type="spellEnd"/>
      <w:r w:rsidRPr="00007B7D">
        <w:t xml:space="preserve"> les faits </w:t>
      </w:r>
      <w:proofErr w:type="spellStart"/>
      <w:r w:rsidRPr="00007B7D">
        <w:t>pertinents</w:t>
      </w:r>
      <w:proofErr w:type="spellEnd"/>
      <w:r w:rsidRPr="00007B7D">
        <w:t xml:space="preserve"> et de </w:t>
      </w:r>
      <w:proofErr w:type="spellStart"/>
      <w:r w:rsidRPr="00007B7D">
        <w:t>statuer</w:t>
      </w:r>
      <w:proofErr w:type="spellEnd"/>
      <w:r w:rsidRPr="00007B7D">
        <w:t xml:space="preserve"> après </w:t>
      </w:r>
      <w:proofErr w:type="spellStart"/>
      <w:r w:rsidRPr="00007B7D">
        <w:t>s’être</w:t>
      </w:r>
      <w:proofErr w:type="spellEnd"/>
      <w:r w:rsidRPr="00007B7D">
        <w:t xml:space="preserve"> </w:t>
      </w:r>
      <w:proofErr w:type="spellStart"/>
      <w:r w:rsidRPr="00007B7D">
        <w:t>livrées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appréciation</w:t>
      </w:r>
      <w:proofErr w:type="spellEnd"/>
      <w:r w:rsidRPr="00007B7D">
        <w:t xml:space="preserve"> de </w:t>
      </w:r>
      <w:proofErr w:type="spellStart"/>
      <w:r w:rsidRPr="00007B7D">
        <w:t>l’ensemble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des faits (</w:t>
      </w:r>
      <w:r w:rsidRPr="00007B7D">
        <w:rPr>
          <w:i/>
          <w:iCs/>
        </w:rPr>
        <w:t>M.C.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181,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rPr>
          <w:i/>
          <w:iCs/>
        </w:rPr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74, </w:t>
      </w:r>
      <w:r w:rsidRPr="00007B7D">
        <w:rPr>
          <w:i/>
          <w:iCs/>
        </w:rPr>
        <w:t>M.G.C. 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72, et </w:t>
      </w:r>
      <w:bookmarkStart w:id="8" w:name="_cl44706"/>
      <w:r w:rsidRPr="00007B7D">
        <w:rPr>
          <w:i/>
          <w:iCs/>
        </w:rPr>
        <w:t>X c. Chypre</w:t>
      </w:r>
      <w:bookmarkEnd w:id="8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40733/22, § 116, 27 </w:t>
      </w:r>
      <w:proofErr w:type="spellStart"/>
      <w:r w:rsidRPr="00007B7D">
        <w:t>février</w:t>
      </w:r>
      <w:proofErr w:type="spellEnd"/>
      <w:r w:rsidRPr="00007B7D">
        <w:t xml:space="preserve"> 2025).</w:t>
      </w:r>
    </w:p>
    <w:p w14:paraId="392E04E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142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Lorsque</w:t>
      </w:r>
      <w:proofErr w:type="spellEnd"/>
      <w:r w:rsidRPr="00007B7D">
        <w:t xml:space="preserve"> des </w:t>
      </w:r>
      <w:proofErr w:type="spellStart"/>
      <w:r w:rsidRPr="00007B7D">
        <w:t>poursuites</w:t>
      </w:r>
      <w:proofErr w:type="spellEnd"/>
      <w:r w:rsidRPr="00007B7D">
        <w:t xml:space="preserve"> </w:t>
      </w:r>
      <w:proofErr w:type="spellStart"/>
      <w:r w:rsidRPr="00007B7D">
        <w:t>pénales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engagées</w:t>
      </w:r>
      <w:proofErr w:type="spellEnd"/>
      <w:r w:rsidRPr="00007B7D">
        <w:t xml:space="preserve">, il </w:t>
      </w:r>
      <w:proofErr w:type="spellStart"/>
      <w:r w:rsidRPr="00007B7D">
        <w:t>incombe</w:t>
      </w:r>
      <w:proofErr w:type="spellEnd"/>
      <w:r w:rsidRPr="00007B7D">
        <w:t xml:space="preserve"> aux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  <w:r w:rsidRPr="00007B7D">
        <w:t xml:space="preserve"> </w:t>
      </w:r>
      <w:proofErr w:type="spellStart"/>
      <w:r w:rsidRPr="00007B7D">
        <w:t>d’apprécier</w:t>
      </w:r>
      <w:proofErr w:type="spellEnd"/>
      <w:r w:rsidRPr="00007B7D">
        <w:t xml:space="preserve"> le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procédant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évaluation</w:t>
      </w:r>
      <w:proofErr w:type="spellEnd"/>
      <w:r w:rsidRPr="00007B7D">
        <w:t xml:space="preserve"> </w:t>
      </w:r>
      <w:proofErr w:type="spellStart"/>
      <w:r w:rsidRPr="00007B7D">
        <w:t>contextuelle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environnantes</w:t>
      </w:r>
      <w:proofErr w:type="spellEnd"/>
      <w:r w:rsidRPr="00007B7D">
        <w:t xml:space="preserve"> de </w:t>
      </w:r>
      <w:proofErr w:type="spellStart"/>
      <w:r w:rsidRPr="00007B7D">
        <w:t>l’espèce</w:t>
      </w:r>
      <w:proofErr w:type="spellEnd"/>
      <w:r w:rsidRPr="00007B7D">
        <w:t xml:space="preserve"> (</w:t>
      </w:r>
      <w:r w:rsidRPr="00007B7D">
        <w:rPr>
          <w:i/>
          <w:iCs/>
        </w:rPr>
        <w:t>L. et 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§§ 221, 238 et 249).</w:t>
      </w:r>
    </w:p>
    <w:p w14:paraId="357F2334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143</w:t>
      </w:r>
      <w:r w:rsidRPr="00007B7D">
        <w:rPr>
          <w:noProof/>
        </w:rPr>
        <w:fldChar w:fldCharType="end"/>
      </w:r>
      <w:r w:rsidRPr="00007B7D">
        <w:t xml:space="preserve">.  Au </w:t>
      </w:r>
      <w:proofErr w:type="spellStart"/>
      <w:r w:rsidRPr="00007B7D">
        <w:t>nombre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que la </w:t>
      </w:r>
      <w:proofErr w:type="spellStart"/>
      <w:r w:rsidRPr="00007B7D">
        <w:t>Cour</w:t>
      </w:r>
      <w:proofErr w:type="spellEnd"/>
      <w:r w:rsidRPr="00007B7D">
        <w:t xml:space="preserve"> a </w:t>
      </w:r>
      <w:proofErr w:type="spellStart"/>
      <w:r w:rsidRPr="00007B7D">
        <w:t>jugées</w:t>
      </w:r>
      <w:proofErr w:type="spellEnd"/>
      <w:r w:rsidRPr="00007B7D">
        <w:t xml:space="preserve"> </w:t>
      </w:r>
      <w:proofErr w:type="spellStart"/>
      <w:r w:rsidRPr="00007B7D">
        <w:t>pertinentes</w:t>
      </w:r>
      <w:proofErr w:type="spellEnd"/>
      <w:r w:rsidRPr="00007B7D">
        <w:t xml:space="preserve"> pour </w:t>
      </w:r>
      <w:proofErr w:type="spellStart"/>
      <w:r w:rsidRPr="00007B7D">
        <w:t>l’appréciation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, </w:t>
      </w:r>
      <w:proofErr w:type="spellStart"/>
      <w:r w:rsidRPr="00007B7D">
        <w:t>figurent</w:t>
      </w:r>
      <w:proofErr w:type="spellEnd"/>
      <w:r w:rsidRPr="00007B7D">
        <w:t xml:space="preserve"> </w:t>
      </w:r>
      <w:proofErr w:type="spellStart"/>
      <w:r w:rsidRPr="00007B7D">
        <w:t>notamment</w:t>
      </w:r>
      <w:proofErr w:type="spellEnd"/>
      <w:r w:rsidRPr="00007B7D">
        <w:t xml:space="preserve"> </w:t>
      </w:r>
      <w:proofErr w:type="spellStart"/>
      <w:r w:rsidRPr="00007B7D">
        <w:t>l’existence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relation </w:t>
      </w:r>
      <w:proofErr w:type="spellStart"/>
      <w:r w:rsidRPr="00007B7D">
        <w:t>déséquilibrée</w:t>
      </w:r>
      <w:proofErr w:type="spellEnd"/>
      <w:r w:rsidRPr="00007B7D">
        <w:t xml:space="preserve"> entre le </w:t>
      </w:r>
      <w:proofErr w:type="spellStart"/>
      <w:r w:rsidRPr="00007B7D">
        <w:t>prévenu</w:t>
      </w:r>
      <w:proofErr w:type="spellEnd"/>
      <w:r w:rsidRPr="00007B7D">
        <w:t xml:space="preserve"> et la </w:t>
      </w:r>
      <w:proofErr w:type="spellStart"/>
      <w:r w:rsidRPr="00007B7D">
        <w:t>victime</w:t>
      </w:r>
      <w:proofErr w:type="spellEnd"/>
      <w:r w:rsidRPr="00007B7D">
        <w:t xml:space="preserve"> des faits (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> 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55-61, et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221), le </w:t>
      </w:r>
      <w:proofErr w:type="spellStart"/>
      <w:r w:rsidRPr="00007B7D">
        <w:t>jeune</w:t>
      </w:r>
      <w:proofErr w:type="spellEnd"/>
      <w:r w:rsidRPr="00007B7D">
        <w:t xml:space="preserve"> </w:t>
      </w:r>
      <w:proofErr w:type="spellStart"/>
      <w:r w:rsidRPr="00007B7D">
        <w:t>âge</w:t>
      </w:r>
      <w:proofErr w:type="spellEnd"/>
      <w:r w:rsidRPr="00007B7D">
        <w:t xml:space="preserve"> de la </w:t>
      </w:r>
      <w:proofErr w:type="spellStart"/>
      <w:r w:rsidRPr="00007B7D">
        <w:t>plaignante</w:t>
      </w:r>
      <w:proofErr w:type="spellEnd"/>
      <w:r w:rsidRPr="00007B7D">
        <w:t xml:space="preserve"> et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différence</w:t>
      </w:r>
      <w:proofErr w:type="spellEnd"/>
      <w:r w:rsidRPr="00007B7D">
        <w:t xml:space="preserve"> </w:t>
      </w:r>
      <w:proofErr w:type="spellStart"/>
      <w:r w:rsidRPr="00007B7D">
        <w:t>d’âge</w:t>
      </w:r>
      <w:proofErr w:type="spellEnd"/>
      <w:r w:rsidRPr="00007B7D">
        <w:t xml:space="preserve"> avec le </w:t>
      </w:r>
      <w:proofErr w:type="spellStart"/>
      <w:r w:rsidRPr="00007B7D">
        <w:t>prévenu</w:t>
      </w:r>
      <w:proofErr w:type="spellEnd"/>
      <w:r w:rsidRPr="00007B7D">
        <w:t xml:space="preserve"> (</w:t>
      </w:r>
      <w:r w:rsidRPr="00007B7D">
        <w:rPr>
          <w:i/>
          <w:iCs/>
        </w:rPr>
        <w:t>M.C.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164 et 183, </w:t>
      </w:r>
      <w:r w:rsidRPr="00007B7D">
        <w:rPr>
          <w:i/>
          <w:iCs/>
        </w:rPr>
        <w:t>M.G.C. 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69, et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217, 221, 236 et 242), les </w:t>
      </w:r>
      <w:proofErr w:type="spellStart"/>
      <w:r w:rsidRPr="00007B7D">
        <w:t>fragilités</w:t>
      </w:r>
      <w:proofErr w:type="spellEnd"/>
      <w:r w:rsidRPr="00007B7D">
        <w:t xml:space="preserve"> </w:t>
      </w:r>
      <w:proofErr w:type="spellStart"/>
      <w:r w:rsidRPr="00007B7D">
        <w:t>psychiques</w:t>
      </w:r>
      <w:proofErr w:type="spellEnd"/>
      <w:r w:rsidRPr="00007B7D">
        <w:t xml:space="preserve"> de la </w:t>
      </w:r>
      <w:proofErr w:type="spellStart"/>
      <w:r w:rsidRPr="00007B7D">
        <w:t>victime</w:t>
      </w:r>
      <w:proofErr w:type="spellEnd"/>
      <w:r w:rsidRPr="00007B7D">
        <w:t xml:space="preserve"> et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particulière</w:t>
      </w:r>
      <w:proofErr w:type="spellEnd"/>
      <w:r w:rsidRPr="00007B7D">
        <w:t xml:space="preserve"> </w:t>
      </w:r>
      <w:proofErr w:type="spellStart"/>
      <w:r w:rsidRPr="00007B7D">
        <w:t>vulnérabilité</w:t>
      </w:r>
      <w:proofErr w:type="spellEnd"/>
      <w:r w:rsidRPr="00007B7D">
        <w:t xml:space="preserve"> (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> 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57, </w:t>
      </w:r>
      <w:bookmarkStart w:id="9" w:name="_cl44518"/>
      <w:r w:rsidRPr="00007B7D">
        <w:rPr>
          <w:i/>
          <w:iCs/>
        </w:rPr>
        <w:t>Y 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bookmarkEnd w:id="9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10145/22, § 69, 12 </w:t>
      </w:r>
      <w:proofErr w:type="spellStart"/>
      <w:r w:rsidRPr="00007B7D">
        <w:t>décembre</w:t>
      </w:r>
      <w:proofErr w:type="spellEnd"/>
      <w:r w:rsidRPr="00007B7D">
        <w:t xml:space="preserve"> 2024 et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220 et 221),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capacité</w:t>
      </w:r>
      <w:proofErr w:type="spellEnd"/>
      <w:r w:rsidRPr="00007B7D">
        <w:t xml:space="preserve"> de </w:t>
      </w:r>
      <w:proofErr w:type="spellStart"/>
      <w:r w:rsidRPr="00007B7D">
        <w:t>discernement</w:t>
      </w:r>
      <w:proofErr w:type="spellEnd"/>
      <w:r w:rsidRPr="00007B7D">
        <w:t xml:space="preserve"> (</w:t>
      </w:r>
      <w:r w:rsidRPr="00007B7D">
        <w:rPr>
          <w:i/>
          <w:iCs/>
        </w:rPr>
        <w:t>ibidem</w:t>
      </w:r>
      <w:r w:rsidRPr="00007B7D">
        <w:t xml:space="preserve">, §§ 216, 222 et 249), son manque </w:t>
      </w:r>
      <w:proofErr w:type="spellStart"/>
      <w:r w:rsidRPr="00007B7D">
        <w:t>d’expérience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matière </w:t>
      </w:r>
      <w:proofErr w:type="spellStart"/>
      <w:r w:rsidRPr="00007B7D">
        <w:t>sexuelle</w:t>
      </w:r>
      <w:proofErr w:type="spellEnd"/>
      <w:r w:rsidRPr="00007B7D">
        <w:t xml:space="preserve"> (</w:t>
      </w:r>
      <w:r w:rsidRPr="00007B7D">
        <w:rPr>
          <w:i/>
          <w:iCs/>
        </w:rPr>
        <w:t>ibidem</w:t>
      </w:r>
      <w:r w:rsidRPr="00007B7D">
        <w:t xml:space="preserve">, §§ 236 et 242), son </w:t>
      </w:r>
      <w:proofErr w:type="spellStart"/>
      <w:r w:rsidRPr="00007B7D">
        <w:t>état</w:t>
      </w:r>
      <w:proofErr w:type="spellEnd"/>
      <w:r w:rsidRPr="00007B7D">
        <w:t xml:space="preserve"> </w:t>
      </w:r>
      <w:proofErr w:type="spellStart"/>
      <w:r w:rsidRPr="00007B7D">
        <w:t>d’alcoolisation</w:t>
      </w:r>
      <w:proofErr w:type="spellEnd"/>
      <w:r w:rsidRPr="00007B7D">
        <w:t xml:space="preserve"> et </w:t>
      </w:r>
      <w:proofErr w:type="spellStart"/>
      <w:r w:rsidRPr="00007B7D">
        <w:t>d’intoxication</w:t>
      </w:r>
      <w:proofErr w:type="spellEnd"/>
      <w:r w:rsidRPr="00007B7D">
        <w:t xml:space="preserve"> (</w:t>
      </w:r>
      <w:r w:rsidRPr="00007B7D">
        <w:rPr>
          <w:i/>
          <w:iCs/>
        </w:rPr>
        <w:t>X c. </w:t>
      </w:r>
      <w:proofErr w:type="spellStart"/>
      <w:r w:rsidRPr="00007B7D">
        <w:rPr>
          <w:i/>
          <w:iCs/>
        </w:rPr>
        <w:t>Grèce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82,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</w:t>
      </w:r>
      <w:r w:rsidRPr="00007B7D">
        <w:t> </w:t>
      </w:r>
      <w:r w:rsidRPr="00007B7D">
        <w:rPr>
          <w:i/>
          <w:iCs/>
        </w:rPr>
        <w:t>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221, </w:t>
      </w:r>
      <w:r w:rsidRPr="00007B7D">
        <w:rPr>
          <w:i/>
          <w:iCs/>
        </w:rPr>
        <w:t>X c. Chypre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117), les </w:t>
      </w:r>
      <w:proofErr w:type="spellStart"/>
      <w:r w:rsidRPr="00007B7D">
        <w:t>facteurs</w:t>
      </w:r>
      <w:proofErr w:type="spellEnd"/>
      <w:r w:rsidRPr="00007B7D">
        <w:t xml:space="preserve"> </w:t>
      </w:r>
      <w:proofErr w:type="spellStart"/>
      <w:r w:rsidRPr="00007B7D">
        <w:t>expliquant</w:t>
      </w:r>
      <w:proofErr w:type="spellEnd"/>
      <w:r w:rsidRPr="00007B7D">
        <w:t xml:space="preserve"> son </w:t>
      </w:r>
      <w:proofErr w:type="spellStart"/>
      <w:r w:rsidRPr="00007B7D">
        <w:t>état</w:t>
      </w:r>
      <w:proofErr w:type="spellEnd"/>
      <w:r w:rsidRPr="00007B7D">
        <w:t xml:space="preserve"> de </w:t>
      </w:r>
      <w:proofErr w:type="spellStart"/>
      <w:r w:rsidRPr="00007B7D">
        <w:t>sidération</w:t>
      </w:r>
      <w:proofErr w:type="spellEnd"/>
      <w:r w:rsidRPr="00007B7D">
        <w:t xml:space="preserve"> au moment des faits (</w:t>
      </w:r>
      <w:r w:rsidRPr="00007B7D">
        <w:rPr>
          <w:i/>
          <w:iCs/>
        </w:rPr>
        <w:t>M.C.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§§ 156</w:t>
      </w:r>
      <w:r w:rsidRPr="00007B7D">
        <w:noBreakHyphen/>
        <w:t xml:space="preserve">166 et 183, 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76 et </w:t>
      </w:r>
      <w:r w:rsidRPr="00007B7D">
        <w:rPr>
          <w:i/>
          <w:iCs/>
        </w:rPr>
        <w:t>ibidem</w:t>
      </w:r>
      <w:r w:rsidRPr="00007B7D">
        <w:t xml:space="preserve">, §§ 242-244), </w:t>
      </w:r>
      <w:proofErr w:type="spellStart"/>
      <w:r w:rsidRPr="00007B7D">
        <w:t>ainsi</w:t>
      </w:r>
      <w:proofErr w:type="spellEnd"/>
      <w:r w:rsidRPr="00007B7D">
        <w:t xml:space="preserve"> que le </w:t>
      </w:r>
      <w:proofErr w:type="spellStart"/>
      <w:r w:rsidRPr="00007B7D">
        <w:t>retentissement</w:t>
      </w:r>
      <w:proofErr w:type="spellEnd"/>
      <w:r w:rsidRPr="00007B7D">
        <w:t xml:space="preserve"> </w:t>
      </w:r>
      <w:proofErr w:type="spellStart"/>
      <w:r w:rsidRPr="00007B7D">
        <w:t>psychologique</w:t>
      </w:r>
      <w:proofErr w:type="spellEnd"/>
      <w:r w:rsidRPr="00007B7D">
        <w:t xml:space="preserve"> des faits chez la </w:t>
      </w:r>
      <w:proofErr w:type="spellStart"/>
      <w:r w:rsidRPr="00007B7D">
        <w:t>victime</w:t>
      </w:r>
      <w:proofErr w:type="spellEnd"/>
      <w:r w:rsidRPr="00007B7D">
        <w:t xml:space="preserve"> (</w:t>
      </w:r>
      <w:r w:rsidRPr="00007B7D">
        <w:rPr>
          <w:i/>
          <w:iCs/>
        </w:rPr>
        <w:t>X c. </w:t>
      </w:r>
      <w:proofErr w:type="spellStart"/>
      <w:r w:rsidRPr="00007B7D">
        <w:rPr>
          <w:i/>
          <w:iCs/>
        </w:rPr>
        <w:t>Grèce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79 et 82, et </w:t>
      </w:r>
      <w:r w:rsidRPr="00007B7D">
        <w:rPr>
          <w:i/>
          <w:iCs/>
        </w:rPr>
        <w:t>Z 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57).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tient</w:t>
      </w:r>
      <w:proofErr w:type="spellEnd"/>
      <w:r w:rsidRPr="00007B7D">
        <w:t xml:space="preserve"> </w:t>
      </w:r>
      <w:proofErr w:type="spellStart"/>
      <w:r w:rsidRPr="00007B7D">
        <w:t>également</w:t>
      </w:r>
      <w:proofErr w:type="spellEnd"/>
      <w:r w:rsidRPr="00007B7D">
        <w:t xml:space="preserve"> </w:t>
      </w:r>
      <w:proofErr w:type="spellStart"/>
      <w:r w:rsidRPr="00007B7D">
        <w:t>compte</w:t>
      </w:r>
      <w:proofErr w:type="spellEnd"/>
      <w:r w:rsidRPr="00007B7D">
        <w:t xml:space="preserve"> du fait que </w:t>
      </w:r>
      <w:proofErr w:type="spellStart"/>
      <w:r w:rsidRPr="00007B7D">
        <w:t>l’un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l’autre</w:t>
      </w:r>
      <w:proofErr w:type="spellEnd"/>
      <w:r w:rsidRPr="00007B7D">
        <w:t xml:space="preserve"> de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éléments</w:t>
      </w:r>
      <w:proofErr w:type="spellEnd"/>
      <w:r w:rsidRPr="00007B7D">
        <w:t xml:space="preserve"> de </w:t>
      </w:r>
      <w:proofErr w:type="spellStart"/>
      <w:r w:rsidRPr="00007B7D">
        <w:t>vulnérabilité</w:t>
      </w:r>
      <w:proofErr w:type="spellEnd"/>
      <w:r w:rsidRPr="00007B7D">
        <w:t xml:space="preserve"> </w:t>
      </w:r>
      <w:r w:rsidRPr="00007B7D">
        <w:lastRenderedPageBreak/>
        <w:t xml:space="preserve">ait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connu</w:t>
      </w:r>
      <w:proofErr w:type="spellEnd"/>
      <w:r w:rsidRPr="00007B7D">
        <w:t xml:space="preserve"> de </w:t>
      </w:r>
      <w:proofErr w:type="spellStart"/>
      <w:r w:rsidRPr="00007B7D">
        <w:t>l’auteur</w:t>
      </w:r>
      <w:proofErr w:type="spellEnd"/>
      <w:r w:rsidRPr="00007B7D">
        <w:t xml:space="preserve"> des faits (</w:t>
      </w:r>
      <w:r w:rsidRPr="00007B7D">
        <w:rPr>
          <w:i/>
          <w:iCs/>
        </w:rPr>
        <w:t>ibidem</w:t>
      </w:r>
      <w:r w:rsidRPr="00007B7D">
        <w:t xml:space="preserve">, §§ 221 242) </w:t>
      </w:r>
      <w:proofErr w:type="spellStart"/>
      <w:r w:rsidRPr="00007B7D">
        <w:t>ou</w:t>
      </w:r>
      <w:proofErr w:type="spellEnd"/>
      <w:r w:rsidRPr="00007B7D">
        <w:t xml:space="preserve"> que </w:t>
      </w:r>
      <w:proofErr w:type="spellStart"/>
      <w:r w:rsidRPr="00007B7D">
        <w:t>celui</w:t>
      </w:r>
      <w:proofErr w:type="spellEnd"/>
      <w:r w:rsidRPr="00007B7D">
        <w:t xml:space="preserve">-ci ait </w:t>
      </w:r>
      <w:proofErr w:type="spellStart"/>
      <w:r w:rsidRPr="00007B7D">
        <w:t>usé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relation de </w:t>
      </w:r>
      <w:proofErr w:type="spellStart"/>
      <w:r w:rsidRPr="00007B7D">
        <w:t>confiance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de son </w:t>
      </w:r>
      <w:proofErr w:type="spellStart"/>
      <w:r w:rsidRPr="00007B7D">
        <w:t>statut</w:t>
      </w:r>
      <w:proofErr w:type="spellEnd"/>
      <w:r w:rsidRPr="00007B7D">
        <w:t xml:space="preserve"> à des fins </w:t>
      </w:r>
      <w:proofErr w:type="spellStart"/>
      <w:r w:rsidRPr="00007B7D">
        <w:t>sexuelles</w:t>
      </w:r>
      <w:proofErr w:type="spellEnd"/>
      <w:r w:rsidRPr="00007B7D">
        <w:t xml:space="preserve"> (</w:t>
      </w:r>
      <w:r w:rsidRPr="00007B7D">
        <w:rPr>
          <w:i/>
          <w:iCs/>
        </w:rPr>
        <w:t>Z c. </w:t>
      </w:r>
      <w:proofErr w:type="spellStart"/>
      <w:r w:rsidRPr="00007B7D">
        <w:rPr>
          <w:i/>
          <w:iCs/>
        </w:rPr>
        <w:t>République</w:t>
      </w:r>
      <w:proofErr w:type="spellEnd"/>
      <w:r w:rsidRPr="00007B7D">
        <w:rPr>
          <w:i/>
          <w:iCs/>
        </w:rPr>
        <w:t xml:space="preserve"> </w:t>
      </w:r>
      <w:proofErr w:type="spellStart"/>
      <w:r w:rsidRPr="00007B7D">
        <w:rPr>
          <w:i/>
          <w:iCs/>
        </w:rPr>
        <w:t>tchèque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57, et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221).</w:t>
      </w:r>
      <w:r w:rsidRPr="00007B7D">
        <w:rPr>
          <w:i/>
          <w:iCs/>
        </w:rPr>
        <w:t xml:space="preserve"> </w:t>
      </w:r>
      <w:r w:rsidRPr="00007B7D">
        <w:t xml:space="preserve">Elle </w:t>
      </w:r>
      <w:proofErr w:type="spellStart"/>
      <w:r w:rsidRPr="00007B7D">
        <w:t>prend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outre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considération</w:t>
      </w:r>
      <w:proofErr w:type="spellEnd"/>
      <w:r w:rsidRPr="00007B7D">
        <w:t xml:space="preserve"> les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propres</w:t>
      </w:r>
      <w:proofErr w:type="spellEnd"/>
      <w:r w:rsidRPr="00007B7D">
        <w:t xml:space="preserve"> à </w:t>
      </w:r>
      <w:proofErr w:type="spellStart"/>
      <w:r w:rsidRPr="00007B7D">
        <w:t>créer</w:t>
      </w:r>
      <w:proofErr w:type="spellEnd"/>
      <w:r w:rsidRPr="00007B7D">
        <w:t xml:space="preserve"> un cadre </w:t>
      </w:r>
      <w:proofErr w:type="spellStart"/>
      <w:r w:rsidRPr="00007B7D">
        <w:t>coercitif</w:t>
      </w:r>
      <w:proofErr w:type="spellEnd"/>
      <w:r w:rsidRPr="00007B7D">
        <w:t xml:space="preserve">, </w:t>
      </w:r>
      <w:proofErr w:type="spellStart"/>
      <w:r w:rsidRPr="00007B7D">
        <w:t>telles</w:t>
      </w:r>
      <w:proofErr w:type="spellEnd"/>
      <w:r w:rsidRPr="00007B7D">
        <w:t xml:space="preserve"> que le fait que la </w:t>
      </w:r>
      <w:proofErr w:type="spellStart"/>
      <w:r w:rsidRPr="00007B7D">
        <w:t>victime</w:t>
      </w:r>
      <w:proofErr w:type="spellEnd"/>
      <w:r w:rsidRPr="00007B7D">
        <w:t xml:space="preserve"> ait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conduite</w:t>
      </w:r>
      <w:proofErr w:type="spellEnd"/>
      <w:r w:rsidRPr="00007B7D">
        <w:t xml:space="preserve"> dans un lieu </w:t>
      </w:r>
      <w:proofErr w:type="spellStart"/>
      <w:r w:rsidRPr="00007B7D">
        <w:t>désert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qu’elle</w:t>
      </w:r>
      <w:proofErr w:type="spellEnd"/>
      <w:r w:rsidRPr="00007B7D">
        <w:t xml:space="preserve"> ait fait face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pluralité</w:t>
      </w:r>
      <w:proofErr w:type="spellEnd"/>
      <w:r w:rsidRPr="00007B7D">
        <w:t xml:space="preserve"> </w:t>
      </w:r>
      <w:proofErr w:type="spellStart"/>
      <w:r w:rsidRPr="00007B7D">
        <w:t>d’agresseurs</w:t>
      </w:r>
      <w:proofErr w:type="spellEnd"/>
      <w:r w:rsidRPr="00007B7D">
        <w:t xml:space="preserve"> (</w:t>
      </w:r>
      <w:r w:rsidRPr="00007B7D">
        <w:rPr>
          <w:i/>
          <w:iCs/>
        </w:rPr>
        <w:t>M.C. 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180, </w:t>
      </w:r>
      <w:r w:rsidRPr="00007B7D">
        <w:rPr>
          <w:i/>
          <w:iCs/>
        </w:rPr>
        <w:t>M.G.C. 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68, 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236, et </w:t>
      </w:r>
      <w:r w:rsidRPr="00007B7D">
        <w:rPr>
          <w:i/>
          <w:iCs/>
        </w:rPr>
        <w:t>X c. Chypre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117).</w:t>
      </w:r>
    </w:p>
    <w:p w14:paraId="69766372" w14:textId="77777777" w:rsidR="005D5C86" w:rsidRPr="00007B7D" w:rsidRDefault="005D5C86" w:rsidP="005D5C86">
      <w:pPr>
        <w:pStyle w:val="ECHRHeading6"/>
        <w:numPr>
          <w:ilvl w:val="0"/>
          <w:numId w:val="21"/>
        </w:numPr>
        <w:ind w:left="1373" w:hanging="335"/>
        <w:rPr>
          <w:rFonts w:ascii="Times New Roman" w:hAnsi="Times New Roman" w:cs="Times New Roman"/>
        </w:rPr>
      </w:pPr>
      <w:r w:rsidRPr="00007B7D">
        <w:t xml:space="preserve">Sur les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commises</w:t>
      </w:r>
      <w:proofErr w:type="spellEnd"/>
      <w:r w:rsidRPr="00007B7D">
        <w:t xml:space="preserve"> dans le cadre </w:t>
      </w:r>
      <w:proofErr w:type="spellStart"/>
      <w:r w:rsidRPr="00007B7D">
        <w:t>professionnel</w:t>
      </w:r>
      <w:proofErr w:type="spellEnd"/>
    </w:p>
    <w:p w14:paraId="7DD1F948" w14:textId="77777777" w:rsidR="005D5C86" w:rsidRPr="00007B7D" w:rsidRDefault="005D5C86" w:rsidP="005D5C86">
      <w:pPr>
        <w:pStyle w:val="ECHRPara"/>
      </w:pPr>
      <w:r w:rsidRPr="00007B7D">
        <w:rPr>
          <w:rFonts w:ascii="Times New Roman" w:hAnsi="Times New Roman" w:cs="Times New Roman"/>
        </w:rPr>
        <w:fldChar w:fldCharType="begin"/>
      </w:r>
      <w:r w:rsidRPr="00007B7D">
        <w:rPr>
          <w:rFonts w:ascii="Times New Roman" w:hAnsi="Times New Roman" w:cs="Times New Roman"/>
        </w:rPr>
        <w:instrText xml:space="preserve"> SEQ level0 \*arabic \* MERGEFORMAT </w:instrText>
      </w:r>
      <w:r w:rsidRPr="00007B7D">
        <w:rPr>
          <w:rFonts w:ascii="Times New Roman" w:hAnsi="Times New Roman" w:cs="Times New Roman"/>
        </w:rPr>
        <w:fldChar w:fldCharType="separate"/>
      </w:r>
      <w:r w:rsidRPr="00007B7D">
        <w:rPr>
          <w:rFonts w:ascii="Times New Roman" w:hAnsi="Times New Roman" w:cs="Times New Roman"/>
          <w:noProof/>
        </w:rPr>
        <w:t>144</w:t>
      </w:r>
      <w:r w:rsidRPr="00007B7D">
        <w:rPr>
          <w:rFonts w:ascii="Times New Roman" w:hAnsi="Times New Roman" w:cs="Times New Roman"/>
        </w:rPr>
        <w:fldChar w:fldCharType="end"/>
      </w:r>
      <w:r w:rsidRPr="00007B7D">
        <w:rPr>
          <w:rFonts w:ascii="Times New Roman" w:hAnsi="Times New Roman" w:cs="Times New Roman"/>
        </w:rPr>
        <w:t>.  </w:t>
      </w:r>
      <w:proofErr w:type="spellStart"/>
      <w:r w:rsidRPr="00007B7D">
        <w:rPr>
          <w:rFonts w:ascii="Times New Roman" w:hAnsi="Times New Roman" w:cs="Times New Roman"/>
        </w:rPr>
        <w:t>L’obligation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t>protéger</w:t>
      </w:r>
      <w:proofErr w:type="spellEnd"/>
      <w:r w:rsidRPr="00007B7D">
        <w:t xml:space="preserve"> de manière </w:t>
      </w:r>
      <w:proofErr w:type="spellStart"/>
      <w:r w:rsidRPr="00007B7D">
        <w:t>adéquate</w:t>
      </w:r>
      <w:proofErr w:type="spellEnd"/>
      <w:r w:rsidRPr="00007B7D">
        <w:t xml:space="preserve"> les </w:t>
      </w:r>
      <w:proofErr w:type="spellStart"/>
      <w:r w:rsidRPr="00007B7D">
        <w:t>individus</w:t>
      </w:r>
      <w:proofErr w:type="spellEnd"/>
      <w:r w:rsidRPr="00007B7D">
        <w:t xml:space="preserve"> </w:t>
      </w:r>
      <w:proofErr w:type="spellStart"/>
      <w:r w:rsidRPr="00007B7D">
        <w:t>contre</w:t>
      </w:r>
      <w:proofErr w:type="spellEnd"/>
      <w:r w:rsidRPr="00007B7D">
        <w:t xml:space="preserve"> des </w:t>
      </w:r>
      <w:proofErr w:type="spellStart"/>
      <w:r w:rsidRPr="00007B7D">
        <w:t>actes</w:t>
      </w:r>
      <w:proofErr w:type="spellEnd"/>
      <w:r w:rsidRPr="00007B7D">
        <w:t xml:space="preserve"> de violence </w:t>
      </w:r>
      <w:proofErr w:type="spellStart"/>
      <w:r w:rsidRPr="00007B7D">
        <w:t>pouvant</w:t>
      </w:r>
      <w:proofErr w:type="spellEnd"/>
      <w:r w:rsidRPr="00007B7D">
        <w:t xml:space="preserve"> </w:t>
      </w:r>
      <w:proofErr w:type="spellStart"/>
      <w:r w:rsidRPr="00007B7D">
        <w:t>être</w:t>
      </w:r>
      <w:proofErr w:type="spellEnd"/>
      <w:r w:rsidRPr="00007B7D">
        <w:t xml:space="preserve"> commis par des </w:t>
      </w:r>
      <w:proofErr w:type="spellStart"/>
      <w:r w:rsidRPr="00007B7D">
        <w:t>particuliers</w:t>
      </w:r>
      <w:proofErr w:type="spellEnd"/>
      <w:r w:rsidRPr="00007B7D">
        <w:t xml:space="preserve"> </w:t>
      </w:r>
      <w:proofErr w:type="spellStart"/>
      <w:r w:rsidRPr="00007B7D">
        <w:t>s’étend</w:t>
      </w:r>
      <w:proofErr w:type="spellEnd"/>
      <w:r w:rsidRPr="00007B7D">
        <w:t xml:space="preserve"> </w:t>
      </w:r>
      <w:proofErr w:type="spellStart"/>
      <w:r w:rsidRPr="00007B7D">
        <w:t>également</w:t>
      </w:r>
      <w:proofErr w:type="spellEnd"/>
      <w:r w:rsidRPr="00007B7D">
        <w:t xml:space="preserve"> à la </w:t>
      </w:r>
      <w:proofErr w:type="spellStart"/>
      <w:r w:rsidRPr="00007B7D">
        <w:t>sphère</w:t>
      </w:r>
      <w:proofErr w:type="spellEnd"/>
      <w:r w:rsidRPr="00007B7D">
        <w:t xml:space="preserve"> </w:t>
      </w:r>
      <w:proofErr w:type="spellStart"/>
      <w:r w:rsidRPr="00007B7D">
        <w:t>professionnelle</w:t>
      </w:r>
      <w:proofErr w:type="spellEnd"/>
      <w:r w:rsidRPr="00007B7D">
        <w:t xml:space="preserve"> (</w:t>
      </w:r>
      <w:bookmarkStart w:id="10" w:name="_cl41153"/>
      <w:proofErr w:type="spellStart"/>
      <w:r w:rsidRPr="00007B7D">
        <w:rPr>
          <w:i/>
          <w:iCs/>
        </w:rPr>
        <w:t>Špadijer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Monténégro</w:t>
      </w:r>
      <w:bookmarkEnd w:id="10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31549/18, § 87, 9 </w:t>
      </w:r>
      <w:proofErr w:type="spellStart"/>
      <w:r w:rsidRPr="00007B7D">
        <w:t>novembre</w:t>
      </w:r>
      <w:proofErr w:type="spellEnd"/>
      <w:r w:rsidRPr="00007B7D">
        <w:t xml:space="preserve"> 2021).</w:t>
      </w:r>
    </w:p>
    <w:p w14:paraId="7B553C6F" w14:textId="77777777" w:rsidR="005D5C86" w:rsidRPr="00007B7D" w:rsidRDefault="005D5C86" w:rsidP="005D5C86">
      <w:pPr>
        <w:pStyle w:val="ECHRPara"/>
      </w:pPr>
      <w:r w:rsidRPr="00007B7D">
        <w:rPr>
          <w:rFonts w:ascii="Times New Roman" w:hAnsi="Times New Roman" w:cs="Times New Roman"/>
        </w:rPr>
        <w:fldChar w:fldCharType="begin"/>
      </w:r>
      <w:r w:rsidRPr="00007B7D">
        <w:rPr>
          <w:rFonts w:ascii="Times New Roman" w:hAnsi="Times New Roman" w:cs="Times New Roman"/>
        </w:rPr>
        <w:instrText xml:space="preserve"> SEQ level0 \*arabic \* MERGEFORMAT </w:instrText>
      </w:r>
      <w:r w:rsidRPr="00007B7D">
        <w:rPr>
          <w:rFonts w:ascii="Times New Roman" w:hAnsi="Times New Roman" w:cs="Times New Roman"/>
        </w:rPr>
        <w:fldChar w:fldCharType="separate"/>
      </w:r>
      <w:r w:rsidRPr="00007B7D">
        <w:rPr>
          <w:rFonts w:ascii="Times New Roman" w:hAnsi="Times New Roman" w:cs="Times New Roman"/>
          <w:noProof/>
        </w:rPr>
        <w:t>145</w:t>
      </w:r>
      <w:r w:rsidRPr="00007B7D">
        <w:rPr>
          <w:rFonts w:ascii="Times New Roman" w:hAnsi="Times New Roman" w:cs="Times New Roman"/>
        </w:rPr>
        <w:fldChar w:fldCharType="end"/>
      </w:r>
      <w:r w:rsidRPr="00007B7D">
        <w:rPr>
          <w:rFonts w:ascii="Times New Roman" w:hAnsi="Times New Roman" w:cs="Times New Roman"/>
        </w:rPr>
        <w:t>.  </w:t>
      </w:r>
      <w:proofErr w:type="spellStart"/>
      <w:r w:rsidRPr="00007B7D">
        <w:rPr>
          <w:rFonts w:ascii="Times New Roman" w:hAnsi="Times New Roman" w:cs="Times New Roman"/>
        </w:rPr>
        <w:t>S’agissant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particulièrement</w:t>
      </w:r>
      <w:proofErr w:type="spellEnd"/>
      <w:r w:rsidRPr="00007B7D">
        <w:rPr>
          <w:rFonts w:ascii="Times New Roman" w:hAnsi="Times New Roman" w:cs="Times New Roman"/>
        </w:rPr>
        <w:t xml:space="preserve"> des </w:t>
      </w:r>
      <w:proofErr w:type="spellStart"/>
      <w:r w:rsidRPr="00007B7D">
        <w:rPr>
          <w:rFonts w:ascii="Times New Roman" w:hAnsi="Times New Roman" w:cs="Times New Roman"/>
        </w:rPr>
        <w:t>violences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sexuelles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commises</w:t>
      </w:r>
      <w:proofErr w:type="spellEnd"/>
      <w:r w:rsidRPr="00007B7D">
        <w:rPr>
          <w:rFonts w:ascii="Times New Roman" w:hAnsi="Times New Roman" w:cs="Times New Roman"/>
        </w:rPr>
        <w:t xml:space="preserve"> dans le cadre </w:t>
      </w:r>
      <w:proofErr w:type="spellStart"/>
      <w:r w:rsidRPr="00007B7D">
        <w:rPr>
          <w:rFonts w:ascii="Times New Roman" w:hAnsi="Times New Roman" w:cs="Times New Roman"/>
        </w:rPr>
        <w:t>professionnel</w:t>
      </w:r>
      <w:proofErr w:type="spellEnd"/>
      <w:r w:rsidRPr="00007B7D">
        <w:rPr>
          <w:rFonts w:ascii="Times New Roman" w:hAnsi="Times New Roman" w:cs="Times New Roman"/>
        </w:rPr>
        <w:t xml:space="preserve">, la relation de </w:t>
      </w:r>
      <w:proofErr w:type="spellStart"/>
      <w:r w:rsidRPr="00007B7D">
        <w:rPr>
          <w:rFonts w:ascii="Times New Roman" w:hAnsi="Times New Roman" w:cs="Times New Roman"/>
        </w:rPr>
        <w:t>pouvoir</w:t>
      </w:r>
      <w:proofErr w:type="spellEnd"/>
      <w:r w:rsidRPr="00007B7D">
        <w:rPr>
          <w:rFonts w:ascii="Times New Roman" w:hAnsi="Times New Roman" w:cs="Times New Roman"/>
        </w:rPr>
        <w:t xml:space="preserve"> et de subordination entre </w:t>
      </w:r>
      <w:proofErr w:type="spellStart"/>
      <w:r w:rsidRPr="00007B7D">
        <w:rPr>
          <w:rFonts w:ascii="Times New Roman" w:hAnsi="Times New Roman" w:cs="Times New Roman"/>
        </w:rPr>
        <w:t>l’auteur</w:t>
      </w:r>
      <w:proofErr w:type="spellEnd"/>
      <w:r w:rsidRPr="00007B7D">
        <w:rPr>
          <w:rFonts w:ascii="Times New Roman" w:hAnsi="Times New Roman" w:cs="Times New Roman"/>
        </w:rPr>
        <w:t xml:space="preserve"> des faits et la </w:t>
      </w:r>
      <w:proofErr w:type="spellStart"/>
      <w:r w:rsidRPr="00007B7D">
        <w:rPr>
          <w:rFonts w:ascii="Times New Roman" w:hAnsi="Times New Roman" w:cs="Times New Roman"/>
        </w:rPr>
        <w:t>plaignante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constitue</w:t>
      </w:r>
      <w:proofErr w:type="spellEnd"/>
      <w:r w:rsidRPr="00007B7D">
        <w:rPr>
          <w:rFonts w:ascii="Times New Roman" w:hAnsi="Times New Roman" w:cs="Times New Roman"/>
        </w:rPr>
        <w:t xml:space="preserve"> un </w:t>
      </w:r>
      <w:proofErr w:type="spellStart"/>
      <w:r w:rsidRPr="00007B7D">
        <w:rPr>
          <w:rFonts w:ascii="Times New Roman" w:hAnsi="Times New Roman" w:cs="Times New Roman"/>
        </w:rPr>
        <w:t>élément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contexte</w:t>
      </w:r>
      <w:proofErr w:type="spellEnd"/>
      <w:r w:rsidRPr="00007B7D">
        <w:rPr>
          <w:rFonts w:ascii="Times New Roman" w:hAnsi="Times New Roman" w:cs="Times New Roman"/>
        </w:rPr>
        <w:t xml:space="preserve"> important pour </w:t>
      </w:r>
      <w:proofErr w:type="spellStart"/>
      <w:r w:rsidRPr="00007B7D">
        <w:rPr>
          <w:rFonts w:ascii="Times New Roman" w:hAnsi="Times New Roman" w:cs="Times New Roman"/>
        </w:rPr>
        <w:t>l’appréciation</w:t>
      </w:r>
      <w:proofErr w:type="spellEnd"/>
      <w:r w:rsidRPr="00007B7D">
        <w:rPr>
          <w:rFonts w:ascii="Times New Roman" w:hAnsi="Times New Roman" w:cs="Times New Roman"/>
        </w:rPr>
        <w:t xml:space="preserve"> des </w:t>
      </w:r>
      <w:proofErr w:type="spellStart"/>
      <w:r w:rsidRPr="00007B7D">
        <w:rPr>
          <w:rFonts w:ascii="Times New Roman" w:hAnsi="Times New Roman" w:cs="Times New Roman"/>
        </w:rPr>
        <w:t>preuves</w:t>
      </w:r>
      <w:proofErr w:type="spellEnd"/>
      <w:r w:rsidRPr="00007B7D">
        <w:rPr>
          <w:rFonts w:ascii="Times New Roman" w:hAnsi="Times New Roman" w:cs="Times New Roman"/>
        </w:rPr>
        <w:t xml:space="preserve"> et du </w:t>
      </w:r>
      <w:proofErr w:type="spellStart"/>
      <w:r w:rsidRPr="00007B7D">
        <w:rPr>
          <w:rFonts w:ascii="Times New Roman" w:hAnsi="Times New Roman" w:cs="Times New Roman"/>
        </w:rPr>
        <w:t>comportement</w:t>
      </w:r>
      <w:proofErr w:type="spellEnd"/>
      <w:r w:rsidRPr="00007B7D">
        <w:rPr>
          <w:rFonts w:ascii="Times New Roman" w:hAnsi="Times New Roman" w:cs="Times New Roman"/>
        </w:rPr>
        <w:t xml:space="preserve"> de la </w:t>
      </w:r>
      <w:proofErr w:type="spellStart"/>
      <w:r w:rsidRPr="00007B7D">
        <w:rPr>
          <w:rFonts w:ascii="Times New Roman" w:hAnsi="Times New Roman" w:cs="Times New Roman"/>
        </w:rPr>
        <w:t>victime</w:t>
      </w:r>
      <w:proofErr w:type="spellEnd"/>
      <w:r w:rsidRPr="00007B7D">
        <w:rPr>
          <w:rFonts w:ascii="Times New Roman" w:hAnsi="Times New Roman" w:cs="Times New Roman"/>
        </w:rPr>
        <w:t xml:space="preserve"> (</w:t>
      </w:r>
      <w:r w:rsidRPr="00007B7D">
        <w:rPr>
          <w:i/>
          <w:iCs/>
        </w:rPr>
        <w:t>C. c. </w:t>
      </w:r>
      <w:proofErr w:type="spellStart"/>
      <w:r w:rsidRPr="00007B7D">
        <w:rPr>
          <w:i/>
          <w:iCs/>
        </w:rPr>
        <w:t>Roumanie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47358/20, § 80, 30 </w:t>
      </w:r>
      <w:proofErr w:type="spellStart"/>
      <w:r w:rsidRPr="00007B7D">
        <w:t>août</w:t>
      </w:r>
      <w:proofErr w:type="spellEnd"/>
      <w:r w:rsidRPr="00007B7D">
        <w:t xml:space="preserve"> 2022</w:t>
      </w:r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s’agissant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l’effectivité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enquête</w:t>
      </w:r>
      <w:proofErr w:type="spellEnd"/>
      <w:r w:rsidRPr="00007B7D">
        <w:rPr>
          <w:rFonts w:ascii="Times New Roman" w:hAnsi="Times New Roman" w:cs="Times New Roman"/>
        </w:rPr>
        <w:t xml:space="preserve"> relative à des faits de </w:t>
      </w:r>
      <w:proofErr w:type="spellStart"/>
      <w:r w:rsidRPr="00007B7D">
        <w:rPr>
          <w:rFonts w:ascii="Times New Roman" w:hAnsi="Times New Roman" w:cs="Times New Roman"/>
        </w:rPr>
        <w:t>harcèlement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sexuel</w:t>
      </w:r>
      <w:proofErr w:type="spellEnd"/>
      <w:r w:rsidRPr="00007B7D">
        <w:rPr>
          <w:rFonts w:ascii="Times New Roman" w:hAnsi="Times New Roman" w:cs="Times New Roman"/>
        </w:rPr>
        <w:t xml:space="preserve"> au travail ; </w:t>
      </w:r>
      <w:proofErr w:type="spellStart"/>
      <w:r w:rsidRPr="00007B7D">
        <w:rPr>
          <w:rFonts w:ascii="Times New Roman" w:hAnsi="Times New Roman" w:cs="Times New Roman"/>
        </w:rPr>
        <w:t>voir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proofErr w:type="spellStart"/>
      <w:r w:rsidRPr="00007B7D">
        <w:rPr>
          <w:rFonts w:ascii="Times New Roman" w:hAnsi="Times New Roman" w:cs="Times New Roman"/>
        </w:rPr>
        <w:t>également</w:t>
      </w:r>
      <w:proofErr w:type="spellEnd"/>
      <w:r w:rsidRPr="00007B7D">
        <w:rPr>
          <w:rFonts w:ascii="Times New Roman" w:hAnsi="Times New Roman" w:cs="Times New Roman"/>
        </w:rPr>
        <w:t xml:space="preserve">, sous </w:t>
      </w:r>
      <w:proofErr w:type="spellStart"/>
      <w:r w:rsidRPr="00007B7D">
        <w:rPr>
          <w:rFonts w:ascii="Times New Roman" w:hAnsi="Times New Roman" w:cs="Times New Roman"/>
        </w:rPr>
        <w:t>l’angle</w:t>
      </w:r>
      <w:proofErr w:type="spellEnd"/>
      <w:r w:rsidRPr="00007B7D">
        <w:rPr>
          <w:rFonts w:ascii="Times New Roman" w:hAnsi="Times New Roman" w:cs="Times New Roman"/>
        </w:rPr>
        <w:t xml:space="preserve"> de </w:t>
      </w:r>
      <w:proofErr w:type="spellStart"/>
      <w:r w:rsidRPr="00007B7D">
        <w:rPr>
          <w:rFonts w:ascii="Times New Roman" w:hAnsi="Times New Roman" w:cs="Times New Roman"/>
        </w:rPr>
        <w:t>l’article</w:t>
      </w:r>
      <w:proofErr w:type="spellEnd"/>
      <w:r w:rsidRPr="00007B7D">
        <w:rPr>
          <w:rFonts w:ascii="Times New Roman" w:hAnsi="Times New Roman" w:cs="Times New Roman"/>
        </w:rPr>
        <w:t xml:space="preserve"> 10, </w:t>
      </w:r>
      <w:proofErr w:type="spellStart"/>
      <w:r w:rsidRPr="00007B7D">
        <w:rPr>
          <w:rFonts w:ascii="Times New Roman" w:hAnsi="Times New Roman" w:cs="Times New Roman"/>
        </w:rPr>
        <w:t>s’agissant</w:t>
      </w:r>
      <w:proofErr w:type="spellEnd"/>
      <w:r w:rsidRPr="00007B7D">
        <w:rPr>
          <w:rFonts w:ascii="Times New Roman" w:hAnsi="Times New Roman" w:cs="Times New Roman"/>
        </w:rPr>
        <w:t xml:space="preserve"> de la prise </w:t>
      </w:r>
      <w:proofErr w:type="spellStart"/>
      <w:r w:rsidRPr="00007B7D">
        <w:rPr>
          <w:rFonts w:ascii="Times New Roman" w:hAnsi="Times New Roman" w:cs="Times New Roman"/>
        </w:rPr>
        <w:t>en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compte</w:t>
      </w:r>
      <w:proofErr w:type="spellEnd"/>
      <w:r w:rsidRPr="00007B7D">
        <w:rPr>
          <w:rFonts w:ascii="Times New Roman" w:hAnsi="Times New Roman" w:cs="Times New Roman"/>
        </w:rPr>
        <w:t xml:space="preserve"> du </w:t>
      </w:r>
      <w:proofErr w:type="spellStart"/>
      <w:r w:rsidRPr="00007B7D">
        <w:rPr>
          <w:rFonts w:ascii="Times New Roman" w:hAnsi="Times New Roman" w:cs="Times New Roman"/>
        </w:rPr>
        <w:t>contexte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professionnel</w:t>
      </w:r>
      <w:proofErr w:type="spellEnd"/>
      <w:r w:rsidRPr="00007B7D">
        <w:rPr>
          <w:rFonts w:ascii="Times New Roman" w:hAnsi="Times New Roman" w:cs="Times New Roman"/>
        </w:rPr>
        <w:t xml:space="preserve"> pour </w:t>
      </w:r>
      <w:proofErr w:type="spellStart"/>
      <w:r w:rsidRPr="00007B7D">
        <w:rPr>
          <w:rFonts w:ascii="Times New Roman" w:hAnsi="Times New Roman" w:cs="Times New Roman"/>
        </w:rPr>
        <w:t>apprécier</w:t>
      </w:r>
      <w:proofErr w:type="spellEnd"/>
      <w:r w:rsidRPr="00007B7D">
        <w:rPr>
          <w:rFonts w:ascii="Times New Roman" w:hAnsi="Times New Roman" w:cs="Times New Roman"/>
        </w:rPr>
        <w:t xml:space="preserve"> la </w:t>
      </w:r>
      <w:proofErr w:type="spellStart"/>
      <w:r w:rsidRPr="00007B7D">
        <w:rPr>
          <w:rFonts w:ascii="Times New Roman" w:hAnsi="Times New Roman" w:cs="Times New Roman"/>
        </w:rPr>
        <w:t>nécessité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condamnation</w:t>
      </w:r>
      <w:proofErr w:type="spellEnd"/>
      <w:r w:rsidRPr="00007B7D">
        <w:rPr>
          <w:rFonts w:ascii="Times New Roman" w:hAnsi="Times New Roman" w:cs="Times New Roman"/>
        </w:rPr>
        <w:t xml:space="preserve"> pour </w:t>
      </w:r>
      <w:proofErr w:type="spellStart"/>
      <w:r w:rsidRPr="00007B7D">
        <w:rPr>
          <w:rFonts w:ascii="Times New Roman" w:hAnsi="Times New Roman" w:cs="Times New Roman"/>
        </w:rPr>
        <w:t>diffamation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d’une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salariée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ayant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dénoncé</w:t>
      </w:r>
      <w:proofErr w:type="spellEnd"/>
      <w:r w:rsidRPr="00007B7D">
        <w:rPr>
          <w:rFonts w:ascii="Times New Roman" w:hAnsi="Times New Roman" w:cs="Times New Roman"/>
        </w:rPr>
        <w:t xml:space="preserve"> des faits de </w:t>
      </w:r>
      <w:proofErr w:type="spellStart"/>
      <w:r w:rsidRPr="00007B7D">
        <w:rPr>
          <w:rFonts w:ascii="Times New Roman" w:hAnsi="Times New Roman" w:cs="Times New Roman"/>
        </w:rPr>
        <w:t>harcèlement</w:t>
      </w:r>
      <w:proofErr w:type="spellEnd"/>
      <w:r w:rsidRPr="00007B7D">
        <w:rPr>
          <w:rFonts w:ascii="Times New Roman" w:hAnsi="Times New Roman" w:cs="Times New Roman"/>
        </w:rPr>
        <w:t xml:space="preserve"> </w:t>
      </w:r>
      <w:proofErr w:type="spellStart"/>
      <w:r w:rsidRPr="00007B7D">
        <w:rPr>
          <w:rFonts w:ascii="Times New Roman" w:hAnsi="Times New Roman" w:cs="Times New Roman"/>
        </w:rPr>
        <w:t>sexuel</w:t>
      </w:r>
      <w:proofErr w:type="spellEnd"/>
      <w:r w:rsidRPr="00007B7D">
        <w:rPr>
          <w:rFonts w:ascii="Times New Roman" w:hAnsi="Times New Roman" w:cs="Times New Roman"/>
        </w:rPr>
        <w:t xml:space="preserve">, </w:t>
      </w:r>
      <w:bookmarkStart w:id="11" w:name="_cl43964"/>
      <w:proofErr w:type="spellStart"/>
      <w:r w:rsidRPr="00007B7D">
        <w:rPr>
          <w:i/>
          <w:iCs/>
        </w:rPr>
        <w:t>Allée</w:t>
      </w:r>
      <w:proofErr w:type="spellEnd"/>
      <w:r w:rsidRPr="00007B7D">
        <w:rPr>
          <w:i/>
          <w:iCs/>
        </w:rPr>
        <w:t xml:space="preserve"> c. France</w:t>
      </w:r>
      <w:bookmarkEnd w:id="11"/>
      <w:r w:rsidRPr="00007B7D">
        <w:t>, n</w:t>
      </w:r>
      <w:r w:rsidRPr="00007B7D">
        <w:rPr>
          <w:vertAlign w:val="superscript"/>
        </w:rPr>
        <w:t>o</w:t>
      </w:r>
      <w:r w:rsidRPr="00007B7D">
        <w:t> 20725/20, §§ 47</w:t>
      </w:r>
      <w:r w:rsidRPr="00007B7D">
        <w:noBreakHyphen/>
        <w:t xml:space="preserve">55, 18 </w:t>
      </w:r>
      <w:proofErr w:type="spellStart"/>
      <w:r w:rsidRPr="00007B7D">
        <w:t>janvier</w:t>
      </w:r>
      <w:proofErr w:type="spellEnd"/>
      <w:r w:rsidRPr="00007B7D">
        <w:t xml:space="preserve"> 2024</w:t>
      </w:r>
      <w:r w:rsidRPr="00007B7D">
        <w:rPr>
          <w:rFonts w:ascii="Times New Roman" w:hAnsi="Times New Roman" w:cs="Times New Roman"/>
        </w:rPr>
        <w:t>).</w:t>
      </w:r>
    </w:p>
    <w:p w14:paraId="0FFC6324" w14:textId="77777777" w:rsidR="005D5C86" w:rsidRPr="00007B7D" w:rsidRDefault="005D5C86" w:rsidP="005D5C86">
      <w:pPr>
        <w:pStyle w:val="ECHRHeading4"/>
        <w:numPr>
          <w:ilvl w:val="0"/>
          <w:numId w:val="21"/>
        </w:numPr>
        <w:ind w:left="975" w:hanging="340"/>
      </w:pPr>
      <w:r w:rsidRPr="00007B7D">
        <w:t xml:space="preserve">Application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l’espèce</w:t>
      </w:r>
      <w:proofErr w:type="spellEnd"/>
    </w:p>
    <w:p w14:paraId="60741672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146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que la </w:t>
      </w:r>
      <w:proofErr w:type="spellStart"/>
      <w:r w:rsidRPr="00007B7D">
        <w:t>requérante</w:t>
      </w:r>
      <w:proofErr w:type="spellEnd"/>
      <w:r w:rsidRPr="00007B7D">
        <w:t xml:space="preserve"> critique à la </w:t>
      </w:r>
      <w:proofErr w:type="spellStart"/>
      <w:r w:rsidRPr="00007B7D">
        <w:t>fois</w:t>
      </w:r>
      <w:proofErr w:type="spellEnd"/>
      <w:r w:rsidRPr="00007B7D">
        <w:t xml:space="preserve"> le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répressif</w:t>
      </w:r>
      <w:proofErr w:type="spellEnd"/>
      <w:r w:rsidRPr="00007B7D">
        <w:t xml:space="preserve"> </w:t>
      </w:r>
      <w:proofErr w:type="spellStart"/>
      <w:r w:rsidRPr="00007B7D">
        <w:t>français</w:t>
      </w:r>
      <w:proofErr w:type="spellEnd"/>
      <w:r w:rsidRPr="00007B7D">
        <w:t xml:space="preserve"> et la manière </w:t>
      </w:r>
      <w:proofErr w:type="spellStart"/>
      <w:r w:rsidRPr="00007B7D">
        <w:t>dont</w:t>
      </w:r>
      <w:proofErr w:type="spellEnd"/>
      <w:r w:rsidRPr="00007B7D">
        <w:t xml:space="preserve"> il a </w:t>
      </w:r>
      <w:proofErr w:type="spellStart"/>
      <w:r w:rsidRPr="00007B7D">
        <w:t>été</w:t>
      </w:r>
      <w:proofErr w:type="spellEnd"/>
      <w:r w:rsidRPr="00007B7D">
        <w:t xml:space="preserve"> appliqué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l’espèce</w:t>
      </w:r>
      <w:proofErr w:type="spellEnd"/>
      <w:r w:rsidRPr="00007B7D">
        <w:t>.</w:t>
      </w:r>
    </w:p>
    <w:p w14:paraId="608E005C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147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rappelle</w:t>
      </w:r>
      <w:proofErr w:type="spellEnd"/>
      <w:r w:rsidRPr="00007B7D">
        <w:t xml:space="preserve"> à </w:t>
      </w:r>
      <w:proofErr w:type="spellStart"/>
      <w:r w:rsidRPr="00007B7D">
        <w:t>cet</w:t>
      </w:r>
      <w:proofErr w:type="spellEnd"/>
      <w:r w:rsidRPr="00007B7D">
        <w:t xml:space="preserve"> </w:t>
      </w:r>
      <w:proofErr w:type="spellStart"/>
      <w:r w:rsidRPr="00007B7D">
        <w:t>égard</w:t>
      </w:r>
      <w:proofErr w:type="spellEnd"/>
      <w:r w:rsidRPr="00007B7D">
        <w:t xml:space="preserve"> </w:t>
      </w:r>
      <w:proofErr w:type="spellStart"/>
      <w:r w:rsidRPr="00007B7D">
        <w:t>qu’elle</w:t>
      </w:r>
      <w:proofErr w:type="spellEnd"/>
      <w:r w:rsidRPr="00007B7D">
        <w:t xml:space="preserve"> </w:t>
      </w:r>
      <w:proofErr w:type="spellStart"/>
      <w:r w:rsidRPr="00007B7D">
        <w:t>n’est</w:t>
      </w:r>
      <w:proofErr w:type="spellEnd"/>
      <w:r w:rsidRPr="00007B7D">
        <w:t xml:space="preserve"> pas </w:t>
      </w:r>
      <w:proofErr w:type="spellStart"/>
      <w:r w:rsidRPr="00007B7D">
        <w:t>appelée</w:t>
      </w:r>
      <w:proofErr w:type="spellEnd"/>
      <w:r w:rsidRPr="00007B7D">
        <w:t xml:space="preserve"> à se </w:t>
      </w:r>
      <w:proofErr w:type="spellStart"/>
      <w:r w:rsidRPr="00007B7D">
        <w:t>prononcer</w:t>
      </w:r>
      <w:proofErr w:type="spellEnd"/>
      <w:r w:rsidRPr="00007B7D">
        <w:t xml:space="preserve"> sur les </w:t>
      </w:r>
      <w:proofErr w:type="spellStart"/>
      <w:r w:rsidRPr="00007B7D">
        <w:t>allégations</w:t>
      </w:r>
      <w:proofErr w:type="spellEnd"/>
      <w:r w:rsidRPr="00007B7D">
        <w:t xml:space="preserve"> </w:t>
      </w:r>
      <w:proofErr w:type="spellStart"/>
      <w:r w:rsidRPr="00007B7D">
        <w:t>d’erreurs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d’omissions</w:t>
      </w:r>
      <w:proofErr w:type="spellEnd"/>
      <w:r w:rsidRPr="00007B7D">
        <w:t xml:space="preserve"> </w:t>
      </w:r>
      <w:proofErr w:type="spellStart"/>
      <w:r w:rsidRPr="00007B7D">
        <w:t>particulières</w:t>
      </w:r>
      <w:proofErr w:type="spellEnd"/>
      <w:r w:rsidRPr="00007B7D">
        <w:t xml:space="preserve"> de </w:t>
      </w:r>
      <w:proofErr w:type="spellStart"/>
      <w:proofErr w:type="gramStart"/>
      <w:r w:rsidRPr="00007B7D">
        <w:t>l’enquête</w:t>
      </w:r>
      <w:proofErr w:type="spellEnd"/>
      <w:r w:rsidRPr="00007B7D">
        <w:t> ;</w:t>
      </w:r>
      <w:proofErr w:type="gramEnd"/>
      <w:r w:rsidRPr="00007B7D">
        <w:t xml:space="preserve"> </w:t>
      </w:r>
      <w:proofErr w:type="spellStart"/>
      <w:r w:rsidRPr="00007B7D">
        <w:t>elle</w:t>
      </w:r>
      <w:proofErr w:type="spellEnd"/>
      <w:r w:rsidRPr="00007B7D">
        <w:t xml:space="preserve"> ne </w:t>
      </w:r>
      <w:proofErr w:type="spellStart"/>
      <w:r w:rsidRPr="00007B7D">
        <w:t>saurait</w:t>
      </w:r>
      <w:proofErr w:type="spellEnd"/>
      <w:r w:rsidRPr="00007B7D">
        <w:t xml:space="preserve"> se </w:t>
      </w:r>
      <w:proofErr w:type="spellStart"/>
      <w:r w:rsidRPr="00007B7D">
        <w:t>substituer</w:t>
      </w:r>
      <w:proofErr w:type="spellEnd"/>
      <w:r w:rsidRPr="00007B7D">
        <w:t xml:space="preserve"> aux </w:t>
      </w:r>
      <w:proofErr w:type="spellStart"/>
      <w:r w:rsidRPr="00007B7D">
        <w:t>autorités</w:t>
      </w:r>
      <w:proofErr w:type="spellEnd"/>
      <w:r w:rsidRPr="00007B7D">
        <w:t xml:space="preserve"> internes dans </w:t>
      </w:r>
      <w:proofErr w:type="spellStart"/>
      <w:r w:rsidRPr="00007B7D">
        <w:t>l’appréciation</w:t>
      </w:r>
      <w:proofErr w:type="spellEnd"/>
      <w:r w:rsidRPr="00007B7D">
        <w:t xml:space="preserve"> des faits de la cause ; </w:t>
      </w:r>
      <w:proofErr w:type="spellStart"/>
      <w:r w:rsidRPr="00007B7D">
        <w:t>elle</w:t>
      </w:r>
      <w:proofErr w:type="spellEnd"/>
      <w:r w:rsidRPr="00007B7D">
        <w:t xml:space="preserve"> ne </w:t>
      </w:r>
      <w:proofErr w:type="spellStart"/>
      <w:r w:rsidRPr="00007B7D">
        <w:t>saurait</w:t>
      </w:r>
      <w:proofErr w:type="spellEnd"/>
      <w:r w:rsidRPr="00007B7D">
        <w:t xml:space="preserve"> pas non plus </w:t>
      </w:r>
      <w:proofErr w:type="spellStart"/>
      <w:r w:rsidRPr="00007B7D">
        <w:t>statuer</w:t>
      </w:r>
      <w:proofErr w:type="spellEnd"/>
      <w:r w:rsidRPr="00007B7D">
        <w:t xml:space="preserve"> sur la </w:t>
      </w:r>
      <w:proofErr w:type="spellStart"/>
      <w:r w:rsidRPr="00007B7D">
        <w:t>responsabilité</w:t>
      </w:r>
      <w:proofErr w:type="spellEnd"/>
      <w:r w:rsidRPr="00007B7D">
        <w:t xml:space="preserve"> </w:t>
      </w:r>
      <w:proofErr w:type="spellStart"/>
      <w:r w:rsidRPr="00007B7D">
        <w:t>pénale</w:t>
      </w:r>
      <w:proofErr w:type="spellEnd"/>
      <w:r w:rsidRPr="00007B7D">
        <w:t xml:space="preserve"> des </w:t>
      </w:r>
      <w:proofErr w:type="spellStart"/>
      <w:r w:rsidRPr="00007B7D">
        <w:t>agresseurs</w:t>
      </w:r>
      <w:proofErr w:type="spellEnd"/>
      <w:r w:rsidRPr="00007B7D">
        <w:t xml:space="preserve"> </w:t>
      </w:r>
      <w:proofErr w:type="spellStart"/>
      <w:r w:rsidRPr="00007B7D">
        <w:t>présumés</w:t>
      </w:r>
      <w:proofErr w:type="spellEnd"/>
      <w:r w:rsidRPr="00007B7D">
        <w:t xml:space="preserve">. Il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incombe</w:t>
      </w:r>
      <w:proofErr w:type="spellEnd"/>
      <w:r w:rsidRPr="00007B7D">
        <w:t xml:space="preserve"> </w:t>
      </w:r>
      <w:proofErr w:type="spellStart"/>
      <w:r w:rsidRPr="00007B7D">
        <w:t>uniquement</w:t>
      </w:r>
      <w:proofErr w:type="spellEnd"/>
      <w:r w:rsidRPr="00007B7D">
        <w:t xml:space="preserve"> de </w:t>
      </w:r>
      <w:proofErr w:type="spellStart"/>
      <w:r w:rsidRPr="00007B7D">
        <w:t>rechercher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 la </w:t>
      </w:r>
      <w:proofErr w:type="spellStart"/>
      <w:r w:rsidRPr="00007B7D">
        <w:t>législation</w:t>
      </w:r>
      <w:proofErr w:type="spellEnd"/>
      <w:r w:rsidRPr="00007B7D">
        <w:t xml:space="preserve"> et la pratique </w:t>
      </w:r>
      <w:proofErr w:type="spellStart"/>
      <w:r w:rsidRPr="00007B7D">
        <w:t>incriminées</w:t>
      </w:r>
      <w:proofErr w:type="spellEnd"/>
      <w:r w:rsidRPr="00007B7D">
        <w:t xml:space="preserve">, </w:t>
      </w:r>
      <w:proofErr w:type="spellStart"/>
      <w:r w:rsidRPr="00007B7D">
        <w:t>ainsi</w:t>
      </w:r>
      <w:proofErr w:type="spellEnd"/>
      <w:r w:rsidRPr="00007B7D">
        <w:t xml:space="preserve"> que </w:t>
      </w:r>
      <w:proofErr w:type="spellStart"/>
      <w:r w:rsidRPr="00007B7D">
        <w:t>leur</w:t>
      </w:r>
      <w:proofErr w:type="spellEnd"/>
      <w:r w:rsidRPr="00007B7D">
        <w:t xml:space="preserve"> application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l’espèce</w:t>
      </w:r>
      <w:proofErr w:type="spellEnd"/>
      <w:r w:rsidRPr="00007B7D">
        <w:t xml:space="preserve">, </w:t>
      </w:r>
      <w:proofErr w:type="spellStart"/>
      <w:r w:rsidRPr="00007B7D">
        <w:t>associées</w:t>
      </w:r>
      <w:proofErr w:type="spellEnd"/>
      <w:r w:rsidRPr="00007B7D">
        <w:t xml:space="preserve"> aux </w:t>
      </w:r>
      <w:proofErr w:type="spellStart"/>
      <w:r w:rsidRPr="00007B7D">
        <w:t>insuffisances</w:t>
      </w:r>
      <w:proofErr w:type="spellEnd"/>
      <w:r w:rsidRPr="00007B7D">
        <w:t xml:space="preserve"> </w:t>
      </w:r>
      <w:proofErr w:type="spellStart"/>
      <w:r w:rsidRPr="00007B7D">
        <w:t>alléguées</w:t>
      </w:r>
      <w:proofErr w:type="spellEnd"/>
      <w:r w:rsidRPr="00007B7D">
        <w:t xml:space="preserve"> de </w:t>
      </w:r>
      <w:proofErr w:type="spellStart"/>
      <w:r w:rsidRPr="00007B7D">
        <w:t>l’enquête</w:t>
      </w:r>
      <w:proofErr w:type="spellEnd"/>
      <w:r w:rsidRPr="00007B7D">
        <w:t xml:space="preserve">,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défaillantes</w:t>
      </w:r>
      <w:proofErr w:type="spellEnd"/>
      <w:r w:rsidRPr="00007B7D">
        <w:t xml:space="preserve"> au point </w:t>
      </w:r>
      <w:proofErr w:type="spellStart"/>
      <w:r w:rsidRPr="00007B7D">
        <w:t>d’emporter</w:t>
      </w:r>
      <w:proofErr w:type="spellEnd"/>
      <w:r w:rsidRPr="00007B7D">
        <w:t xml:space="preserve"> violation de </w:t>
      </w:r>
      <w:proofErr w:type="spellStart"/>
      <w:r w:rsidRPr="00007B7D">
        <w:t>l’obligation</w:t>
      </w:r>
      <w:proofErr w:type="spellEnd"/>
      <w:r w:rsidRPr="00007B7D">
        <w:t xml:space="preserve"> positive qui </w:t>
      </w:r>
      <w:proofErr w:type="spellStart"/>
      <w:r w:rsidRPr="00007B7D">
        <w:t>incombe</w:t>
      </w:r>
      <w:proofErr w:type="spellEnd"/>
      <w:r w:rsidRPr="00007B7D">
        <w:t xml:space="preserve"> à </w:t>
      </w:r>
      <w:proofErr w:type="spellStart"/>
      <w:r w:rsidRPr="00007B7D">
        <w:t>l’État</w:t>
      </w:r>
      <w:proofErr w:type="spellEnd"/>
      <w:r w:rsidRPr="00007B7D">
        <w:t xml:space="preserve"> </w:t>
      </w:r>
      <w:proofErr w:type="spellStart"/>
      <w:r w:rsidRPr="00007B7D">
        <w:t>défendeur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vertu des articles 3 et 8 de la Convention (</w:t>
      </w:r>
      <w:r w:rsidRPr="00007B7D">
        <w:rPr>
          <w:i/>
          <w:iCs/>
        </w:rPr>
        <w:t>M.C.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167-168). Elle </w:t>
      </w:r>
      <w:proofErr w:type="spellStart"/>
      <w:r w:rsidRPr="00007B7D">
        <w:t>examinera</w:t>
      </w:r>
      <w:proofErr w:type="spellEnd"/>
      <w:r w:rsidRPr="00007B7D">
        <w:t xml:space="preserve"> </w:t>
      </w:r>
      <w:proofErr w:type="spellStart"/>
      <w:r w:rsidRPr="00007B7D">
        <w:t>conjointement</w:t>
      </w:r>
      <w:proofErr w:type="spellEnd"/>
      <w:r w:rsidRPr="00007B7D">
        <w:t xml:space="preserve"> </w:t>
      </w:r>
      <w:proofErr w:type="spellStart"/>
      <w:r w:rsidRPr="00007B7D">
        <w:t>ces</w:t>
      </w:r>
      <w:proofErr w:type="spellEnd"/>
      <w:r w:rsidRPr="00007B7D">
        <w:t xml:space="preserve"> deux questions.</w:t>
      </w:r>
    </w:p>
    <w:p w14:paraId="42B0A74F" w14:textId="77777777" w:rsidR="005D5C86" w:rsidRPr="00007B7D" w:rsidRDefault="005D5C86" w:rsidP="005D5C86">
      <w:pPr>
        <w:pStyle w:val="ECHRHeading5"/>
        <w:numPr>
          <w:ilvl w:val="0"/>
          <w:numId w:val="21"/>
        </w:numPr>
        <w:ind w:left="1190" w:hanging="357"/>
      </w:pPr>
      <w:r w:rsidRPr="00007B7D">
        <w:t xml:space="preserve">Sur le cadre </w:t>
      </w:r>
      <w:proofErr w:type="spellStart"/>
      <w:r w:rsidRPr="00007B7D">
        <w:t>juridique</w:t>
      </w:r>
      <w:proofErr w:type="spellEnd"/>
      <w:r w:rsidRPr="00007B7D">
        <w:t xml:space="preserve"> interne </w:t>
      </w:r>
      <w:proofErr w:type="spellStart"/>
      <w:r w:rsidRPr="00007B7D">
        <w:t>relatif</w:t>
      </w:r>
      <w:proofErr w:type="spellEnd"/>
      <w:r w:rsidRPr="00007B7D">
        <w:t xml:space="preserve"> à la </w:t>
      </w:r>
      <w:proofErr w:type="spellStart"/>
      <w:r w:rsidRPr="00007B7D">
        <w:t>répression</w:t>
      </w:r>
      <w:proofErr w:type="spellEnd"/>
      <w:r w:rsidRPr="00007B7D">
        <w:t xml:space="preserve"> des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</w:p>
    <w:p w14:paraId="0E0F4C08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148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que les dispositions </w:t>
      </w:r>
      <w:proofErr w:type="spellStart"/>
      <w:r w:rsidRPr="00007B7D">
        <w:t>incriminant</w:t>
      </w:r>
      <w:proofErr w:type="spellEnd"/>
      <w:r w:rsidRPr="00007B7D">
        <w:t xml:space="preserve"> le viol et </w:t>
      </w:r>
      <w:proofErr w:type="spellStart"/>
      <w:r w:rsidRPr="00007B7D">
        <w:t>l’agression</w:t>
      </w:r>
      <w:proofErr w:type="spellEnd"/>
      <w:r w:rsidRPr="00007B7D">
        <w:t xml:space="preserve"> </w:t>
      </w:r>
      <w:proofErr w:type="spellStart"/>
      <w:r w:rsidRPr="00007B7D">
        <w:t>sexuelle</w:t>
      </w:r>
      <w:proofErr w:type="spellEnd"/>
      <w:r w:rsidRPr="00007B7D">
        <w:t xml:space="preserve">, </w:t>
      </w:r>
      <w:proofErr w:type="spellStart"/>
      <w:r w:rsidRPr="00007B7D">
        <w:t>respectivement</w:t>
      </w:r>
      <w:proofErr w:type="spellEnd"/>
      <w:r w:rsidRPr="00007B7D">
        <w:t xml:space="preserve"> </w:t>
      </w:r>
      <w:proofErr w:type="spellStart"/>
      <w:r w:rsidRPr="00007B7D">
        <w:t>prévues</w:t>
      </w:r>
      <w:proofErr w:type="spellEnd"/>
      <w:r w:rsidRPr="00007B7D">
        <w:t xml:space="preserve"> aux articles 222-23 et 222-22 du CP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CadreJur_CP_AtteintesSex \h </w:instrText>
      </w:r>
      <w:r w:rsidRPr="00007B7D">
        <w:fldChar w:fldCharType="separate"/>
      </w:r>
      <w:r w:rsidRPr="00007B7D">
        <w:rPr>
          <w:noProof/>
        </w:rPr>
        <w:t>77</w:t>
      </w:r>
      <w:r w:rsidRPr="00007B7D">
        <w:fldChar w:fldCharType="end"/>
      </w:r>
      <w:r w:rsidRPr="00007B7D">
        <w:t xml:space="preserve"> ci-dessus), ne </w:t>
      </w:r>
      <w:proofErr w:type="spellStart"/>
      <w:r w:rsidRPr="00007B7D">
        <w:t>comprennent</w:t>
      </w:r>
      <w:proofErr w:type="spellEnd"/>
      <w:r w:rsidRPr="00007B7D">
        <w:t xml:space="preserve"> </w:t>
      </w:r>
      <w:proofErr w:type="spellStart"/>
      <w:r w:rsidRPr="00007B7D">
        <w:t>aucune</w:t>
      </w:r>
      <w:proofErr w:type="spellEnd"/>
      <w:r w:rsidRPr="00007B7D">
        <w:t xml:space="preserve"> </w:t>
      </w:r>
      <w:proofErr w:type="spellStart"/>
      <w:r w:rsidRPr="00007B7D">
        <w:t>référence</w:t>
      </w:r>
      <w:proofErr w:type="spellEnd"/>
      <w:r w:rsidRPr="00007B7D">
        <w:t xml:space="preserve"> </w:t>
      </w:r>
      <w:proofErr w:type="spellStart"/>
      <w:r w:rsidRPr="00007B7D">
        <w:t>expresse</w:t>
      </w:r>
      <w:proofErr w:type="spellEnd"/>
      <w:r w:rsidRPr="00007B7D">
        <w:t xml:space="preserve"> à la notion de « </w:t>
      </w:r>
      <w:proofErr w:type="spellStart"/>
      <w:r w:rsidRPr="00007B7D">
        <w:t>consentement</w:t>
      </w:r>
      <w:proofErr w:type="spellEnd"/>
      <w:r w:rsidRPr="00007B7D">
        <w:t xml:space="preserve"> ». </w:t>
      </w:r>
      <w:proofErr w:type="spellStart"/>
      <w:r w:rsidRPr="00007B7D">
        <w:t>Toutefois</w:t>
      </w:r>
      <w:proofErr w:type="spellEnd"/>
      <w:r w:rsidRPr="00007B7D">
        <w:t xml:space="preserve">, le </w:t>
      </w:r>
      <w:proofErr w:type="spellStart"/>
      <w:r w:rsidRPr="00007B7D">
        <w:t>défaut</w:t>
      </w:r>
      <w:proofErr w:type="spellEnd"/>
      <w:r w:rsidRPr="00007B7D">
        <w:t xml:space="preserve"> de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est</w:t>
      </w:r>
      <w:proofErr w:type="spellEnd"/>
      <w:r w:rsidRPr="00007B7D">
        <w:t xml:space="preserve"> de </w:t>
      </w:r>
      <w:r w:rsidRPr="00007B7D">
        <w:lastRenderedPageBreak/>
        <w:t xml:space="preserve">longue date pris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considération</w:t>
      </w:r>
      <w:proofErr w:type="spellEnd"/>
      <w:r w:rsidRPr="00007B7D">
        <w:t xml:space="preserve"> </w:t>
      </w:r>
      <w:proofErr w:type="spellStart"/>
      <w:r w:rsidRPr="00007B7D">
        <w:t>par</w:t>
      </w:r>
      <w:proofErr w:type="spellEnd"/>
      <w:r w:rsidRPr="00007B7D">
        <w:t xml:space="preserve"> la </w:t>
      </w:r>
      <w:proofErr w:type="spellStart"/>
      <w:r w:rsidRPr="00007B7D">
        <w:t>Cour</w:t>
      </w:r>
      <w:proofErr w:type="spellEnd"/>
      <w:r w:rsidRPr="00007B7D">
        <w:t xml:space="preserve"> de cassation dans </w:t>
      </w:r>
      <w:proofErr w:type="spellStart"/>
      <w:r w:rsidRPr="00007B7D">
        <w:t>sa</w:t>
      </w:r>
      <w:proofErr w:type="spellEnd"/>
      <w:r w:rsidRPr="00007B7D">
        <w:t xml:space="preserve"> jurisprudence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CadreJur_CP_AtteintesSex_Jspce1857 \h </w:instrText>
      </w:r>
      <w:r w:rsidRPr="00007B7D">
        <w:fldChar w:fldCharType="separate"/>
      </w:r>
      <w:r w:rsidRPr="00007B7D">
        <w:rPr>
          <w:noProof/>
        </w:rPr>
        <w:t>79</w:t>
      </w:r>
      <w:r w:rsidRPr="00007B7D">
        <w:fldChar w:fldCharType="end"/>
      </w:r>
      <w:r w:rsidRPr="00007B7D">
        <w:t>-</w:t>
      </w:r>
      <w:r w:rsidRPr="00007B7D">
        <w:fldChar w:fldCharType="begin"/>
      </w:r>
      <w:r w:rsidRPr="00007B7D">
        <w:instrText xml:space="preserve"> REF CadreJur_CP_AtteintesSex_Jspce_contraint \h </w:instrText>
      </w:r>
      <w:r w:rsidRPr="00007B7D">
        <w:fldChar w:fldCharType="separate"/>
      </w:r>
      <w:r w:rsidRPr="00007B7D">
        <w:rPr>
          <w:noProof/>
        </w:rPr>
        <w:t>80</w:t>
      </w:r>
      <w:r w:rsidRPr="00007B7D">
        <w:fldChar w:fldCharType="end"/>
      </w:r>
      <w:r w:rsidRPr="00007B7D">
        <w:t xml:space="preserve"> ci-dessus). Les </w:t>
      </w:r>
      <w:proofErr w:type="spellStart"/>
      <w:r w:rsidRPr="00007B7D">
        <w:t>juridictions</w:t>
      </w:r>
      <w:proofErr w:type="spellEnd"/>
      <w:r w:rsidRPr="00007B7D">
        <w:t xml:space="preserve"> internes </w:t>
      </w:r>
      <w:proofErr w:type="spellStart"/>
      <w:r w:rsidRPr="00007B7D">
        <w:t>s’efforcent</w:t>
      </w:r>
      <w:proofErr w:type="spellEnd"/>
      <w:r w:rsidRPr="00007B7D">
        <w:t xml:space="preserve"> </w:t>
      </w:r>
      <w:proofErr w:type="spellStart"/>
      <w:r w:rsidRPr="00007B7D">
        <w:t>ainsi</w:t>
      </w:r>
      <w:proofErr w:type="spellEnd"/>
      <w:r w:rsidRPr="00007B7D">
        <w:t xml:space="preserve"> de </w:t>
      </w:r>
      <w:proofErr w:type="spellStart"/>
      <w:r w:rsidRPr="00007B7D">
        <w:t>caractériser</w:t>
      </w:r>
      <w:proofErr w:type="spellEnd"/>
      <w:r w:rsidRPr="00007B7D">
        <w:t xml:space="preserve"> </w:t>
      </w:r>
      <w:proofErr w:type="spellStart"/>
      <w:r w:rsidRPr="00007B7D">
        <w:t>l’existence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l’absence</w:t>
      </w:r>
      <w:proofErr w:type="spellEnd"/>
      <w:r w:rsidRPr="00007B7D">
        <w:t xml:space="preserve"> de </w:t>
      </w:r>
      <w:proofErr w:type="spellStart"/>
      <w:r w:rsidRPr="00007B7D">
        <w:t>consentement</w:t>
      </w:r>
      <w:proofErr w:type="spellEnd"/>
      <w:r w:rsidRPr="00007B7D">
        <w:t xml:space="preserve">, dans le respect des droits de la </w:t>
      </w:r>
      <w:proofErr w:type="spellStart"/>
      <w:r w:rsidRPr="00007B7D">
        <w:t>défense</w:t>
      </w:r>
      <w:proofErr w:type="spellEnd"/>
      <w:r w:rsidRPr="00007B7D">
        <w:t xml:space="preserve"> de la </w:t>
      </w:r>
      <w:proofErr w:type="spellStart"/>
      <w:r w:rsidRPr="00007B7D">
        <w:t>personne</w:t>
      </w:r>
      <w:proofErr w:type="spellEnd"/>
      <w:r w:rsidRPr="00007B7D">
        <w:t xml:space="preserve"> mise </w:t>
      </w:r>
      <w:proofErr w:type="spellStart"/>
      <w:r w:rsidRPr="00007B7D">
        <w:t>en</w:t>
      </w:r>
      <w:proofErr w:type="spellEnd"/>
      <w:r w:rsidRPr="00007B7D">
        <w:t xml:space="preserve"> cause et dans un </w:t>
      </w:r>
      <w:proofErr w:type="spellStart"/>
      <w:r w:rsidRPr="00007B7D">
        <w:t>contexte</w:t>
      </w:r>
      <w:proofErr w:type="spellEnd"/>
      <w:r w:rsidRPr="00007B7D">
        <w:t xml:space="preserve"> </w:t>
      </w:r>
      <w:proofErr w:type="spellStart"/>
      <w:r w:rsidRPr="00007B7D">
        <w:t>où</w:t>
      </w:r>
      <w:proofErr w:type="spellEnd"/>
      <w:r w:rsidRPr="00007B7D">
        <w:t xml:space="preserve"> le </w:t>
      </w:r>
      <w:proofErr w:type="spellStart"/>
      <w:r w:rsidRPr="00007B7D">
        <w:t>juge</w:t>
      </w:r>
      <w:proofErr w:type="spellEnd"/>
      <w:r w:rsidRPr="00007B7D">
        <w:t xml:space="preserve"> dispose </w:t>
      </w:r>
      <w:proofErr w:type="spellStart"/>
      <w:r w:rsidRPr="00007B7D">
        <w:t>parfois</w:t>
      </w:r>
      <w:proofErr w:type="spellEnd"/>
      <w:r w:rsidRPr="00007B7D">
        <w:t xml:space="preserve"> de </w:t>
      </w:r>
      <w:proofErr w:type="spellStart"/>
      <w:r w:rsidRPr="00007B7D">
        <w:t>très</w:t>
      </w:r>
      <w:proofErr w:type="spellEnd"/>
      <w:r w:rsidRPr="00007B7D">
        <w:t xml:space="preserve"> </w:t>
      </w:r>
      <w:proofErr w:type="spellStart"/>
      <w:r w:rsidRPr="00007B7D">
        <w:t>peu</w:t>
      </w:r>
      <w:proofErr w:type="spellEnd"/>
      <w:r w:rsidRPr="00007B7D">
        <w:t xml:space="preserve"> </w:t>
      </w:r>
      <w:proofErr w:type="spellStart"/>
      <w:r w:rsidRPr="00007B7D">
        <w:t>d’éléments</w:t>
      </w:r>
      <w:proofErr w:type="spellEnd"/>
      <w:r w:rsidRPr="00007B7D">
        <w:t xml:space="preserve"> </w:t>
      </w:r>
      <w:proofErr w:type="spellStart"/>
      <w:r w:rsidRPr="00007B7D">
        <w:t>autres</w:t>
      </w:r>
      <w:proofErr w:type="spellEnd"/>
      <w:r w:rsidRPr="00007B7D">
        <w:t xml:space="preserve"> que les </w:t>
      </w:r>
      <w:proofErr w:type="spellStart"/>
      <w:r w:rsidRPr="00007B7D">
        <w:t>déclarations</w:t>
      </w:r>
      <w:proofErr w:type="spellEnd"/>
      <w:r w:rsidRPr="00007B7D">
        <w:t xml:space="preserve"> </w:t>
      </w:r>
      <w:proofErr w:type="spellStart"/>
      <w:r w:rsidRPr="00007B7D">
        <w:t>divergentes</w:t>
      </w:r>
      <w:proofErr w:type="spellEnd"/>
      <w:r w:rsidRPr="00007B7D">
        <w:t xml:space="preserve"> de </w:t>
      </w:r>
      <w:proofErr w:type="spellStart"/>
      <w:r w:rsidRPr="00007B7D">
        <w:t>chacune</w:t>
      </w:r>
      <w:proofErr w:type="spellEnd"/>
      <w:r w:rsidRPr="00007B7D">
        <w:t xml:space="preserve"> des parties.</w:t>
      </w:r>
    </w:p>
    <w:p w14:paraId="7BE48992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149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note que </w:t>
      </w:r>
      <w:proofErr w:type="spellStart"/>
      <w:r w:rsidRPr="00007B7D">
        <w:t>selon</w:t>
      </w:r>
      <w:proofErr w:type="spellEnd"/>
      <w:r w:rsidRPr="00007B7D">
        <w:t xml:space="preserve"> le rapport </w:t>
      </w:r>
      <w:proofErr w:type="spellStart"/>
      <w:r w:rsidRPr="00007B7D">
        <w:t>d’évaluation</w:t>
      </w:r>
      <w:proofErr w:type="spellEnd"/>
      <w:r w:rsidRPr="00007B7D">
        <w:t xml:space="preserve"> de </w:t>
      </w:r>
      <w:proofErr w:type="spellStart"/>
      <w:r w:rsidRPr="00007B7D">
        <w:t>référence</w:t>
      </w:r>
      <w:proofErr w:type="spellEnd"/>
      <w:r w:rsidRPr="00007B7D">
        <w:t xml:space="preserve"> du GREVIO </w:t>
      </w:r>
      <w:proofErr w:type="spellStart"/>
      <w:r w:rsidRPr="00007B7D">
        <w:t>concernant</w:t>
      </w:r>
      <w:proofErr w:type="spellEnd"/>
      <w:r w:rsidRPr="00007B7D">
        <w:t xml:space="preserve"> la France du 19 </w:t>
      </w:r>
      <w:proofErr w:type="spellStart"/>
      <w:r w:rsidRPr="00007B7D">
        <w:t>novembre</w:t>
      </w:r>
      <w:proofErr w:type="spellEnd"/>
      <w:r w:rsidRPr="00007B7D">
        <w:t xml:space="preserve"> 2019, la </w:t>
      </w:r>
      <w:proofErr w:type="spellStart"/>
      <w:r w:rsidRPr="00007B7D">
        <w:t>définition</w:t>
      </w:r>
      <w:proofErr w:type="spellEnd"/>
      <w:r w:rsidRPr="00007B7D">
        <w:t xml:space="preserve"> du viol </w:t>
      </w:r>
      <w:proofErr w:type="spellStart"/>
      <w:r w:rsidRPr="00007B7D">
        <w:t>en</w:t>
      </w:r>
      <w:proofErr w:type="spellEnd"/>
      <w:r w:rsidRPr="00007B7D">
        <w:t xml:space="preserve"> droit </w:t>
      </w:r>
      <w:proofErr w:type="spellStart"/>
      <w:r w:rsidRPr="00007B7D">
        <w:t>français</w:t>
      </w:r>
      <w:proofErr w:type="spellEnd"/>
      <w:r w:rsidRPr="00007B7D">
        <w:t xml:space="preserve"> </w:t>
      </w:r>
      <w:proofErr w:type="spellStart"/>
      <w:r w:rsidRPr="00007B7D">
        <w:t>engendre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« forte </w:t>
      </w:r>
      <w:proofErr w:type="spellStart"/>
      <w:r w:rsidRPr="00007B7D">
        <w:t>insécurité</w:t>
      </w:r>
      <w:proofErr w:type="spellEnd"/>
      <w:r w:rsidRPr="00007B7D">
        <w:t xml:space="preserve">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générée</w:t>
      </w:r>
      <w:proofErr w:type="spellEnd"/>
      <w:r w:rsidRPr="00007B7D">
        <w:t xml:space="preserve"> par les </w:t>
      </w:r>
      <w:proofErr w:type="spellStart"/>
      <w:r w:rsidRPr="00007B7D">
        <w:t>interprétations</w:t>
      </w:r>
      <w:proofErr w:type="spellEnd"/>
      <w:r w:rsidRPr="00007B7D">
        <w:t xml:space="preserve"> </w:t>
      </w:r>
      <w:proofErr w:type="spellStart"/>
      <w:r w:rsidRPr="00007B7D">
        <w:t>fluctuantes</w:t>
      </w:r>
      <w:proofErr w:type="spellEnd"/>
      <w:r w:rsidRPr="00007B7D">
        <w:t xml:space="preserve"> des </w:t>
      </w:r>
      <w:proofErr w:type="spellStart"/>
      <w:r w:rsidRPr="00007B7D">
        <w:t>éléments</w:t>
      </w:r>
      <w:proofErr w:type="spellEnd"/>
      <w:r w:rsidRPr="00007B7D">
        <w:t xml:space="preserve"> </w:t>
      </w:r>
      <w:proofErr w:type="spellStart"/>
      <w:r w:rsidRPr="00007B7D">
        <w:t>constitutifs</w:t>
      </w:r>
      <w:proofErr w:type="spellEnd"/>
      <w:r w:rsidRPr="00007B7D">
        <w:t xml:space="preserve"> » de </w:t>
      </w:r>
      <w:proofErr w:type="spellStart"/>
      <w:r w:rsidRPr="00007B7D">
        <w:t>l’infraction</w:t>
      </w:r>
      <w:proofErr w:type="spellEnd"/>
      <w:r w:rsidRPr="00007B7D">
        <w:t xml:space="preserve"> (violence, </w:t>
      </w:r>
      <w:proofErr w:type="spellStart"/>
      <w:r w:rsidRPr="00007B7D">
        <w:t>contrainte</w:t>
      </w:r>
      <w:proofErr w:type="spellEnd"/>
      <w:r w:rsidRPr="00007B7D">
        <w:t xml:space="preserve">, menace </w:t>
      </w:r>
      <w:proofErr w:type="spellStart"/>
      <w:r w:rsidRPr="00007B7D">
        <w:t>ou</w:t>
      </w:r>
      <w:proofErr w:type="spellEnd"/>
      <w:r w:rsidRPr="00007B7D">
        <w:t xml:space="preserve"> surprise) et ne </w:t>
      </w:r>
      <w:proofErr w:type="spellStart"/>
      <w:r w:rsidRPr="00007B7D">
        <w:t>permet</w:t>
      </w:r>
      <w:proofErr w:type="spellEnd"/>
      <w:r w:rsidRPr="00007B7D">
        <w:t xml:space="preserve"> pas « </w:t>
      </w:r>
      <w:proofErr w:type="spellStart"/>
      <w:r w:rsidRPr="00007B7D">
        <w:t>d’englober</w:t>
      </w:r>
      <w:proofErr w:type="spellEnd"/>
      <w:r w:rsidRPr="00007B7D">
        <w:t xml:space="preserve"> la situation de </w:t>
      </w:r>
      <w:proofErr w:type="spellStart"/>
      <w:r w:rsidRPr="00007B7D">
        <w:t>toutes</w:t>
      </w:r>
      <w:proofErr w:type="spellEnd"/>
      <w:r w:rsidRPr="00007B7D">
        <w:t xml:space="preserve"> les </w:t>
      </w:r>
      <w:proofErr w:type="spellStart"/>
      <w:r w:rsidRPr="00007B7D">
        <w:t>victimes</w:t>
      </w:r>
      <w:proofErr w:type="spellEnd"/>
      <w:r w:rsidRPr="00007B7D">
        <w:t xml:space="preserve"> non </w:t>
      </w:r>
      <w:proofErr w:type="spellStart"/>
      <w:r w:rsidRPr="00007B7D">
        <w:t>consentantes</w:t>
      </w:r>
      <w:proofErr w:type="spellEnd"/>
      <w:r w:rsidRPr="00007B7D">
        <w:t xml:space="preserve">, </w:t>
      </w:r>
      <w:proofErr w:type="spellStart"/>
      <w:r w:rsidRPr="00007B7D">
        <w:t>notamment</w:t>
      </w:r>
      <w:proofErr w:type="spellEnd"/>
      <w:r w:rsidRPr="00007B7D">
        <w:t xml:space="preserve"> </w:t>
      </w:r>
      <w:proofErr w:type="spellStart"/>
      <w:r w:rsidRPr="00007B7D">
        <w:t>lorsque</w:t>
      </w:r>
      <w:proofErr w:type="spellEnd"/>
      <w:r w:rsidRPr="00007B7D">
        <w:t xml:space="preserve"> </w:t>
      </w:r>
      <w:proofErr w:type="spellStart"/>
      <w:r w:rsidRPr="00007B7D">
        <w:t>celles</w:t>
      </w:r>
      <w:proofErr w:type="spellEnd"/>
      <w:r w:rsidRPr="00007B7D">
        <w:noBreakHyphen/>
        <w:t xml:space="preserve">ci </w:t>
      </w:r>
      <w:proofErr w:type="spellStart"/>
      <w:r w:rsidRPr="00007B7D">
        <w:t>sont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état</w:t>
      </w:r>
      <w:proofErr w:type="spellEnd"/>
      <w:r w:rsidRPr="00007B7D">
        <w:t xml:space="preserve"> de </w:t>
      </w:r>
      <w:proofErr w:type="spellStart"/>
      <w:r w:rsidRPr="00007B7D">
        <w:t>sidération</w:t>
      </w:r>
      <w:proofErr w:type="spellEnd"/>
      <w:r w:rsidRPr="00007B7D">
        <w:t xml:space="preserve"> » </w:t>
      </w:r>
      <w:proofErr w:type="spellStart"/>
      <w:r w:rsidRPr="00007B7D">
        <w:t>alors</w:t>
      </w:r>
      <w:proofErr w:type="spellEnd"/>
      <w:r w:rsidRPr="00007B7D">
        <w:t xml:space="preserve"> </w:t>
      </w:r>
      <w:proofErr w:type="spellStart"/>
      <w:r w:rsidRPr="00007B7D">
        <w:t>qu’une</w:t>
      </w:r>
      <w:proofErr w:type="spellEnd"/>
      <w:r w:rsidRPr="00007B7D">
        <w:t xml:space="preserve"> « </w:t>
      </w:r>
      <w:proofErr w:type="spellStart"/>
      <w:r w:rsidRPr="00007B7D">
        <w:t>telle</w:t>
      </w:r>
      <w:proofErr w:type="spellEnd"/>
      <w:r w:rsidRPr="00007B7D">
        <w:t xml:space="preserve"> </w:t>
      </w:r>
      <w:proofErr w:type="spellStart"/>
      <w:r w:rsidRPr="00007B7D">
        <w:t>définition</w:t>
      </w:r>
      <w:proofErr w:type="spellEnd"/>
      <w:r w:rsidRPr="00007B7D">
        <w:t xml:space="preserve"> </w:t>
      </w:r>
      <w:proofErr w:type="spellStart"/>
      <w:r w:rsidRPr="00007B7D">
        <w:t>permettrait</w:t>
      </w:r>
      <w:proofErr w:type="spellEnd"/>
      <w:r w:rsidRPr="00007B7D">
        <w:t xml:space="preserve"> (...) </w:t>
      </w:r>
      <w:proofErr w:type="spellStart"/>
      <w:r w:rsidRPr="00007B7D">
        <w:t>d’opérer</w:t>
      </w:r>
      <w:proofErr w:type="spellEnd"/>
      <w:r w:rsidRPr="00007B7D">
        <w:t xml:space="preserve"> le </w:t>
      </w:r>
      <w:proofErr w:type="spellStart"/>
      <w:r w:rsidRPr="00007B7D">
        <w:t>changement</w:t>
      </w:r>
      <w:proofErr w:type="spellEnd"/>
      <w:r w:rsidRPr="00007B7D">
        <w:t xml:space="preserve"> de </w:t>
      </w:r>
      <w:proofErr w:type="spellStart"/>
      <w:r w:rsidRPr="00007B7D">
        <w:t>paradigme</w:t>
      </w:r>
      <w:proofErr w:type="spellEnd"/>
      <w:r w:rsidRPr="00007B7D">
        <w:t xml:space="preserve"> </w:t>
      </w:r>
      <w:proofErr w:type="spellStart"/>
      <w:r w:rsidRPr="00007B7D">
        <w:t>nécessaire</w:t>
      </w:r>
      <w:proofErr w:type="spellEnd"/>
      <w:r w:rsidRPr="00007B7D">
        <w:t xml:space="preserve"> pour </w:t>
      </w:r>
      <w:proofErr w:type="spellStart"/>
      <w:r w:rsidRPr="00007B7D">
        <w:t>reconnaître</w:t>
      </w:r>
      <w:proofErr w:type="spellEnd"/>
      <w:r w:rsidRPr="00007B7D">
        <w:t xml:space="preserve"> la </w:t>
      </w:r>
      <w:proofErr w:type="spellStart"/>
      <w:r w:rsidRPr="00007B7D">
        <w:t>centralité</w:t>
      </w:r>
      <w:proofErr w:type="spellEnd"/>
      <w:r w:rsidRPr="00007B7D">
        <w:t xml:space="preserve"> qui </w:t>
      </w:r>
      <w:proofErr w:type="spellStart"/>
      <w:r w:rsidRPr="00007B7D">
        <w:t>revient</w:t>
      </w:r>
      <w:proofErr w:type="spellEnd"/>
      <w:r w:rsidRPr="00007B7D">
        <w:t xml:space="preserve"> à la </w:t>
      </w:r>
      <w:proofErr w:type="spellStart"/>
      <w:r w:rsidRPr="00007B7D">
        <w:t>volonté</w:t>
      </w:r>
      <w:proofErr w:type="spellEnd"/>
      <w:r w:rsidRPr="00007B7D">
        <w:t xml:space="preserve"> de la </w:t>
      </w:r>
      <w:proofErr w:type="spellStart"/>
      <w:r w:rsidRPr="00007B7D">
        <w:t>victime</w:t>
      </w:r>
      <w:proofErr w:type="spellEnd"/>
      <w:r w:rsidRPr="00007B7D">
        <w:t xml:space="preserve">, et </w:t>
      </w:r>
      <w:proofErr w:type="spellStart"/>
      <w:r w:rsidRPr="00007B7D">
        <w:t>permettrait</w:t>
      </w:r>
      <w:proofErr w:type="spellEnd"/>
      <w:r w:rsidRPr="00007B7D">
        <w:t xml:space="preserve"> à la France de se ranger du </w:t>
      </w:r>
      <w:proofErr w:type="spellStart"/>
      <w:r w:rsidRPr="00007B7D">
        <w:t>côté</w:t>
      </w:r>
      <w:proofErr w:type="spellEnd"/>
      <w:r w:rsidRPr="00007B7D">
        <w:t xml:space="preserve"> de </w:t>
      </w:r>
      <w:proofErr w:type="spellStart"/>
      <w:r w:rsidRPr="00007B7D">
        <w:t>ces</w:t>
      </w:r>
      <w:proofErr w:type="spellEnd"/>
      <w:r w:rsidRPr="00007B7D">
        <w:t xml:space="preserve"> pays qui </w:t>
      </w:r>
      <w:proofErr w:type="spellStart"/>
      <w:r w:rsidRPr="00007B7D">
        <w:t>ont</w:t>
      </w:r>
      <w:proofErr w:type="spellEnd"/>
      <w:r w:rsidRPr="00007B7D">
        <w:t xml:space="preserve"> déjà </w:t>
      </w:r>
      <w:proofErr w:type="spellStart"/>
      <w:r w:rsidRPr="00007B7D">
        <w:t>franchi</w:t>
      </w:r>
      <w:proofErr w:type="spellEnd"/>
      <w:r w:rsidRPr="00007B7D">
        <w:t xml:space="preserve"> </w:t>
      </w:r>
      <w:proofErr w:type="spellStart"/>
      <w:r w:rsidRPr="00007B7D">
        <w:t>ce</w:t>
      </w:r>
      <w:proofErr w:type="spellEnd"/>
      <w:r w:rsidRPr="00007B7D">
        <w:t xml:space="preserve"> pas important » (</w:t>
      </w:r>
      <w:proofErr w:type="spellStart"/>
      <w:r w:rsidRPr="00007B7D">
        <w:t>paragraphe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CadreJur_DI_GREVIO_RappRefFrance2019 \h </w:instrText>
      </w:r>
      <w:r w:rsidRPr="00007B7D">
        <w:fldChar w:fldCharType="separate"/>
      </w:r>
      <w:r w:rsidRPr="00007B7D">
        <w:rPr>
          <w:noProof/>
        </w:rPr>
        <w:t>88</w:t>
      </w:r>
      <w:r w:rsidRPr="00007B7D">
        <w:fldChar w:fldCharType="end"/>
      </w:r>
      <w:r w:rsidRPr="00007B7D">
        <w:t> ci-dessus).</w:t>
      </w:r>
    </w:p>
    <w:p w14:paraId="097EAED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150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, à </w:t>
      </w:r>
      <w:proofErr w:type="spellStart"/>
      <w:r w:rsidRPr="00007B7D">
        <w:t>ce</w:t>
      </w:r>
      <w:proofErr w:type="spellEnd"/>
      <w:r w:rsidRPr="00007B7D">
        <w:t xml:space="preserve"> titre,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existe</w:t>
      </w:r>
      <w:proofErr w:type="spellEnd"/>
      <w:r w:rsidRPr="00007B7D">
        <w:t xml:space="preserve"> </w:t>
      </w:r>
      <w:proofErr w:type="spellStart"/>
      <w:r w:rsidRPr="00007B7D">
        <w:t>aujourd’hui</w:t>
      </w:r>
      <w:proofErr w:type="spellEnd"/>
      <w:r w:rsidRPr="00007B7D">
        <w:t xml:space="preserve"> un consensus </w:t>
      </w:r>
      <w:proofErr w:type="spellStart"/>
      <w:r w:rsidRPr="00007B7D">
        <w:t>grandissant</w:t>
      </w:r>
      <w:proofErr w:type="spellEnd"/>
      <w:r w:rsidRPr="00007B7D">
        <w:t xml:space="preserve"> au sein des </w:t>
      </w:r>
      <w:proofErr w:type="spellStart"/>
      <w:r w:rsidRPr="00007B7D">
        <w:t>États</w:t>
      </w:r>
      <w:proofErr w:type="spellEnd"/>
      <w:r w:rsidRPr="00007B7D">
        <w:t xml:space="preserve"> parties pour </w:t>
      </w:r>
      <w:proofErr w:type="spellStart"/>
      <w:r w:rsidRPr="00007B7D">
        <w:t>intégrer</w:t>
      </w:r>
      <w:proofErr w:type="spellEnd"/>
      <w:r w:rsidRPr="00007B7D">
        <w:t xml:space="preserve"> </w:t>
      </w:r>
      <w:proofErr w:type="spellStart"/>
      <w:r w:rsidRPr="00007B7D">
        <w:t>expressément</w:t>
      </w:r>
      <w:proofErr w:type="spellEnd"/>
      <w:r w:rsidRPr="00007B7D">
        <w:t xml:space="preserve">, dans la </w:t>
      </w:r>
      <w:proofErr w:type="spellStart"/>
      <w:r w:rsidRPr="00007B7D">
        <w:t>définition</w:t>
      </w:r>
      <w:proofErr w:type="spellEnd"/>
      <w:r w:rsidRPr="00007B7D">
        <w:t xml:space="preserve"> du viol </w:t>
      </w:r>
      <w:proofErr w:type="spellStart"/>
      <w:r w:rsidRPr="00007B7D">
        <w:t>ou</w:t>
      </w:r>
      <w:proofErr w:type="spellEnd"/>
      <w:r w:rsidRPr="00007B7D">
        <w:t xml:space="preserve"> des infractions </w:t>
      </w:r>
      <w:proofErr w:type="spellStart"/>
      <w:r w:rsidRPr="00007B7D">
        <w:t>équivalentes</w:t>
      </w:r>
      <w:proofErr w:type="spellEnd"/>
      <w:r w:rsidRPr="00007B7D">
        <w:t xml:space="preserve">, la notion de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éclairé</w:t>
      </w:r>
      <w:proofErr w:type="spellEnd"/>
      <w:r w:rsidRPr="00007B7D">
        <w:t xml:space="preserve"> et </w:t>
      </w:r>
      <w:proofErr w:type="spellStart"/>
      <w:r w:rsidRPr="00007B7D">
        <w:t>consacrer</w:t>
      </w:r>
      <w:proofErr w:type="spellEnd"/>
      <w:r w:rsidRPr="00007B7D">
        <w:t xml:space="preserve"> le </w:t>
      </w:r>
      <w:proofErr w:type="spellStart"/>
      <w:r w:rsidRPr="00007B7D">
        <w:t>défaut</w:t>
      </w:r>
      <w:proofErr w:type="spellEnd"/>
      <w:r w:rsidRPr="00007B7D">
        <w:t xml:space="preserve"> d’un </w:t>
      </w:r>
      <w:proofErr w:type="spellStart"/>
      <w:r w:rsidRPr="00007B7D">
        <w:t>tel</w:t>
      </w:r>
      <w:proofErr w:type="spellEnd"/>
      <w:r w:rsidRPr="00007B7D">
        <w:t xml:space="preserve">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tant </w:t>
      </w:r>
      <w:proofErr w:type="spellStart"/>
      <w:r w:rsidRPr="00007B7D">
        <w:t>qu’élément</w:t>
      </w:r>
      <w:proofErr w:type="spellEnd"/>
      <w:r w:rsidRPr="00007B7D">
        <w:t xml:space="preserve"> </w:t>
      </w:r>
      <w:proofErr w:type="spellStart"/>
      <w:r w:rsidRPr="00007B7D">
        <w:t>constitutif</w:t>
      </w:r>
      <w:proofErr w:type="spellEnd"/>
      <w:r w:rsidRPr="00007B7D">
        <w:t xml:space="preserve"> de </w:t>
      </w:r>
      <w:proofErr w:type="spellStart"/>
      <w:r w:rsidRPr="00007B7D">
        <w:t>l’infraction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CadreJur_DtComparé \h </w:instrText>
      </w:r>
      <w:r w:rsidRPr="00007B7D">
        <w:fldChar w:fldCharType="separate"/>
      </w:r>
      <w:r w:rsidRPr="00007B7D">
        <w:rPr>
          <w:noProof/>
        </w:rPr>
        <w:t>90</w:t>
      </w:r>
      <w:r w:rsidRPr="00007B7D">
        <w:fldChar w:fldCharType="end"/>
      </w:r>
      <w:r w:rsidRPr="00007B7D">
        <w:t xml:space="preserve"> ci-dessus). Par </w:t>
      </w:r>
      <w:proofErr w:type="spellStart"/>
      <w:r w:rsidRPr="00007B7D">
        <w:t>ailleurs</w:t>
      </w:r>
      <w:proofErr w:type="spellEnd"/>
      <w:r w:rsidRPr="00007B7D">
        <w:t xml:space="preserve">, les engagements </w:t>
      </w:r>
      <w:proofErr w:type="spellStart"/>
      <w:r w:rsidRPr="00007B7D">
        <w:t>internationaux</w:t>
      </w:r>
      <w:proofErr w:type="spellEnd"/>
      <w:r w:rsidRPr="00007B7D">
        <w:t xml:space="preserve"> de la France, </w:t>
      </w:r>
      <w:proofErr w:type="spellStart"/>
      <w:r w:rsidRPr="00007B7D">
        <w:t>en</w:t>
      </w:r>
      <w:proofErr w:type="spellEnd"/>
      <w:r w:rsidRPr="00007B7D">
        <w:t xml:space="preserve"> particulier la ratification de la Convention </w:t>
      </w:r>
      <w:proofErr w:type="spellStart"/>
      <w:r w:rsidRPr="00007B7D">
        <w:t>d’Istanbul</w:t>
      </w:r>
      <w:proofErr w:type="spellEnd"/>
      <w:r w:rsidRPr="00007B7D">
        <w:t xml:space="preserve">, </w:t>
      </w:r>
      <w:proofErr w:type="spellStart"/>
      <w:r w:rsidRPr="00007B7D">
        <w:t>appellent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telle</w:t>
      </w:r>
      <w:proofErr w:type="spellEnd"/>
      <w:r w:rsidRPr="00007B7D">
        <w:t xml:space="preserve"> </w:t>
      </w:r>
      <w:proofErr w:type="spellStart"/>
      <w:r w:rsidRPr="00007B7D">
        <w:t>évolution</w:t>
      </w:r>
      <w:proofErr w:type="spellEnd"/>
      <w:r w:rsidRPr="00007B7D">
        <w:t xml:space="preserve">, </w:t>
      </w:r>
      <w:proofErr w:type="spellStart"/>
      <w:r w:rsidRPr="00007B7D">
        <w:t>même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 </w:t>
      </w:r>
      <w:proofErr w:type="spellStart"/>
      <w:r w:rsidRPr="00007B7D">
        <w:t>l’État</w:t>
      </w:r>
      <w:proofErr w:type="spellEnd"/>
      <w:r w:rsidRPr="00007B7D">
        <w:t xml:space="preserve"> </w:t>
      </w:r>
      <w:proofErr w:type="spellStart"/>
      <w:r w:rsidRPr="00007B7D">
        <w:t>défendeur</w:t>
      </w:r>
      <w:proofErr w:type="spellEnd"/>
      <w:r w:rsidRPr="00007B7D">
        <w:t xml:space="preserve"> conserve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certaine</w:t>
      </w:r>
      <w:proofErr w:type="spellEnd"/>
      <w:r w:rsidRPr="00007B7D">
        <w:t xml:space="preserve"> marge pour </w:t>
      </w:r>
      <w:proofErr w:type="spellStart"/>
      <w:r w:rsidRPr="00007B7D">
        <w:t>définir</w:t>
      </w:r>
      <w:proofErr w:type="spellEnd"/>
      <w:r w:rsidRPr="00007B7D">
        <w:t xml:space="preserve">, dans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législation</w:t>
      </w:r>
      <w:proofErr w:type="spellEnd"/>
      <w:r w:rsidRPr="00007B7D">
        <w:t xml:space="preserve">, les </w:t>
      </w:r>
      <w:proofErr w:type="spellStart"/>
      <w:r w:rsidRPr="00007B7D">
        <w:t>critères</w:t>
      </w:r>
      <w:proofErr w:type="spellEnd"/>
      <w:r w:rsidRPr="00007B7D">
        <w:t xml:space="preserve"> d’un </w:t>
      </w:r>
      <w:proofErr w:type="spellStart"/>
      <w:r w:rsidRPr="00007B7D">
        <w:t>consentement</w:t>
      </w:r>
      <w:proofErr w:type="spellEnd"/>
      <w:r w:rsidRPr="00007B7D">
        <w:t xml:space="preserve"> libre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CadreJur_DI_Conv_Istanbul \h </w:instrText>
      </w:r>
      <w:r w:rsidRPr="00007B7D">
        <w:fldChar w:fldCharType="separate"/>
      </w:r>
      <w:r w:rsidRPr="00007B7D">
        <w:rPr>
          <w:noProof/>
        </w:rPr>
        <w:t>85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CadreJur_DI_Conv_Istanbul_rappArt36 \h </w:instrText>
      </w:r>
      <w:r w:rsidRPr="00007B7D">
        <w:fldChar w:fldCharType="separate"/>
      </w:r>
      <w:r w:rsidRPr="00007B7D">
        <w:rPr>
          <w:noProof/>
        </w:rPr>
        <w:t>87</w:t>
      </w:r>
      <w:r w:rsidRPr="00007B7D">
        <w:fldChar w:fldCharType="end"/>
      </w:r>
      <w:r w:rsidRPr="00007B7D">
        <w:t xml:space="preserve"> ci-dessus). À </w:t>
      </w:r>
      <w:proofErr w:type="spellStart"/>
      <w:r w:rsidRPr="00007B7D">
        <w:t>cet</w:t>
      </w:r>
      <w:proofErr w:type="spellEnd"/>
      <w:r w:rsidRPr="00007B7D">
        <w:t xml:space="preserve"> </w:t>
      </w:r>
      <w:proofErr w:type="spellStart"/>
      <w:r w:rsidRPr="00007B7D">
        <w:t>égard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prend</w:t>
      </w:r>
      <w:proofErr w:type="spellEnd"/>
      <w:r w:rsidRPr="00007B7D">
        <w:t xml:space="preserve"> note, après </w:t>
      </w:r>
      <w:proofErr w:type="spellStart"/>
      <w:r w:rsidRPr="00007B7D">
        <w:t>avoir</w:t>
      </w:r>
      <w:proofErr w:type="spellEnd"/>
      <w:r w:rsidRPr="00007B7D">
        <w:t xml:space="preserve"> </w:t>
      </w:r>
      <w:proofErr w:type="spellStart"/>
      <w:r w:rsidRPr="00007B7D">
        <w:t>relevé</w:t>
      </w:r>
      <w:proofErr w:type="spellEnd"/>
      <w:r w:rsidRPr="00007B7D">
        <w:t xml:space="preserve"> les lacunes </w:t>
      </w:r>
      <w:proofErr w:type="spellStart"/>
      <w:r w:rsidRPr="00007B7D">
        <w:t>existantes</w:t>
      </w:r>
      <w:proofErr w:type="spellEnd"/>
      <w:r w:rsidRPr="00007B7D">
        <w:t xml:space="preserve"> du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visant</w:t>
      </w:r>
      <w:proofErr w:type="spellEnd"/>
      <w:r w:rsidRPr="00007B7D">
        <w:t xml:space="preserve"> à </w:t>
      </w:r>
      <w:proofErr w:type="spellStart"/>
      <w:r w:rsidRPr="00007B7D">
        <w:t>protéger</w:t>
      </w:r>
      <w:proofErr w:type="spellEnd"/>
      <w:r w:rsidRPr="00007B7D">
        <w:t xml:space="preserve"> les droits des </w:t>
      </w:r>
      <w:proofErr w:type="spellStart"/>
      <w:r w:rsidRPr="00007B7D">
        <w:t>victimes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, des </w:t>
      </w:r>
      <w:proofErr w:type="spellStart"/>
      <w:r w:rsidRPr="00007B7D">
        <w:t>évolutions</w:t>
      </w:r>
      <w:proofErr w:type="spellEnd"/>
      <w:r w:rsidRPr="00007B7D">
        <w:t xml:space="preserve"> </w:t>
      </w:r>
      <w:proofErr w:type="spellStart"/>
      <w:r w:rsidRPr="00007B7D">
        <w:t>importantes</w:t>
      </w:r>
      <w:proofErr w:type="spellEnd"/>
      <w:r w:rsidRPr="00007B7D">
        <w:t xml:space="preserve"> de la </w:t>
      </w:r>
      <w:proofErr w:type="spellStart"/>
      <w:r w:rsidRPr="00007B7D">
        <w:t>législation</w:t>
      </w:r>
      <w:proofErr w:type="spellEnd"/>
      <w:r w:rsidRPr="00007B7D">
        <w:t xml:space="preserve"> </w:t>
      </w:r>
      <w:proofErr w:type="spellStart"/>
      <w:r w:rsidRPr="00007B7D">
        <w:t>française</w:t>
      </w:r>
      <w:proofErr w:type="spellEnd"/>
      <w:r w:rsidRPr="00007B7D">
        <w:t xml:space="preserve"> </w:t>
      </w:r>
      <w:proofErr w:type="spellStart"/>
      <w:r w:rsidRPr="00007B7D">
        <w:t>intervenues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la matière </w:t>
      </w:r>
      <w:proofErr w:type="spellStart"/>
      <w:r w:rsidRPr="00007B7D">
        <w:t>depuis</w:t>
      </w:r>
      <w:proofErr w:type="spellEnd"/>
      <w:r w:rsidRPr="00007B7D">
        <w:t xml:space="preserve"> 1980 (</w:t>
      </w:r>
      <w:proofErr w:type="spellStart"/>
      <w:r w:rsidRPr="00007B7D">
        <w:t>paragraphe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CadreJur_DI_GREVIO_RappRefFrance2019 \h </w:instrText>
      </w:r>
      <w:r w:rsidRPr="00007B7D">
        <w:fldChar w:fldCharType="separate"/>
      </w:r>
      <w:r w:rsidRPr="00007B7D">
        <w:rPr>
          <w:noProof/>
        </w:rPr>
        <w:t>88</w:t>
      </w:r>
      <w:r w:rsidRPr="00007B7D">
        <w:fldChar w:fldCharType="end"/>
      </w:r>
      <w:r w:rsidRPr="00007B7D">
        <w:t xml:space="preserve"> ci-dessus), </w:t>
      </w:r>
      <w:proofErr w:type="spellStart"/>
      <w:r w:rsidRPr="00007B7D">
        <w:t>ainsi</w:t>
      </w:r>
      <w:proofErr w:type="spellEnd"/>
      <w:r w:rsidRPr="00007B7D">
        <w:t xml:space="preserve"> que de </w:t>
      </w:r>
      <w:proofErr w:type="spellStart"/>
      <w:r w:rsidRPr="00007B7D">
        <w:t>l’adoption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première lecture à </w:t>
      </w:r>
      <w:proofErr w:type="spellStart"/>
      <w:r w:rsidRPr="00007B7D">
        <w:t>l’Assemblée</w:t>
      </w:r>
      <w:proofErr w:type="spellEnd"/>
      <w:r w:rsidRPr="00007B7D">
        <w:t xml:space="preserve"> </w:t>
      </w:r>
      <w:proofErr w:type="spellStart"/>
      <w:r w:rsidRPr="00007B7D">
        <w:t>nationale</w:t>
      </w:r>
      <w:proofErr w:type="spellEnd"/>
      <w:r w:rsidRPr="00007B7D">
        <w:t xml:space="preserve"> et au </w:t>
      </w:r>
      <w:proofErr w:type="spellStart"/>
      <w:r w:rsidRPr="00007B7D">
        <w:t>Sénat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proposition de </w:t>
      </w:r>
      <w:proofErr w:type="spellStart"/>
      <w:r w:rsidRPr="00007B7D">
        <w:t>loi</w:t>
      </w:r>
      <w:proofErr w:type="spellEnd"/>
      <w:r w:rsidRPr="00007B7D">
        <w:t xml:space="preserve"> </w:t>
      </w:r>
      <w:proofErr w:type="spellStart"/>
      <w:r w:rsidRPr="00007B7D">
        <w:t>réformant</w:t>
      </w:r>
      <w:proofErr w:type="spellEnd"/>
      <w:r w:rsidRPr="00007B7D">
        <w:t xml:space="preserve"> la </w:t>
      </w:r>
      <w:proofErr w:type="spellStart"/>
      <w:r w:rsidRPr="00007B7D">
        <w:t>définition</w:t>
      </w:r>
      <w:proofErr w:type="spellEnd"/>
      <w:r w:rsidRPr="00007B7D">
        <w:t xml:space="preserve"> </w:t>
      </w:r>
      <w:proofErr w:type="spellStart"/>
      <w:r w:rsidRPr="00007B7D">
        <w:t>pénale</w:t>
      </w:r>
      <w:proofErr w:type="spellEnd"/>
      <w:r w:rsidRPr="00007B7D">
        <w:t xml:space="preserve"> du viol et des </w:t>
      </w:r>
      <w:proofErr w:type="spellStart"/>
      <w:r w:rsidRPr="00007B7D">
        <w:t>agressions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CadreJur_PropositionsLoi_AvisCE \h </w:instrText>
      </w:r>
      <w:r w:rsidRPr="00007B7D">
        <w:fldChar w:fldCharType="separate"/>
      </w:r>
      <w:r w:rsidRPr="00007B7D">
        <w:rPr>
          <w:noProof/>
        </w:rPr>
        <w:t>81</w:t>
      </w:r>
      <w:r w:rsidRPr="00007B7D">
        <w:fldChar w:fldCharType="end"/>
      </w:r>
      <w:r w:rsidRPr="00007B7D">
        <w:t xml:space="preserve"> ci</w:t>
      </w:r>
      <w:r w:rsidRPr="00007B7D">
        <w:noBreakHyphen/>
        <w:t>dessus).</w:t>
      </w:r>
    </w:p>
    <w:p w14:paraId="5C06FB7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151</w:t>
      </w:r>
      <w:r w:rsidRPr="00007B7D">
        <w:rPr>
          <w:noProof/>
        </w:rPr>
        <w:fldChar w:fldCharType="end"/>
      </w:r>
      <w:r w:rsidRPr="00007B7D">
        <w:t xml:space="preserve">.  Les </w:t>
      </w:r>
      <w:proofErr w:type="spellStart"/>
      <w:r w:rsidRPr="00007B7D">
        <w:t>considérations</w:t>
      </w:r>
      <w:proofErr w:type="spellEnd"/>
      <w:r w:rsidRPr="00007B7D">
        <w:t xml:space="preserve"> qui </w:t>
      </w:r>
      <w:proofErr w:type="spellStart"/>
      <w:r w:rsidRPr="00007B7D">
        <w:t>précèdent</w:t>
      </w:r>
      <w:proofErr w:type="spellEnd"/>
      <w:r w:rsidRPr="00007B7D">
        <w:t xml:space="preserve"> </w:t>
      </w:r>
      <w:proofErr w:type="spellStart"/>
      <w:r w:rsidRPr="00007B7D">
        <w:t>seront</w:t>
      </w:r>
      <w:proofErr w:type="spellEnd"/>
      <w:r w:rsidRPr="00007B7D">
        <w:t xml:space="preserve"> prises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compte</w:t>
      </w:r>
      <w:proofErr w:type="spellEnd"/>
      <w:r w:rsidRPr="00007B7D">
        <w:t xml:space="preserve"> </w:t>
      </w:r>
      <w:proofErr w:type="spellStart"/>
      <w:r w:rsidRPr="00007B7D">
        <w:t>par</w:t>
      </w:r>
      <w:proofErr w:type="spellEnd"/>
      <w:r w:rsidRPr="00007B7D">
        <w:t xml:space="preserve"> la </w:t>
      </w:r>
      <w:proofErr w:type="spellStart"/>
      <w:r w:rsidRPr="00007B7D">
        <w:t>Cour</w:t>
      </w:r>
      <w:proofErr w:type="spellEnd"/>
      <w:r w:rsidRPr="00007B7D">
        <w:t xml:space="preserve"> dans son analyse de la mise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, par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nationales</w:t>
      </w:r>
      <w:proofErr w:type="spellEnd"/>
      <w:r w:rsidRPr="00007B7D">
        <w:t xml:space="preserve">, du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relatif</w:t>
      </w:r>
      <w:proofErr w:type="spellEnd"/>
      <w:r w:rsidRPr="00007B7D">
        <w:t xml:space="preserve"> à la </w:t>
      </w:r>
      <w:proofErr w:type="spellStart"/>
      <w:r w:rsidRPr="00007B7D">
        <w:t>répression</w:t>
      </w:r>
      <w:proofErr w:type="spellEnd"/>
      <w:r w:rsidRPr="00007B7D">
        <w:t xml:space="preserve"> des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>.</w:t>
      </w:r>
    </w:p>
    <w:p w14:paraId="12EA2AB9" w14:textId="77777777" w:rsidR="005D5C86" w:rsidRPr="00007B7D" w:rsidRDefault="005D5C86" w:rsidP="005D5C86">
      <w:pPr>
        <w:pStyle w:val="ECHRHeading5"/>
        <w:numPr>
          <w:ilvl w:val="0"/>
          <w:numId w:val="21"/>
        </w:numPr>
        <w:ind w:left="1190" w:hanging="357"/>
      </w:pPr>
      <w:r w:rsidRPr="00007B7D">
        <w:t xml:space="preserve">Sur la mise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du cadre </w:t>
      </w:r>
      <w:proofErr w:type="spellStart"/>
      <w:r w:rsidRPr="00007B7D">
        <w:t>juridique</w:t>
      </w:r>
      <w:proofErr w:type="spellEnd"/>
      <w:r w:rsidRPr="00007B7D">
        <w:t xml:space="preserve"> interne </w:t>
      </w:r>
      <w:proofErr w:type="spellStart"/>
      <w:r w:rsidRPr="00007B7D">
        <w:t>relatif</w:t>
      </w:r>
      <w:proofErr w:type="spellEnd"/>
      <w:r w:rsidRPr="00007B7D">
        <w:t xml:space="preserve"> à la </w:t>
      </w:r>
      <w:proofErr w:type="spellStart"/>
      <w:r w:rsidRPr="00007B7D">
        <w:t>répression</w:t>
      </w:r>
      <w:proofErr w:type="spellEnd"/>
      <w:r w:rsidRPr="00007B7D">
        <w:t xml:space="preserve"> des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</w:p>
    <w:p w14:paraId="3C75C5E9" w14:textId="77777777" w:rsidR="005D5C86" w:rsidRPr="00007B7D" w:rsidRDefault="005D5C86" w:rsidP="005D5C86">
      <w:pPr>
        <w:pStyle w:val="ECHRPara"/>
        <w:rPr>
          <w:iCs/>
        </w:rPr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152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constate, à titre </w:t>
      </w:r>
      <w:proofErr w:type="spellStart"/>
      <w:r w:rsidRPr="00007B7D">
        <w:t>liminaire</w:t>
      </w:r>
      <w:proofErr w:type="spellEnd"/>
      <w:r w:rsidRPr="00007B7D">
        <w:t xml:space="preserve">, que les </w:t>
      </w:r>
      <w:proofErr w:type="spellStart"/>
      <w:r w:rsidRPr="00007B7D">
        <w:t>autorités</w:t>
      </w:r>
      <w:proofErr w:type="spellEnd"/>
      <w:r w:rsidRPr="00007B7D">
        <w:t xml:space="preserve"> internes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promptement</w:t>
      </w:r>
      <w:proofErr w:type="spellEnd"/>
      <w:r w:rsidRPr="00007B7D">
        <w:t xml:space="preserve"> </w:t>
      </w:r>
      <w:proofErr w:type="spellStart"/>
      <w:r w:rsidRPr="00007B7D">
        <w:t>réagi</w:t>
      </w:r>
      <w:proofErr w:type="spellEnd"/>
      <w:r w:rsidRPr="00007B7D">
        <w:t xml:space="preserve"> aux </w:t>
      </w:r>
      <w:proofErr w:type="spellStart"/>
      <w:r w:rsidRPr="00007B7D">
        <w:t>révélations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La direction du CH </w:t>
      </w:r>
      <w:proofErr w:type="gramStart"/>
      <w:r w:rsidRPr="00007B7D">
        <w:t>a</w:t>
      </w:r>
      <w:proofErr w:type="gramEnd"/>
      <w:r w:rsidRPr="00007B7D">
        <w:t xml:space="preserve"> </w:t>
      </w:r>
      <w:proofErr w:type="spellStart"/>
      <w:r w:rsidRPr="00007B7D">
        <w:t>ainsi</w:t>
      </w:r>
      <w:proofErr w:type="spellEnd"/>
      <w:r w:rsidRPr="00007B7D">
        <w:t xml:space="preserve"> </w:t>
      </w:r>
      <w:proofErr w:type="spellStart"/>
      <w:r w:rsidRPr="00007B7D">
        <w:t>rapidement</w:t>
      </w:r>
      <w:proofErr w:type="spellEnd"/>
      <w:r w:rsidRPr="00007B7D">
        <w:t xml:space="preserve"> </w:t>
      </w:r>
      <w:proofErr w:type="spellStart"/>
      <w:r w:rsidRPr="00007B7D">
        <w:t>diligenté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enquête</w:t>
      </w:r>
      <w:proofErr w:type="spellEnd"/>
      <w:r w:rsidRPr="00007B7D">
        <w:t xml:space="preserve"> administrative, </w:t>
      </w:r>
      <w:proofErr w:type="spellStart"/>
      <w:r w:rsidRPr="00007B7D">
        <w:t>suspendu</w:t>
      </w:r>
      <w:proofErr w:type="spellEnd"/>
      <w:r w:rsidRPr="00007B7D">
        <w:t xml:space="preserve"> K.B.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fonctions</w:t>
      </w:r>
      <w:proofErr w:type="spellEnd"/>
      <w:r w:rsidRPr="00007B7D">
        <w:t xml:space="preserve"> et </w:t>
      </w:r>
      <w:proofErr w:type="spellStart"/>
      <w:r w:rsidRPr="00007B7D">
        <w:t>dénoncé</w:t>
      </w:r>
      <w:proofErr w:type="spellEnd"/>
      <w:r w:rsidRPr="00007B7D">
        <w:t xml:space="preserve"> les faits au </w:t>
      </w:r>
      <w:proofErr w:type="spellStart"/>
      <w:r w:rsidRPr="00007B7D">
        <w:t>ministère</w:t>
      </w:r>
      <w:proofErr w:type="spellEnd"/>
      <w:r w:rsidRPr="00007B7D">
        <w:t xml:space="preserve"> public. Une </w:t>
      </w:r>
      <w:proofErr w:type="spellStart"/>
      <w:r w:rsidRPr="00007B7D">
        <w:t>enquête</w:t>
      </w:r>
      <w:proofErr w:type="spellEnd"/>
      <w:r w:rsidRPr="00007B7D">
        <w:t xml:space="preserve"> </w:t>
      </w:r>
      <w:proofErr w:type="spellStart"/>
      <w:r w:rsidRPr="00007B7D">
        <w:t>préliminaire</w:t>
      </w:r>
      <w:proofErr w:type="spellEnd"/>
      <w:r w:rsidRPr="00007B7D">
        <w:t xml:space="preserve"> a </w:t>
      </w:r>
      <w:proofErr w:type="spellStart"/>
      <w:r w:rsidRPr="00007B7D">
        <w:t>été</w:t>
      </w:r>
      <w:proofErr w:type="spellEnd"/>
      <w:r w:rsidRPr="00007B7D">
        <w:t xml:space="preserve"> ouverte </w:t>
      </w:r>
      <w:proofErr w:type="spellStart"/>
      <w:r w:rsidRPr="00007B7D">
        <w:t>dès</w:t>
      </w:r>
      <w:proofErr w:type="spellEnd"/>
      <w:r w:rsidRPr="00007B7D">
        <w:t xml:space="preserve"> le 5 </w:t>
      </w:r>
      <w:proofErr w:type="spellStart"/>
      <w:r w:rsidRPr="00007B7D">
        <w:t>août</w:t>
      </w:r>
      <w:proofErr w:type="spellEnd"/>
      <w:r w:rsidRPr="00007B7D">
        <w:t xml:space="preserve"> 2013, les investigations </w:t>
      </w:r>
      <w:proofErr w:type="spellStart"/>
      <w:r w:rsidRPr="00007B7D">
        <w:t>s’étant</w:t>
      </w:r>
      <w:proofErr w:type="spellEnd"/>
      <w:r w:rsidRPr="00007B7D">
        <w:t xml:space="preserve"> </w:t>
      </w:r>
      <w:proofErr w:type="spellStart"/>
      <w:r w:rsidRPr="00007B7D">
        <w:t>poursuivies</w:t>
      </w:r>
      <w:proofErr w:type="spellEnd"/>
      <w:r w:rsidRPr="00007B7D">
        <w:t xml:space="preserve"> dans le </w:t>
      </w:r>
      <w:r w:rsidRPr="00007B7D">
        <w:lastRenderedPageBreak/>
        <w:t xml:space="preserve">cadre </w:t>
      </w:r>
      <w:proofErr w:type="spellStart"/>
      <w:r w:rsidRPr="00007B7D">
        <w:t>d’une</w:t>
      </w:r>
      <w:proofErr w:type="spellEnd"/>
      <w:r w:rsidRPr="00007B7D">
        <w:t xml:space="preserve"> information </w:t>
      </w:r>
      <w:proofErr w:type="spellStart"/>
      <w:r w:rsidRPr="00007B7D">
        <w:t>judiciaire</w:t>
      </w:r>
      <w:proofErr w:type="spellEnd"/>
      <w:r w:rsidRPr="00007B7D">
        <w:t xml:space="preserve">. Des investigations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menées</w:t>
      </w:r>
      <w:proofErr w:type="spellEnd"/>
      <w:r w:rsidRPr="00007B7D">
        <w:t xml:space="preserve"> </w:t>
      </w:r>
      <w:proofErr w:type="spellStart"/>
      <w:r w:rsidRPr="00007B7D">
        <w:t>afin</w:t>
      </w:r>
      <w:proofErr w:type="spellEnd"/>
      <w:r w:rsidRPr="00007B7D">
        <w:t xml:space="preserve"> </w:t>
      </w:r>
      <w:proofErr w:type="spellStart"/>
      <w:r w:rsidRPr="00007B7D">
        <w:t>d’apprécier</w:t>
      </w:r>
      <w:proofErr w:type="spellEnd"/>
      <w:r w:rsidRPr="00007B7D">
        <w:t xml:space="preserve"> la </w:t>
      </w:r>
      <w:proofErr w:type="spellStart"/>
      <w:r w:rsidRPr="00007B7D">
        <w:t>crédibilité</w:t>
      </w:r>
      <w:proofErr w:type="spellEnd"/>
      <w:r w:rsidRPr="00007B7D">
        <w:t xml:space="preserve"> de la </w:t>
      </w:r>
      <w:proofErr w:type="spellStart"/>
      <w:r w:rsidRPr="00007B7D">
        <w:t>plaignante</w:t>
      </w:r>
      <w:proofErr w:type="spellEnd"/>
      <w:r w:rsidRPr="00007B7D">
        <w:t xml:space="preserve"> et du mis </w:t>
      </w:r>
      <w:proofErr w:type="spellStart"/>
      <w:r w:rsidRPr="00007B7D">
        <w:t>en</w:t>
      </w:r>
      <w:proofErr w:type="spellEnd"/>
      <w:r w:rsidRPr="00007B7D">
        <w:t xml:space="preserve"> cause et </w:t>
      </w:r>
      <w:proofErr w:type="spellStart"/>
      <w:r w:rsidRPr="00007B7D">
        <w:t>d’évaluer</w:t>
      </w:r>
      <w:proofErr w:type="spellEnd"/>
      <w:r w:rsidRPr="00007B7D">
        <w:t xml:space="preserve"> le </w:t>
      </w:r>
      <w:proofErr w:type="spellStart"/>
      <w:r w:rsidRPr="00007B7D">
        <w:t>retentissement</w:t>
      </w:r>
      <w:proofErr w:type="spellEnd"/>
      <w:r w:rsidRPr="00007B7D">
        <w:t xml:space="preserve"> des faits </w:t>
      </w:r>
      <w:proofErr w:type="spellStart"/>
      <w:r w:rsidRPr="00007B7D">
        <w:t>dénoncés</w:t>
      </w:r>
      <w:proofErr w:type="spellEnd"/>
      <w:r w:rsidRPr="00007B7D">
        <w:t xml:space="preserve">, </w:t>
      </w:r>
      <w:proofErr w:type="spellStart"/>
      <w:r w:rsidRPr="00007B7D">
        <w:t>notamment</w:t>
      </w:r>
      <w:proofErr w:type="spellEnd"/>
      <w:r w:rsidRPr="00007B7D">
        <w:t xml:space="preserve"> au </w:t>
      </w:r>
      <w:proofErr w:type="spellStart"/>
      <w:r w:rsidRPr="00007B7D">
        <w:t>moyen</w:t>
      </w:r>
      <w:proofErr w:type="spellEnd"/>
      <w:r w:rsidRPr="00007B7D">
        <w:t xml:space="preserve"> </w:t>
      </w:r>
      <w:proofErr w:type="spellStart"/>
      <w:r w:rsidRPr="00007B7D">
        <w:t>d’examens</w:t>
      </w:r>
      <w:proofErr w:type="spellEnd"/>
      <w:r w:rsidRPr="00007B7D">
        <w:t xml:space="preserve"> </w:t>
      </w:r>
      <w:proofErr w:type="spellStart"/>
      <w:r w:rsidRPr="00007B7D">
        <w:t>médicaux</w:t>
      </w:r>
      <w:proofErr w:type="spellEnd"/>
      <w:r w:rsidRPr="00007B7D">
        <w:t xml:space="preserve"> et </w:t>
      </w:r>
      <w:proofErr w:type="spellStart"/>
      <w:r w:rsidRPr="00007B7D">
        <w:t>d’expertises</w:t>
      </w:r>
      <w:proofErr w:type="spellEnd"/>
      <w:r w:rsidRPr="00007B7D">
        <w:t xml:space="preserve"> </w:t>
      </w:r>
      <w:proofErr w:type="spellStart"/>
      <w:r w:rsidRPr="00007B7D">
        <w:t>psychiatriques</w:t>
      </w:r>
      <w:proofErr w:type="spellEnd"/>
      <w:r w:rsidRPr="00007B7D">
        <w:t xml:space="preserve"> et </w:t>
      </w:r>
      <w:proofErr w:type="spellStart"/>
      <w:r w:rsidRPr="00007B7D">
        <w:t>psychologiques</w:t>
      </w:r>
      <w:proofErr w:type="spellEnd"/>
      <w:r w:rsidRPr="00007B7D">
        <w:t xml:space="preserve"> (comparer avec </w:t>
      </w:r>
      <w:r w:rsidRPr="00007B7D">
        <w:rPr>
          <w:i/>
          <w:iCs/>
        </w:rPr>
        <w:t>M.C.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§§ 177-178). </w:t>
      </w:r>
      <w:proofErr w:type="spellStart"/>
      <w:r w:rsidRPr="00007B7D">
        <w:t>Enfin</w:t>
      </w:r>
      <w:proofErr w:type="spellEnd"/>
      <w:r w:rsidRPr="00007B7D">
        <w:t xml:space="preserve">, des </w:t>
      </w:r>
      <w:proofErr w:type="spellStart"/>
      <w:r w:rsidRPr="00007B7D">
        <w:t>poursuites</w:t>
      </w:r>
      <w:proofErr w:type="spellEnd"/>
      <w:r w:rsidRPr="00007B7D">
        <w:t xml:space="preserve"> </w:t>
      </w:r>
      <w:proofErr w:type="spellStart"/>
      <w:r w:rsidRPr="00007B7D">
        <w:t>pénales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exercées</w:t>
      </w:r>
      <w:proofErr w:type="spellEnd"/>
      <w:r w:rsidRPr="00007B7D">
        <w:t xml:space="preserve"> à </w:t>
      </w:r>
      <w:proofErr w:type="spellStart"/>
      <w:r w:rsidRPr="00007B7D">
        <w:t>l’encontre</w:t>
      </w:r>
      <w:proofErr w:type="spellEnd"/>
      <w:r w:rsidRPr="00007B7D">
        <w:t xml:space="preserve"> de K.B. Si </w:t>
      </w:r>
      <w:proofErr w:type="spellStart"/>
      <w:r w:rsidRPr="00007B7D">
        <w:t>celui</w:t>
      </w:r>
      <w:proofErr w:type="spellEnd"/>
      <w:r w:rsidRPr="00007B7D">
        <w:t xml:space="preserve">-ci a </w:t>
      </w:r>
      <w:proofErr w:type="spellStart"/>
      <w:r w:rsidRPr="00007B7D">
        <w:t>finalement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relaxé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rappelle</w:t>
      </w:r>
      <w:proofErr w:type="spellEnd"/>
      <w:r w:rsidRPr="00007B7D">
        <w:t xml:space="preserve"> que </w:t>
      </w:r>
      <w:proofErr w:type="spellStart"/>
      <w:r w:rsidRPr="00007B7D">
        <w:t>cette</w:t>
      </w:r>
      <w:proofErr w:type="spellEnd"/>
      <w:r w:rsidRPr="00007B7D">
        <w:t xml:space="preserve"> </w:t>
      </w:r>
      <w:proofErr w:type="spellStart"/>
      <w:r w:rsidRPr="00007B7D">
        <w:t>circonstance</w:t>
      </w:r>
      <w:proofErr w:type="spellEnd"/>
      <w:r w:rsidRPr="00007B7D">
        <w:t xml:space="preserve"> ne </w:t>
      </w:r>
      <w:proofErr w:type="spellStart"/>
      <w:r w:rsidRPr="00007B7D">
        <w:t>suffit</w:t>
      </w:r>
      <w:proofErr w:type="spellEnd"/>
      <w:r w:rsidRPr="00007B7D">
        <w:t xml:space="preserve"> pas, à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seule</w:t>
      </w:r>
      <w:proofErr w:type="spellEnd"/>
      <w:r w:rsidRPr="00007B7D">
        <w:t xml:space="preserve">, à </w:t>
      </w:r>
      <w:proofErr w:type="spellStart"/>
      <w:r w:rsidRPr="00007B7D">
        <w:t>conclure</w:t>
      </w:r>
      <w:proofErr w:type="spellEnd"/>
      <w:r w:rsidRPr="00007B7D">
        <w:t xml:space="preserve"> à la </w:t>
      </w:r>
      <w:proofErr w:type="spellStart"/>
      <w:r w:rsidRPr="00007B7D">
        <w:t>méconnaissance</w:t>
      </w:r>
      <w:proofErr w:type="spellEnd"/>
      <w:r w:rsidRPr="00007B7D">
        <w:t xml:space="preserve"> de </w:t>
      </w:r>
      <w:proofErr w:type="spellStart"/>
      <w:r w:rsidRPr="00007B7D">
        <w:t>l’obligation</w:t>
      </w:r>
      <w:proofErr w:type="spellEnd"/>
      <w:r w:rsidRPr="00007B7D">
        <w:t xml:space="preserve"> de </w:t>
      </w:r>
      <w:proofErr w:type="spellStart"/>
      <w:r w:rsidRPr="00007B7D">
        <w:t>mener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enquête</w:t>
      </w:r>
      <w:proofErr w:type="spellEnd"/>
      <w:r w:rsidRPr="00007B7D">
        <w:t xml:space="preserve"> effective. Il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revient</w:t>
      </w:r>
      <w:proofErr w:type="spellEnd"/>
      <w:r w:rsidRPr="00007B7D">
        <w:t xml:space="preserve"> </w:t>
      </w:r>
      <w:proofErr w:type="spellStart"/>
      <w:r w:rsidRPr="00007B7D">
        <w:t>toutefois</w:t>
      </w:r>
      <w:proofErr w:type="spellEnd"/>
      <w:r w:rsidRPr="00007B7D">
        <w:t xml:space="preserve"> de </w:t>
      </w:r>
      <w:proofErr w:type="spellStart"/>
      <w:r w:rsidRPr="00007B7D">
        <w:t>rechercher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 la </w:t>
      </w:r>
      <w:proofErr w:type="spellStart"/>
      <w:r w:rsidRPr="00007B7D">
        <w:t>procédure</w:t>
      </w:r>
      <w:proofErr w:type="spellEnd"/>
      <w:r w:rsidRPr="00007B7D">
        <w:t xml:space="preserve">, </w:t>
      </w:r>
      <w:proofErr w:type="spellStart"/>
      <w:r w:rsidRPr="00007B7D">
        <w:t>considérée</w:t>
      </w:r>
      <w:proofErr w:type="spellEnd"/>
      <w:r w:rsidRPr="00007B7D">
        <w:t xml:space="preserve"> dans son ensemble, </w:t>
      </w:r>
      <w:proofErr w:type="gramStart"/>
      <w:r w:rsidRPr="00007B7D">
        <w:t>a</w:t>
      </w:r>
      <w:proofErr w:type="gramEnd"/>
      <w:r w:rsidRPr="00007B7D">
        <w:t xml:space="preserve"> </w:t>
      </w:r>
      <w:proofErr w:type="spellStart"/>
      <w:r w:rsidRPr="00007B7D">
        <w:t>assuré</w:t>
      </w:r>
      <w:proofErr w:type="spellEnd"/>
      <w:r w:rsidRPr="00007B7D">
        <w:t xml:space="preserve"> à E.A. </w:t>
      </w:r>
      <w:proofErr w:type="spellStart"/>
      <w:r w:rsidRPr="00007B7D">
        <w:t>une</w:t>
      </w:r>
      <w:proofErr w:type="spellEnd"/>
      <w:r w:rsidRPr="00007B7D">
        <w:t xml:space="preserve"> protection effective </w:t>
      </w:r>
      <w:proofErr w:type="spellStart"/>
      <w:r w:rsidRPr="00007B7D">
        <w:t>contre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 commis par autrui.</w:t>
      </w:r>
    </w:p>
    <w:p w14:paraId="0D365929" w14:textId="77777777" w:rsidR="005D5C86" w:rsidRPr="00007B7D" w:rsidRDefault="005D5C86" w:rsidP="005D5C86">
      <w:pPr>
        <w:pStyle w:val="ECHRHeading6"/>
        <w:numPr>
          <w:ilvl w:val="0"/>
          <w:numId w:val="21"/>
        </w:numPr>
        <w:ind w:left="1373" w:hanging="335"/>
      </w:pPr>
      <w:r w:rsidRPr="00007B7D">
        <w:t xml:space="preserve">Sur </w:t>
      </w:r>
      <w:proofErr w:type="spellStart"/>
      <w:r w:rsidRPr="00007B7D">
        <w:t>l’effectivité</w:t>
      </w:r>
      <w:proofErr w:type="spellEnd"/>
      <w:r w:rsidRPr="00007B7D">
        <w:t xml:space="preserve"> de </w:t>
      </w:r>
      <w:proofErr w:type="spellStart"/>
      <w:r w:rsidRPr="00007B7D">
        <w:t>l’enquête</w:t>
      </w:r>
      <w:proofErr w:type="spellEnd"/>
      <w:r w:rsidRPr="00007B7D">
        <w:t xml:space="preserve"> et des </w:t>
      </w:r>
      <w:proofErr w:type="spellStart"/>
      <w:r w:rsidRPr="00007B7D">
        <w:t>poursuites</w:t>
      </w:r>
      <w:proofErr w:type="spellEnd"/>
    </w:p>
    <w:p w14:paraId="79072161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153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S’agissant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premier lieu, du cadre de </w:t>
      </w:r>
      <w:proofErr w:type="spellStart"/>
      <w:r w:rsidRPr="00007B7D">
        <w:t>l’enquête</w:t>
      </w:r>
      <w:proofErr w:type="spellEnd"/>
      <w:r w:rsidRPr="00007B7D">
        <w:t xml:space="preserve"> et de la nature des </w:t>
      </w:r>
      <w:proofErr w:type="spellStart"/>
      <w:r w:rsidRPr="00007B7D">
        <w:t>poursuites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que les </w:t>
      </w:r>
      <w:proofErr w:type="spellStart"/>
      <w:r w:rsidRPr="00007B7D">
        <w:t>informations</w:t>
      </w:r>
      <w:proofErr w:type="spellEnd"/>
      <w:r w:rsidRPr="00007B7D">
        <w:t xml:space="preserve"> </w:t>
      </w:r>
      <w:proofErr w:type="spellStart"/>
      <w:r w:rsidRPr="00007B7D">
        <w:t>portées</w:t>
      </w:r>
      <w:proofErr w:type="spellEnd"/>
      <w:r w:rsidRPr="00007B7D">
        <w:t xml:space="preserve"> à la </w:t>
      </w:r>
      <w:proofErr w:type="spellStart"/>
      <w:r w:rsidRPr="00007B7D">
        <w:t>connaissance</w:t>
      </w:r>
      <w:proofErr w:type="spellEnd"/>
      <w:r w:rsidRPr="00007B7D">
        <w:t xml:space="preserve"> du </w:t>
      </w:r>
      <w:proofErr w:type="spellStart"/>
      <w:r w:rsidRPr="00007B7D">
        <w:t>ministère</w:t>
      </w:r>
      <w:proofErr w:type="spellEnd"/>
      <w:r w:rsidRPr="00007B7D">
        <w:t xml:space="preserve"> public et la </w:t>
      </w:r>
      <w:proofErr w:type="spellStart"/>
      <w:r w:rsidRPr="00007B7D">
        <w:t>plainte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</w:t>
      </w:r>
      <w:proofErr w:type="spellStart"/>
      <w:r w:rsidRPr="00007B7D">
        <w:t>comprenaient</w:t>
      </w:r>
      <w:proofErr w:type="spellEnd"/>
      <w:r w:rsidRPr="00007B7D">
        <w:t xml:space="preserve"> </w:t>
      </w:r>
      <w:proofErr w:type="spellStart"/>
      <w:r w:rsidRPr="00007B7D">
        <w:t>indiscutablement</w:t>
      </w:r>
      <w:proofErr w:type="spellEnd"/>
      <w:r w:rsidRPr="00007B7D">
        <w:t xml:space="preserve"> des </w:t>
      </w:r>
      <w:proofErr w:type="spellStart"/>
      <w:r w:rsidRPr="00007B7D">
        <w:t>allégations</w:t>
      </w:r>
      <w:proofErr w:type="spellEnd"/>
      <w:r w:rsidRPr="00007B7D">
        <w:t xml:space="preserve"> </w:t>
      </w:r>
      <w:proofErr w:type="spellStart"/>
      <w:r w:rsidRPr="00007B7D">
        <w:t>défendables</w:t>
      </w:r>
      <w:proofErr w:type="spellEnd"/>
      <w:r w:rsidRPr="00007B7D">
        <w:t xml:space="preserve"> de viols et </w:t>
      </w:r>
      <w:proofErr w:type="spellStart"/>
      <w:r w:rsidRPr="00007B7D">
        <w:t>d’agressions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Faits_Art40CPP \h </w:instrText>
      </w:r>
      <w:r w:rsidRPr="00007B7D">
        <w:fldChar w:fldCharType="separate"/>
      </w:r>
      <w:r w:rsidRPr="00007B7D">
        <w:rPr>
          <w:noProof/>
        </w:rPr>
        <w:t>14</w:t>
      </w:r>
      <w:r w:rsidRPr="00007B7D">
        <w:fldChar w:fldCharType="end"/>
      </w:r>
      <w:r w:rsidRPr="00007B7D">
        <w:t xml:space="preserve"> et </w:t>
      </w:r>
      <w:r w:rsidRPr="00007B7D">
        <w:fldChar w:fldCharType="begin"/>
      </w:r>
      <w:r w:rsidRPr="00007B7D">
        <w:instrText xml:space="preserve"> REF Faits_PlaintePR_faitsdénoncés \h </w:instrText>
      </w:r>
      <w:r w:rsidRPr="00007B7D">
        <w:fldChar w:fldCharType="separate"/>
      </w:r>
      <w:r w:rsidRPr="00007B7D">
        <w:rPr>
          <w:noProof/>
        </w:rPr>
        <w:t>21</w:t>
      </w:r>
      <w:r w:rsidRPr="00007B7D">
        <w:fldChar w:fldCharType="end"/>
      </w:r>
      <w:r w:rsidRPr="00007B7D">
        <w:t xml:space="preserve"> ci-dessus). Or, </w:t>
      </w:r>
      <w:proofErr w:type="spellStart"/>
      <w:r w:rsidRPr="00007B7D">
        <w:t>si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enquête</w:t>
      </w:r>
      <w:proofErr w:type="spellEnd"/>
      <w:r w:rsidRPr="00007B7D">
        <w:t xml:space="preserve"> </w:t>
      </w:r>
      <w:proofErr w:type="spellStart"/>
      <w:r w:rsidRPr="00007B7D">
        <w:t>préliminaire</w:t>
      </w:r>
      <w:proofErr w:type="spellEnd"/>
      <w:r w:rsidRPr="00007B7D">
        <w:t xml:space="preserve"> a bien </w:t>
      </w:r>
      <w:proofErr w:type="spellStart"/>
      <w:r w:rsidRPr="00007B7D">
        <w:t>été</w:t>
      </w:r>
      <w:proofErr w:type="spellEnd"/>
      <w:r w:rsidRPr="00007B7D">
        <w:t xml:space="preserve"> ouverte, la </w:t>
      </w:r>
      <w:proofErr w:type="spellStart"/>
      <w:r w:rsidRPr="00007B7D">
        <w:t>Cour</w:t>
      </w:r>
      <w:proofErr w:type="spellEnd"/>
      <w:r w:rsidRPr="00007B7D">
        <w:t xml:space="preserve"> constate tout </w:t>
      </w:r>
      <w:proofErr w:type="spellStart"/>
      <w:r w:rsidRPr="00007B7D">
        <w:t>d’abord</w:t>
      </w:r>
      <w:proofErr w:type="spellEnd"/>
      <w:r w:rsidRPr="00007B7D">
        <w:t xml:space="preserve"> que le </w:t>
      </w:r>
      <w:proofErr w:type="spellStart"/>
      <w:r w:rsidRPr="00007B7D">
        <w:t>ministère</w:t>
      </w:r>
      <w:proofErr w:type="spellEnd"/>
      <w:r w:rsidRPr="00007B7D">
        <w:t xml:space="preserve"> public </w:t>
      </w:r>
      <w:proofErr w:type="spellStart"/>
      <w:r w:rsidRPr="00007B7D">
        <w:t>s’est</w:t>
      </w:r>
      <w:proofErr w:type="spellEnd"/>
      <w:r w:rsidRPr="00007B7D">
        <w:t xml:space="preserve"> </w:t>
      </w:r>
      <w:proofErr w:type="spellStart"/>
      <w:r w:rsidRPr="00007B7D">
        <w:t>abstenu</w:t>
      </w:r>
      <w:proofErr w:type="spellEnd"/>
      <w:r w:rsidRPr="00007B7D">
        <w:t xml:space="preserve"> </w:t>
      </w:r>
      <w:proofErr w:type="spellStart"/>
      <w:r w:rsidRPr="00007B7D">
        <w:t>d’en</w:t>
      </w:r>
      <w:proofErr w:type="spellEnd"/>
      <w:r w:rsidRPr="00007B7D">
        <w:t xml:space="preserve"> </w:t>
      </w:r>
      <w:proofErr w:type="spellStart"/>
      <w:r w:rsidRPr="00007B7D">
        <w:t>spécifier</w:t>
      </w:r>
      <w:proofErr w:type="spellEnd"/>
      <w:r w:rsidRPr="00007B7D">
        <w:t xml:space="preserve"> </w:t>
      </w:r>
      <w:proofErr w:type="spellStart"/>
      <w:r w:rsidRPr="00007B7D">
        <w:t>l’objet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Faits_OuvertureEP \h </w:instrText>
      </w:r>
      <w:r w:rsidRPr="00007B7D">
        <w:fldChar w:fldCharType="separate"/>
      </w:r>
      <w:r w:rsidRPr="00007B7D">
        <w:rPr>
          <w:noProof/>
        </w:rPr>
        <w:t>18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Faits_JonctionPlainte \h </w:instrText>
      </w:r>
      <w:r w:rsidRPr="00007B7D">
        <w:fldChar w:fldCharType="separate"/>
      </w:r>
      <w:r w:rsidRPr="00007B7D">
        <w:rPr>
          <w:noProof/>
        </w:rPr>
        <w:t>23</w:t>
      </w:r>
      <w:r w:rsidRPr="00007B7D">
        <w:fldChar w:fldCharType="end"/>
      </w:r>
      <w:r w:rsidRPr="00007B7D">
        <w:t xml:space="preserve"> ci-dessus), </w:t>
      </w:r>
      <w:proofErr w:type="spellStart"/>
      <w:r w:rsidRPr="00007B7D">
        <w:t>ensuite</w:t>
      </w:r>
      <w:proofErr w:type="spellEnd"/>
      <w:r w:rsidRPr="00007B7D">
        <w:t xml:space="preserve"> que le </w:t>
      </w:r>
      <w:proofErr w:type="spellStart"/>
      <w:r w:rsidRPr="00007B7D">
        <w:t>périmètre</w:t>
      </w:r>
      <w:proofErr w:type="spellEnd"/>
      <w:r w:rsidRPr="00007B7D">
        <w:t xml:space="preserve"> des investigations a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expressément</w:t>
      </w:r>
      <w:proofErr w:type="spellEnd"/>
      <w:r w:rsidRPr="00007B7D">
        <w:t xml:space="preserve"> </w:t>
      </w:r>
      <w:proofErr w:type="spellStart"/>
      <w:r w:rsidRPr="00007B7D">
        <w:t>restreint</w:t>
      </w:r>
      <w:proofErr w:type="spellEnd"/>
      <w:r w:rsidRPr="00007B7D">
        <w:t xml:space="preserve">, la magistrate </w:t>
      </w:r>
      <w:proofErr w:type="spellStart"/>
      <w:r w:rsidRPr="00007B7D">
        <w:t>en</w:t>
      </w:r>
      <w:proofErr w:type="spellEnd"/>
      <w:r w:rsidRPr="00007B7D">
        <w:t xml:space="preserve"> charge du </w:t>
      </w:r>
      <w:proofErr w:type="spellStart"/>
      <w:r w:rsidRPr="00007B7D">
        <w:t>suivi</w:t>
      </w:r>
      <w:proofErr w:type="spellEnd"/>
      <w:r w:rsidRPr="00007B7D">
        <w:t xml:space="preserve"> de </w:t>
      </w:r>
      <w:proofErr w:type="spellStart"/>
      <w:r w:rsidRPr="00007B7D">
        <w:t>l’enquête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demandé</w:t>
      </w:r>
      <w:proofErr w:type="spellEnd"/>
      <w:r w:rsidRPr="00007B7D">
        <w:t xml:space="preserve"> que K.B. </w:t>
      </w:r>
      <w:proofErr w:type="spellStart"/>
      <w:r w:rsidRPr="00007B7D">
        <w:t>soit</w:t>
      </w:r>
      <w:proofErr w:type="spellEnd"/>
      <w:r w:rsidRPr="00007B7D">
        <w:t xml:space="preserve"> </w:t>
      </w:r>
      <w:proofErr w:type="spellStart"/>
      <w:r w:rsidRPr="00007B7D">
        <w:t>placé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garde</w:t>
      </w:r>
      <w:proofErr w:type="spellEnd"/>
      <w:r w:rsidRPr="00007B7D">
        <w:t xml:space="preserve"> à </w:t>
      </w:r>
      <w:proofErr w:type="spellStart"/>
      <w:r w:rsidRPr="00007B7D">
        <w:t>vue</w:t>
      </w:r>
      <w:proofErr w:type="spellEnd"/>
      <w:r w:rsidRPr="00007B7D">
        <w:t xml:space="preserve"> des </w:t>
      </w:r>
      <w:proofErr w:type="spellStart"/>
      <w:r w:rsidRPr="00007B7D">
        <w:t>seuls</w:t>
      </w:r>
      <w:proofErr w:type="spellEnd"/>
      <w:r w:rsidRPr="00007B7D">
        <w:t xml:space="preserve"> chefs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volontaires</w:t>
      </w:r>
      <w:proofErr w:type="spellEnd"/>
      <w:r w:rsidRPr="00007B7D">
        <w:t xml:space="preserve"> et de </w:t>
      </w:r>
      <w:proofErr w:type="spellStart"/>
      <w:r w:rsidRPr="00007B7D">
        <w:t>harcèlement</w:t>
      </w:r>
      <w:proofErr w:type="spellEnd"/>
      <w:r w:rsidRPr="00007B7D">
        <w:t xml:space="preserve"> </w:t>
      </w:r>
      <w:proofErr w:type="spellStart"/>
      <w:r w:rsidRPr="00007B7D">
        <w:t>sexuel</w:t>
      </w:r>
      <w:proofErr w:type="spellEnd"/>
      <w:r w:rsidRPr="00007B7D">
        <w:t xml:space="preserve"> </w:t>
      </w:r>
      <w:proofErr w:type="spellStart"/>
      <w:r w:rsidRPr="00007B7D">
        <w:t>aggravé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Faits_InstructionsMP_GAV \h </w:instrText>
      </w:r>
      <w:r w:rsidRPr="00007B7D">
        <w:fldChar w:fldCharType="separate"/>
      </w:r>
      <w:r w:rsidRPr="00007B7D">
        <w:rPr>
          <w:noProof/>
        </w:rPr>
        <w:t>38</w:t>
      </w:r>
      <w:r w:rsidRPr="00007B7D">
        <w:fldChar w:fldCharType="end"/>
      </w:r>
      <w:r w:rsidRPr="00007B7D">
        <w:t xml:space="preserve"> ci</w:t>
      </w:r>
      <w:r w:rsidRPr="00007B7D">
        <w:noBreakHyphen/>
        <w:t xml:space="preserve">dessus) et </w:t>
      </w:r>
      <w:proofErr w:type="spellStart"/>
      <w:r w:rsidRPr="00007B7D">
        <w:t>enfin</w:t>
      </w:r>
      <w:proofErr w:type="spellEnd"/>
      <w:r w:rsidRPr="00007B7D">
        <w:t xml:space="preserve"> que la </w:t>
      </w:r>
      <w:proofErr w:type="spellStart"/>
      <w:r w:rsidRPr="00007B7D">
        <w:t>saisine</w:t>
      </w:r>
      <w:proofErr w:type="spellEnd"/>
      <w:r w:rsidRPr="00007B7D">
        <w:t xml:space="preserve"> du </w:t>
      </w:r>
      <w:proofErr w:type="spellStart"/>
      <w:r w:rsidRPr="00007B7D">
        <w:t>juge</w:t>
      </w:r>
      <w:proofErr w:type="spellEnd"/>
      <w:r w:rsidRPr="00007B7D">
        <w:t xml:space="preserve"> </w:t>
      </w:r>
      <w:proofErr w:type="spellStart"/>
      <w:r w:rsidRPr="00007B7D">
        <w:t>d’instruction</w:t>
      </w:r>
      <w:proofErr w:type="spellEnd"/>
      <w:r w:rsidRPr="00007B7D">
        <w:t xml:space="preserve"> a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limitée</w:t>
      </w:r>
      <w:proofErr w:type="spellEnd"/>
      <w:r w:rsidRPr="00007B7D">
        <w:t xml:space="preserve"> à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seuls</w:t>
      </w:r>
      <w:proofErr w:type="spellEnd"/>
      <w:r w:rsidRPr="00007B7D">
        <w:t xml:space="preserve"> faits, le </w:t>
      </w:r>
      <w:proofErr w:type="spellStart"/>
      <w:r w:rsidRPr="00007B7D">
        <w:t>juge</w:t>
      </w:r>
      <w:proofErr w:type="spellEnd"/>
      <w:r w:rsidRPr="00007B7D">
        <w:t xml:space="preserve"> </w:t>
      </w:r>
      <w:proofErr w:type="spellStart"/>
      <w:r w:rsidRPr="00007B7D">
        <w:t>d’instruction</w:t>
      </w:r>
      <w:proofErr w:type="spellEnd"/>
      <w:r w:rsidRPr="00007B7D">
        <w:t xml:space="preserve"> de </w:t>
      </w:r>
      <w:proofErr w:type="spellStart"/>
      <w:r w:rsidRPr="00007B7D">
        <w:t>Briey</w:t>
      </w:r>
      <w:proofErr w:type="spellEnd"/>
      <w:r w:rsidRPr="00007B7D">
        <w:t xml:space="preserve"> </w:t>
      </w:r>
      <w:proofErr w:type="spellStart"/>
      <w:r w:rsidRPr="00007B7D">
        <w:t>n’étant</w:t>
      </w:r>
      <w:proofErr w:type="spellEnd"/>
      <w:r w:rsidRPr="00007B7D">
        <w:t xml:space="preserve"> au </w:t>
      </w:r>
      <w:proofErr w:type="spellStart"/>
      <w:r w:rsidRPr="00007B7D">
        <w:t>demeurant</w:t>
      </w:r>
      <w:proofErr w:type="spellEnd"/>
      <w:r w:rsidRPr="00007B7D">
        <w:t xml:space="preserve"> pas </w:t>
      </w:r>
      <w:proofErr w:type="spellStart"/>
      <w:r w:rsidRPr="00007B7D">
        <w:t>compétent</w:t>
      </w:r>
      <w:proofErr w:type="spellEnd"/>
      <w:r w:rsidRPr="00007B7D">
        <w:t xml:space="preserve"> pour </w:t>
      </w:r>
      <w:proofErr w:type="spellStart"/>
      <w:r w:rsidRPr="00007B7D">
        <w:t>instruire</w:t>
      </w:r>
      <w:proofErr w:type="spellEnd"/>
      <w:r w:rsidRPr="00007B7D">
        <w:t xml:space="preserve"> sur des faits de viol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Faits_OuvertureInfo \h </w:instrText>
      </w:r>
      <w:r w:rsidRPr="00007B7D">
        <w:fldChar w:fldCharType="separate"/>
      </w:r>
      <w:r w:rsidRPr="00007B7D">
        <w:rPr>
          <w:rFonts w:cstheme="minorHAnsi"/>
          <w:noProof/>
        </w:rPr>
        <w:t>44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CadreJur_CPP_CompetencePole \h </w:instrText>
      </w:r>
      <w:r w:rsidRPr="00007B7D">
        <w:fldChar w:fldCharType="separate"/>
      </w:r>
      <w:r w:rsidRPr="00007B7D">
        <w:rPr>
          <w:noProof/>
        </w:rPr>
        <w:t>83</w:t>
      </w:r>
      <w:r w:rsidRPr="00007B7D">
        <w:fldChar w:fldCharType="end"/>
      </w:r>
      <w:r w:rsidRPr="00007B7D">
        <w:t xml:space="preserve"> ci-dessus).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</w:t>
      </w:r>
      <w:proofErr w:type="spellStart"/>
      <w:r w:rsidRPr="00007B7D">
        <w:t>ainsi</w:t>
      </w:r>
      <w:proofErr w:type="spellEnd"/>
      <w:r w:rsidRPr="00007B7D">
        <w:t xml:space="preserve"> que les </w:t>
      </w:r>
      <w:proofErr w:type="spellStart"/>
      <w:r w:rsidRPr="00007B7D">
        <w:t>allégations</w:t>
      </w:r>
      <w:proofErr w:type="spellEnd"/>
      <w:r w:rsidRPr="00007B7D">
        <w:t xml:space="preserve"> de viols et </w:t>
      </w:r>
      <w:proofErr w:type="spellStart"/>
      <w:r w:rsidRPr="00007B7D">
        <w:t>d’agressions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</w:t>
      </w:r>
      <w:proofErr w:type="spellStart"/>
      <w:r w:rsidRPr="00007B7D">
        <w:t>n’ont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évoquées</w:t>
      </w:r>
      <w:proofErr w:type="spellEnd"/>
      <w:r w:rsidRPr="00007B7D">
        <w:t xml:space="preserve"> que de </w:t>
      </w:r>
      <w:proofErr w:type="spellStart"/>
      <w:r w:rsidRPr="00007B7D">
        <w:t>façon</w:t>
      </w:r>
      <w:proofErr w:type="spellEnd"/>
      <w:r w:rsidRPr="00007B7D">
        <w:t xml:space="preserve"> </w:t>
      </w:r>
      <w:proofErr w:type="spellStart"/>
      <w:r w:rsidRPr="00007B7D">
        <w:t>incidente</w:t>
      </w:r>
      <w:proofErr w:type="spellEnd"/>
      <w:r w:rsidRPr="00007B7D">
        <w:t xml:space="preserve"> au </w:t>
      </w:r>
      <w:proofErr w:type="spellStart"/>
      <w:r w:rsidRPr="00007B7D">
        <w:t>cours</w:t>
      </w:r>
      <w:proofErr w:type="spellEnd"/>
      <w:r w:rsidRPr="00007B7D">
        <w:t xml:space="preserve"> des investigations </w:t>
      </w:r>
      <w:proofErr w:type="gramStart"/>
      <w:r w:rsidRPr="00007B7D">
        <w:t>relatives</w:t>
      </w:r>
      <w:proofErr w:type="gramEnd"/>
      <w:r w:rsidRPr="00007B7D">
        <w:t xml:space="preserve"> aux faits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volontaires</w:t>
      </w:r>
      <w:proofErr w:type="spellEnd"/>
      <w:r w:rsidRPr="00007B7D">
        <w:t xml:space="preserve"> et de </w:t>
      </w:r>
      <w:proofErr w:type="spellStart"/>
      <w:r w:rsidRPr="00007B7D">
        <w:t>harcèlement</w:t>
      </w:r>
      <w:proofErr w:type="spellEnd"/>
      <w:r w:rsidRPr="00007B7D">
        <w:t xml:space="preserve">, et </w:t>
      </w:r>
      <w:proofErr w:type="spellStart"/>
      <w:r w:rsidRPr="00007B7D">
        <w:t>ce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dépit</w:t>
      </w:r>
      <w:proofErr w:type="spellEnd"/>
      <w:r w:rsidRPr="00007B7D">
        <w:t xml:space="preserve"> du </w:t>
      </w:r>
      <w:proofErr w:type="spellStart"/>
      <w:r w:rsidRPr="00007B7D">
        <w:t>caractère</w:t>
      </w:r>
      <w:proofErr w:type="spellEnd"/>
      <w:r w:rsidRPr="00007B7D">
        <w:t xml:space="preserve"> </w:t>
      </w:r>
      <w:proofErr w:type="spellStart"/>
      <w:r w:rsidRPr="00007B7D">
        <w:t>sexuel</w:t>
      </w:r>
      <w:proofErr w:type="spellEnd"/>
      <w:r w:rsidRPr="00007B7D">
        <w:t xml:space="preserve"> des </w:t>
      </w:r>
      <w:proofErr w:type="spellStart"/>
      <w:r w:rsidRPr="00007B7D">
        <w:t>traitements</w:t>
      </w:r>
      <w:proofErr w:type="spellEnd"/>
      <w:r w:rsidRPr="00007B7D">
        <w:t xml:space="preserve"> </w:t>
      </w:r>
      <w:proofErr w:type="spellStart"/>
      <w:r w:rsidRPr="00007B7D">
        <w:t>subis</w:t>
      </w:r>
      <w:proofErr w:type="spellEnd"/>
      <w:r w:rsidRPr="00007B7D">
        <w:t xml:space="preserve"> et de </w:t>
      </w:r>
      <w:proofErr w:type="spellStart"/>
      <w:r w:rsidRPr="00007B7D">
        <w:t>leur</w:t>
      </w:r>
      <w:proofErr w:type="spellEnd"/>
      <w:r w:rsidRPr="00007B7D">
        <w:t xml:space="preserve"> </w:t>
      </w:r>
      <w:proofErr w:type="spellStart"/>
      <w:r w:rsidRPr="00007B7D">
        <w:t>particulière</w:t>
      </w:r>
      <w:proofErr w:type="spellEnd"/>
      <w:r w:rsidRPr="00007B7D">
        <w:t xml:space="preserve"> </w:t>
      </w:r>
      <w:proofErr w:type="spellStart"/>
      <w:r w:rsidRPr="00007B7D">
        <w:t>gravité</w:t>
      </w:r>
      <w:proofErr w:type="spellEnd"/>
      <w:r w:rsidRPr="00007B7D">
        <w:t>.</w:t>
      </w:r>
    </w:p>
    <w:p w14:paraId="21987BE1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154</w:t>
      </w:r>
      <w:r w:rsidRPr="00007B7D">
        <w:rPr>
          <w:noProof/>
        </w:rPr>
        <w:fldChar w:fldCharType="end"/>
      </w:r>
      <w:r w:rsidRPr="00007B7D">
        <w:t xml:space="preserve">.  De </w:t>
      </w:r>
      <w:proofErr w:type="spellStart"/>
      <w:r w:rsidRPr="00007B7D">
        <w:t>même</w:t>
      </w:r>
      <w:proofErr w:type="spellEnd"/>
      <w:r w:rsidRPr="00007B7D">
        <w:t xml:space="preserve">, les faits pour </w:t>
      </w:r>
      <w:proofErr w:type="spellStart"/>
      <w:r w:rsidRPr="00007B7D">
        <w:t>lesquels</w:t>
      </w:r>
      <w:proofErr w:type="spellEnd"/>
      <w:r w:rsidRPr="00007B7D">
        <w:t xml:space="preserve"> K.B. a </w:t>
      </w:r>
      <w:proofErr w:type="spellStart"/>
      <w:r w:rsidRPr="00007B7D">
        <w:t>finalement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poursuivi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qualifiés</w:t>
      </w:r>
      <w:proofErr w:type="spellEnd"/>
      <w:r w:rsidRPr="00007B7D">
        <w:t xml:space="preserve">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volontaires</w:t>
      </w:r>
      <w:proofErr w:type="spellEnd"/>
      <w:r w:rsidRPr="00007B7D">
        <w:t xml:space="preserve"> et de </w:t>
      </w:r>
      <w:proofErr w:type="spellStart"/>
      <w:r w:rsidRPr="00007B7D">
        <w:t>harcèlement</w:t>
      </w:r>
      <w:proofErr w:type="spellEnd"/>
      <w:r w:rsidRPr="00007B7D">
        <w:t xml:space="preserve"> </w:t>
      </w:r>
      <w:proofErr w:type="spellStart"/>
      <w:r w:rsidRPr="00007B7D">
        <w:t>sexuel</w:t>
      </w:r>
      <w:proofErr w:type="spellEnd"/>
      <w:r w:rsidRPr="00007B7D">
        <w:t xml:space="preserve">, </w:t>
      </w:r>
      <w:proofErr w:type="spellStart"/>
      <w:r w:rsidRPr="00007B7D">
        <w:t>alors</w:t>
      </w:r>
      <w:proofErr w:type="spellEnd"/>
      <w:r w:rsidRPr="00007B7D">
        <w:t xml:space="preserve"> </w:t>
      </w:r>
      <w:proofErr w:type="spellStart"/>
      <w:r w:rsidRPr="00007B7D">
        <w:t>même</w:t>
      </w:r>
      <w:proofErr w:type="spellEnd"/>
      <w:r w:rsidRPr="00007B7D">
        <w:t xml:space="preserve"> </w:t>
      </w:r>
      <w:proofErr w:type="spellStart"/>
      <w:r w:rsidRPr="00007B7D">
        <w:t>qu’ils</w:t>
      </w:r>
      <w:proofErr w:type="spellEnd"/>
      <w:r w:rsidRPr="00007B7D">
        <w:t xml:space="preserve"> correspondent pour </w:t>
      </w:r>
      <w:proofErr w:type="spellStart"/>
      <w:r w:rsidRPr="00007B7D">
        <w:t>une</w:t>
      </w:r>
      <w:proofErr w:type="spellEnd"/>
      <w:r w:rsidRPr="00007B7D">
        <w:t xml:space="preserve"> large part, </w:t>
      </w:r>
      <w:proofErr w:type="spellStart"/>
      <w:r w:rsidRPr="00007B7D">
        <w:t>tels</w:t>
      </w:r>
      <w:proofErr w:type="spellEnd"/>
      <w:r w:rsidRPr="00007B7D">
        <w:t xml:space="preserve"> </w:t>
      </w:r>
      <w:proofErr w:type="spellStart"/>
      <w:r w:rsidRPr="00007B7D">
        <w:t>qu’ils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décrits</w:t>
      </w:r>
      <w:proofErr w:type="spellEnd"/>
      <w:r w:rsidRPr="00007B7D">
        <w:t xml:space="preserve"> dans </w:t>
      </w:r>
      <w:proofErr w:type="spellStart"/>
      <w:r w:rsidRPr="00007B7D">
        <w:t>l’ordonnance</w:t>
      </w:r>
      <w:proofErr w:type="spellEnd"/>
      <w:r w:rsidRPr="00007B7D">
        <w:t xml:space="preserve"> de renvoi </w:t>
      </w:r>
      <w:proofErr w:type="spellStart"/>
      <w:r w:rsidRPr="00007B7D">
        <w:t>rendue</w:t>
      </w:r>
      <w:proofErr w:type="spellEnd"/>
      <w:r w:rsidRPr="00007B7D">
        <w:t xml:space="preserve"> par le </w:t>
      </w:r>
      <w:proofErr w:type="spellStart"/>
      <w:r w:rsidRPr="00007B7D">
        <w:t>juge</w:t>
      </w:r>
      <w:proofErr w:type="spellEnd"/>
      <w:r w:rsidRPr="00007B7D">
        <w:t xml:space="preserve"> </w:t>
      </w:r>
      <w:proofErr w:type="spellStart"/>
      <w:r w:rsidRPr="00007B7D">
        <w:t>d’instruction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Faits_Info_ORTC \h </w:instrText>
      </w:r>
      <w:r w:rsidRPr="00007B7D">
        <w:fldChar w:fldCharType="separate"/>
      </w:r>
      <w:r w:rsidRPr="00007B7D">
        <w:rPr>
          <w:noProof/>
        </w:rPr>
        <w:t>55</w:t>
      </w:r>
      <w:r w:rsidRPr="00007B7D">
        <w:fldChar w:fldCharType="end"/>
      </w:r>
      <w:r w:rsidRPr="00007B7D">
        <w:t xml:space="preserve"> ci</w:t>
      </w:r>
      <w:r w:rsidRPr="00007B7D">
        <w:noBreakHyphen/>
        <w:t xml:space="preserve">dessus), à des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et </w:t>
      </w:r>
      <w:proofErr w:type="spellStart"/>
      <w:r w:rsidRPr="00007B7D">
        <w:t>notamment</w:t>
      </w:r>
      <w:proofErr w:type="spellEnd"/>
      <w:r w:rsidRPr="00007B7D">
        <w:t xml:space="preserve"> à des </w:t>
      </w:r>
      <w:proofErr w:type="spellStart"/>
      <w:r w:rsidRPr="00007B7D">
        <w:t>pénétrations</w:t>
      </w:r>
      <w:proofErr w:type="spellEnd"/>
      <w:r w:rsidRPr="00007B7D">
        <w:t xml:space="preserve"> </w:t>
      </w:r>
      <w:proofErr w:type="spellStart"/>
      <w:r w:rsidRPr="00007B7D">
        <w:t>anales</w:t>
      </w:r>
      <w:proofErr w:type="spellEnd"/>
      <w:r w:rsidRPr="00007B7D">
        <w:t xml:space="preserve"> non </w:t>
      </w:r>
      <w:proofErr w:type="spellStart"/>
      <w:r w:rsidRPr="00007B7D">
        <w:t>consenties</w:t>
      </w:r>
      <w:proofErr w:type="spellEnd"/>
      <w:r w:rsidRPr="00007B7D">
        <w:t xml:space="preserve">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déduit</w:t>
      </w:r>
      <w:proofErr w:type="spellEnd"/>
      <w:r w:rsidRPr="00007B7D">
        <w:t xml:space="preserve"> de </w:t>
      </w:r>
      <w:proofErr w:type="spellStart"/>
      <w:r w:rsidRPr="00007B7D">
        <w:t>ce</w:t>
      </w:r>
      <w:proofErr w:type="spellEnd"/>
      <w:r w:rsidRPr="00007B7D">
        <w:t xml:space="preserve"> qui </w:t>
      </w:r>
      <w:proofErr w:type="spellStart"/>
      <w:r w:rsidRPr="00007B7D">
        <w:t>précède</w:t>
      </w:r>
      <w:proofErr w:type="spellEnd"/>
      <w:r w:rsidRPr="00007B7D">
        <w:t xml:space="preserve"> que les dispositions </w:t>
      </w:r>
      <w:proofErr w:type="spellStart"/>
      <w:r w:rsidRPr="00007B7D">
        <w:t>pénales</w:t>
      </w:r>
      <w:proofErr w:type="spellEnd"/>
      <w:r w:rsidRPr="00007B7D">
        <w:t xml:space="preserve"> </w:t>
      </w:r>
      <w:proofErr w:type="spellStart"/>
      <w:r w:rsidRPr="00007B7D">
        <w:t>sanctionnant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 </w:t>
      </w:r>
      <w:proofErr w:type="spellStart"/>
      <w:r w:rsidRPr="00007B7D">
        <w:t>n’ont</w:t>
      </w:r>
      <w:proofErr w:type="spellEnd"/>
      <w:r w:rsidRPr="00007B7D">
        <w:t xml:space="preserve"> pas </w:t>
      </w:r>
      <w:proofErr w:type="spellStart"/>
      <w:r w:rsidRPr="00007B7D">
        <w:t>été</w:t>
      </w:r>
      <w:proofErr w:type="spellEnd"/>
      <w:r w:rsidRPr="00007B7D">
        <w:t xml:space="preserve"> mises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de </w:t>
      </w:r>
      <w:proofErr w:type="spellStart"/>
      <w:r w:rsidRPr="00007B7D">
        <w:t>façon</w:t>
      </w:r>
      <w:proofErr w:type="spellEnd"/>
      <w:r w:rsidRPr="00007B7D">
        <w:t xml:space="preserve"> effective au </w:t>
      </w:r>
      <w:proofErr w:type="spellStart"/>
      <w:r w:rsidRPr="00007B7D">
        <w:t>stade</w:t>
      </w:r>
      <w:proofErr w:type="spellEnd"/>
      <w:r w:rsidRPr="00007B7D">
        <w:t xml:space="preserve"> des investigations et des </w:t>
      </w:r>
      <w:proofErr w:type="spellStart"/>
      <w:r w:rsidRPr="00007B7D">
        <w:t>poursuites</w:t>
      </w:r>
      <w:proofErr w:type="spellEnd"/>
      <w:r w:rsidRPr="00007B7D">
        <w:t>.</w:t>
      </w:r>
    </w:p>
    <w:p w14:paraId="71D5211B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155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S’agissant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deuxième</w:t>
      </w:r>
      <w:proofErr w:type="spellEnd"/>
      <w:r w:rsidRPr="00007B7D">
        <w:t xml:space="preserve"> lieu, de la </w:t>
      </w:r>
      <w:proofErr w:type="spellStart"/>
      <w:r w:rsidRPr="00007B7D">
        <w:t>conduite</w:t>
      </w:r>
      <w:proofErr w:type="spellEnd"/>
      <w:r w:rsidRPr="00007B7D">
        <w:t xml:space="preserve"> des investigations,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rappelle</w:t>
      </w:r>
      <w:proofErr w:type="spellEnd"/>
      <w:r w:rsidRPr="00007B7D">
        <w:t xml:space="preserve"> </w:t>
      </w:r>
      <w:proofErr w:type="spellStart"/>
      <w:r w:rsidRPr="00007B7D">
        <w:t>qu’il</w:t>
      </w:r>
      <w:proofErr w:type="spellEnd"/>
      <w:r w:rsidRPr="00007B7D">
        <w:t xml:space="preserve"> ne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appartient</w:t>
      </w:r>
      <w:proofErr w:type="spellEnd"/>
      <w:r w:rsidRPr="00007B7D">
        <w:t xml:space="preserve"> pas,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principe</w:t>
      </w:r>
      <w:proofErr w:type="spellEnd"/>
      <w:r w:rsidRPr="00007B7D">
        <w:t xml:space="preserve">, de </w:t>
      </w:r>
      <w:proofErr w:type="spellStart"/>
      <w:r w:rsidRPr="00007B7D">
        <w:t>remettre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question les </w:t>
      </w:r>
      <w:proofErr w:type="spellStart"/>
      <w:r w:rsidRPr="00007B7D">
        <w:t>pistes</w:t>
      </w:r>
      <w:proofErr w:type="spellEnd"/>
      <w:r w:rsidRPr="00007B7D">
        <w:t xml:space="preserve"> </w:t>
      </w:r>
      <w:proofErr w:type="spellStart"/>
      <w:r w:rsidRPr="00007B7D">
        <w:t>suivies</w:t>
      </w:r>
      <w:proofErr w:type="spellEnd"/>
      <w:r w:rsidRPr="00007B7D">
        <w:t xml:space="preserve"> par les </w:t>
      </w:r>
      <w:proofErr w:type="spellStart"/>
      <w:r w:rsidRPr="00007B7D">
        <w:t>enquêteurs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leurs</w:t>
      </w:r>
      <w:proofErr w:type="spellEnd"/>
      <w:r w:rsidRPr="00007B7D">
        <w:t xml:space="preserve"> constatations </w:t>
      </w:r>
      <w:proofErr w:type="spellStart"/>
      <w:r w:rsidRPr="00007B7D">
        <w:t>factuelles</w:t>
      </w:r>
      <w:proofErr w:type="spellEnd"/>
      <w:r w:rsidRPr="00007B7D">
        <w:t xml:space="preserve">, </w:t>
      </w:r>
      <w:proofErr w:type="spellStart"/>
      <w:r w:rsidRPr="00007B7D">
        <w:t>mais</w:t>
      </w:r>
      <w:proofErr w:type="spellEnd"/>
      <w:r w:rsidRPr="00007B7D">
        <w:t xml:space="preserve"> que la mise à </w:t>
      </w:r>
      <w:proofErr w:type="spellStart"/>
      <w:r w:rsidRPr="00007B7D">
        <w:t>l’écart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</w:t>
      </w:r>
      <w:proofErr w:type="spellStart"/>
      <w:r w:rsidRPr="00007B7D">
        <w:t>piste</w:t>
      </w:r>
      <w:proofErr w:type="spellEnd"/>
      <w:r w:rsidRPr="00007B7D">
        <w:t xml:space="preserve"> </w:t>
      </w:r>
      <w:proofErr w:type="spellStart"/>
      <w:r w:rsidRPr="00007B7D">
        <w:t>d’investigation</w:t>
      </w:r>
      <w:proofErr w:type="spellEnd"/>
      <w:r w:rsidRPr="00007B7D">
        <w:t xml:space="preserve"> qui </w:t>
      </w:r>
      <w:proofErr w:type="spellStart"/>
      <w:r w:rsidRPr="00007B7D">
        <w:t>s’impose</w:t>
      </w:r>
      <w:proofErr w:type="spellEnd"/>
      <w:r w:rsidRPr="00007B7D">
        <w:t xml:space="preserve"> de </w:t>
      </w:r>
      <w:proofErr w:type="spellStart"/>
      <w:r w:rsidRPr="00007B7D">
        <w:t>toute</w:t>
      </w:r>
      <w:proofErr w:type="spellEnd"/>
      <w:r w:rsidRPr="00007B7D">
        <w:t xml:space="preserve"> </w:t>
      </w:r>
      <w:proofErr w:type="spellStart"/>
      <w:r w:rsidRPr="00007B7D">
        <w:t>évidence</w:t>
      </w:r>
      <w:proofErr w:type="spellEnd"/>
      <w:r w:rsidRPr="00007B7D">
        <w:t xml:space="preserve"> </w:t>
      </w:r>
      <w:proofErr w:type="spellStart"/>
      <w:r w:rsidRPr="00007B7D">
        <w:t>peut</w:t>
      </w:r>
      <w:proofErr w:type="spellEnd"/>
      <w:r w:rsidRPr="00007B7D">
        <w:t xml:space="preserve"> </w:t>
      </w:r>
      <w:proofErr w:type="spellStart"/>
      <w:r w:rsidRPr="00007B7D">
        <w:t>néanmoins</w:t>
      </w:r>
      <w:proofErr w:type="spellEnd"/>
      <w:r w:rsidRPr="00007B7D">
        <w:t xml:space="preserve"> </w:t>
      </w:r>
      <w:proofErr w:type="spellStart"/>
      <w:r w:rsidRPr="00007B7D">
        <w:t>compromettre</w:t>
      </w:r>
      <w:proofErr w:type="spellEnd"/>
      <w:r w:rsidRPr="00007B7D">
        <w:t xml:space="preserve"> de </w:t>
      </w:r>
      <w:proofErr w:type="spellStart"/>
      <w:r w:rsidRPr="00007B7D">
        <w:t>façon</w:t>
      </w:r>
      <w:proofErr w:type="spellEnd"/>
      <w:r w:rsidRPr="00007B7D">
        <w:t xml:space="preserve"> </w:t>
      </w:r>
      <w:proofErr w:type="spellStart"/>
      <w:r w:rsidRPr="00007B7D">
        <w:t>décisive</w:t>
      </w:r>
      <w:proofErr w:type="spellEnd"/>
      <w:r w:rsidRPr="00007B7D">
        <w:t xml:space="preserve"> la </w:t>
      </w:r>
      <w:proofErr w:type="spellStart"/>
      <w:r w:rsidRPr="00007B7D">
        <w:t>capacité</w:t>
      </w:r>
      <w:proofErr w:type="spellEnd"/>
      <w:r w:rsidRPr="00007B7D">
        <w:t xml:space="preserve"> de </w:t>
      </w:r>
      <w:proofErr w:type="spellStart"/>
      <w:r w:rsidRPr="00007B7D">
        <w:t>l’enquête</w:t>
      </w:r>
      <w:proofErr w:type="spellEnd"/>
      <w:r w:rsidRPr="00007B7D">
        <w:t xml:space="preserve"> à </w:t>
      </w:r>
      <w:proofErr w:type="spellStart"/>
      <w:r w:rsidRPr="00007B7D">
        <w:t>établir</w:t>
      </w:r>
      <w:proofErr w:type="spellEnd"/>
      <w:r w:rsidRPr="00007B7D">
        <w:t xml:space="preserve"> les </w:t>
      </w:r>
      <w:proofErr w:type="spellStart"/>
      <w:r w:rsidRPr="00007B7D">
        <w:t>circonstances</w:t>
      </w:r>
      <w:proofErr w:type="spellEnd"/>
      <w:r w:rsidRPr="00007B7D">
        <w:t xml:space="preserve"> de </w:t>
      </w:r>
      <w:proofErr w:type="spellStart"/>
      <w:r w:rsidRPr="00007B7D">
        <w:t>l’affaire</w:t>
      </w:r>
      <w:proofErr w:type="spellEnd"/>
      <w:r w:rsidRPr="00007B7D">
        <w:t xml:space="preserve"> et </w:t>
      </w:r>
      <w:proofErr w:type="spellStart"/>
      <w:r w:rsidRPr="00007B7D">
        <w:t>l’identification</w:t>
      </w:r>
      <w:proofErr w:type="spellEnd"/>
      <w:r w:rsidRPr="00007B7D">
        <w:t xml:space="preserve"> des </w:t>
      </w:r>
      <w:proofErr w:type="spellStart"/>
      <w:r w:rsidRPr="00007B7D">
        <w:t>personnes</w:t>
      </w:r>
      <w:proofErr w:type="spellEnd"/>
      <w:r w:rsidRPr="00007B7D">
        <w:t xml:space="preserve"> </w:t>
      </w:r>
      <w:proofErr w:type="spellStart"/>
      <w:r w:rsidRPr="00007B7D">
        <w:lastRenderedPageBreak/>
        <w:t>responsables</w:t>
      </w:r>
      <w:proofErr w:type="spellEnd"/>
      <w:r w:rsidRPr="00007B7D">
        <w:t xml:space="preserve"> (</w:t>
      </w:r>
      <w:bookmarkStart w:id="12" w:name="_cl15469"/>
      <w:r w:rsidRPr="00007B7D">
        <w:rPr>
          <w:i/>
          <w:iCs/>
        </w:rPr>
        <w:t>S.Z. c. </w:t>
      </w:r>
      <w:proofErr w:type="spellStart"/>
      <w:r w:rsidRPr="00007B7D">
        <w:rPr>
          <w:i/>
          <w:iCs/>
        </w:rPr>
        <w:t>Bulgarie</w:t>
      </w:r>
      <w:bookmarkEnd w:id="12"/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 29263/12, § 50, 3 mars 2015, </w:t>
      </w:r>
      <w:bookmarkStart w:id="13" w:name="_cl10842"/>
      <w:r w:rsidRPr="00007B7D">
        <w:rPr>
          <w:i/>
          <w:iCs/>
        </w:rPr>
        <w:t>M.N.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48, et</w:t>
      </w:r>
      <w:bookmarkEnd w:id="13"/>
      <w:r w:rsidRPr="00007B7D">
        <w:t xml:space="preserve"> </w:t>
      </w:r>
      <w:r w:rsidRPr="00007B7D">
        <w:rPr>
          <w:i/>
          <w:iCs/>
        </w:rPr>
        <w:t xml:space="preserve">X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Bulgarie</w:t>
      </w:r>
      <w:proofErr w:type="spellEnd"/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186).</w:t>
      </w:r>
    </w:p>
    <w:p w14:paraId="1863F5C2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156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l’espèce</w:t>
      </w:r>
      <w:proofErr w:type="spellEnd"/>
      <w:r w:rsidRPr="00007B7D">
        <w:t xml:space="preserve">,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était</w:t>
      </w:r>
      <w:proofErr w:type="spellEnd"/>
      <w:r w:rsidRPr="00007B7D">
        <w:t xml:space="preserve"> </w:t>
      </w:r>
      <w:proofErr w:type="spellStart"/>
      <w:r w:rsidRPr="00007B7D">
        <w:t>allégué</w:t>
      </w:r>
      <w:proofErr w:type="spellEnd"/>
      <w:r w:rsidRPr="00007B7D">
        <w:t xml:space="preserve">, </w:t>
      </w:r>
      <w:proofErr w:type="spellStart"/>
      <w:r w:rsidRPr="00007B7D">
        <w:t>dès</w:t>
      </w:r>
      <w:proofErr w:type="spellEnd"/>
      <w:r w:rsidRPr="00007B7D">
        <w:t xml:space="preserve"> la </w:t>
      </w:r>
      <w:proofErr w:type="spellStart"/>
      <w:r w:rsidRPr="00007B7D">
        <w:t>dénonciation</w:t>
      </w:r>
      <w:proofErr w:type="spellEnd"/>
      <w:r w:rsidRPr="00007B7D">
        <w:t xml:space="preserve"> des faits au </w:t>
      </w:r>
      <w:proofErr w:type="spellStart"/>
      <w:r w:rsidRPr="00007B7D">
        <w:t>ministère</w:t>
      </w:r>
      <w:proofErr w:type="spellEnd"/>
      <w:r w:rsidRPr="00007B7D">
        <w:t xml:space="preserve"> public, que les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révélées</w:t>
      </w:r>
      <w:proofErr w:type="spellEnd"/>
      <w:r w:rsidRPr="00007B7D">
        <w:t xml:space="preserve"> par E.A. </w:t>
      </w:r>
      <w:proofErr w:type="spellStart"/>
      <w:r w:rsidRPr="00007B7D">
        <w:t>s’inscrivaient</w:t>
      </w:r>
      <w:proofErr w:type="spellEnd"/>
      <w:r w:rsidRPr="00007B7D">
        <w:t xml:space="preserve"> dans un </w:t>
      </w:r>
      <w:proofErr w:type="spellStart"/>
      <w:r w:rsidRPr="00007B7D">
        <w:t>contexte</w:t>
      </w:r>
      <w:proofErr w:type="spellEnd"/>
      <w:r w:rsidRPr="00007B7D">
        <w:t xml:space="preserve"> </w:t>
      </w:r>
      <w:proofErr w:type="spellStart"/>
      <w:r w:rsidRPr="00007B7D">
        <w:t>d’emprise</w:t>
      </w:r>
      <w:proofErr w:type="spellEnd"/>
      <w:r w:rsidRPr="00007B7D">
        <w:t xml:space="preserve"> </w:t>
      </w:r>
      <w:proofErr w:type="spellStart"/>
      <w:r w:rsidRPr="00007B7D">
        <w:t>exercée</w:t>
      </w:r>
      <w:proofErr w:type="spellEnd"/>
      <w:r w:rsidRPr="00007B7D">
        <w:t xml:space="preserve"> par K.B. (</w:t>
      </w:r>
      <w:proofErr w:type="spellStart"/>
      <w:r w:rsidRPr="00007B7D">
        <w:t>paragraphes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Faits_Art40CPP \h </w:instrText>
      </w:r>
      <w:r w:rsidRPr="00007B7D">
        <w:fldChar w:fldCharType="separate"/>
      </w:r>
      <w:r w:rsidRPr="00007B7D">
        <w:rPr>
          <w:noProof/>
        </w:rPr>
        <w:t>14</w:t>
      </w:r>
      <w:r w:rsidRPr="00007B7D">
        <w:fldChar w:fldCharType="end"/>
      </w:r>
      <w:r w:rsidRPr="00007B7D">
        <w:t xml:space="preserve"> et </w:t>
      </w:r>
      <w:r w:rsidRPr="00007B7D">
        <w:fldChar w:fldCharType="begin"/>
      </w:r>
      <w:r w:rsidRPr="00007B7D">
        <w:instrText xml:space="preserve"> REF Faits_PlaintePR_emprise \h </w:instrText>
      </w:r>
      <w:r w:rsidRPr="00007B7D">
        <w:fldChar w:fldCharType="separate"/>
      </w:r>
      <w:r w:rsidRPr="00007B7D">
        <w:rPr>
          <w:noProof/>
        </w:rPr>
        <w:t>20</w:t>
      </w:r>
      <w:r w:rsidRPr="00007B7D">
        <w:fldChar w:fldCharType="end"/>
      </w:r>
      <w:r w:rsidRPr="00007B7D">
        <w:t xml:space="preserve"> ci-dessus) et </w:t>
      </w:r>
      <w:proofErr w:type="spellStart"/>
      <w:r w:rsidRPr="00007B7D">
        <w:t>qu’ils</w:t>
      </w:r>
      <w:proofErr w:type="spellEnd"/>
      <w:r w:rsidRPr="00007B7D">
        <w:t xml:space="preserve"> </w:t>
      </w:r>
      <w:proofErr w:type="spellStart"/>
      <w:r w:rsidRPr="00007B7D">
        <w:t>avaient</w:t>
      </w:r>
      <w:proofErr w:type="spellEnd"/>
      <w:r w:rsidRPr="00007B7D">
        <w:t xml:space="preserve"> </w:t>
      </w:r>
      <w:proofErr w:type="spellStart"/>
      <w:r w:rsidRPr="00007B7D">
        <w:t>eu</w:t>
      </w:r>
      <w:proofErr w:type="spellEnd"/>
      <w:r w:rsidRPr="00007B7D">
        <w:t xml:space="preserve"> </w:t>
      </w:r>
      <w:proofErr w:type="spellStart"/>
      <w:r w:rsidRPr="00007B7D">
        <w:t>retentissement</w:t>
      </w:r>
      <w:proofErr w:type="spellEnd"/>
      <w:r w:rsidRPr="00007B7D">
        <w:t xml:space="preserve"> </w:t>
      </w:r>
      <w:proofErr w:type="spellStart"/>
      <w:r w:rsidRPr="00007B7D">
        <w:t>majeur</w:t>
      </w:r>
      <w:proofErr w:type="spellEnd"/>
      <w:r w:rsidRPr="00007B7D">
        <w:t xml:space="preserve"> sur la </w:t>
      </w:r>
      <w:proofErr w:type="spellStart"/>
      <w:r w:rsidRPr="00007B7D">
        <w:t>requérante</w:t>
      </w:r>
      <w:proofErr w:type="spellEnd"/>
      <w:r w:rsidRPr="00007B7D">
        <w:t xml:space="preserve">, au point de </w:t>
      </w:r>
      <w:proofErr w:type="spellStart"/>
      <w:r w:rsidRPr="00007B7D">
        <w:t>provoquer</w:t>
      </w:r>
      <w:proofErr w:type="spellEnd"/>
      <w:r w:rsidRPr="00007B7D">
        <w:t xml:space="preserve"> chez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importante</w:t>
      </w:r>
      <w:proofErr w:type="spellEnd"/>
      <w:r w:rsidRPr="00007B7D">
        <w:t xml:space="preserve"> </w:t>
      </w:r>
      <w:proofErr w:type="spellStart"/>
      <w:r w:rsidRPr="00007B7D">
        <w:t>perte</w:t>
      </w:r>
      <w:proofErr w:type="spellEnd"/>
      <w:r w:rsidRPr="00007B7D">
        <w:t xml:space="preserve"> de </w:t>
      </w:r>
      <w:proofErr w:type="spellStart"/>
      <w:r w:rsidRPr="00007B7D">
        <w:t>poids</w:t>
      </w:r>
      <w:proofErr w:type="spellEnd"/>
      <w:r w:rsidRPr="00007B7D">
        <w:t xml:space="preserve"> et de justifier son hospitalisation </w:t>
      </w:r>
      <w:proofErr w:type="spellStart"/>
      <w:r w:rsidRPr="00007B7D">
        <w:t>en</w:t>
      </w:r>
      <w:proofErr w:type="spellEnd"/>
      <w:r w:rsidRPr="00007B7D">
        <w:t xml:space="preserve"> service de </w:t>
      </w:r>
      <w:proofErr w:type="spellStart"/>
      <w:r w:rsidRPr="00007B7D">
        <w:t>psychiatrie</w:t>
      </w:r>
      <w:proofErr w:type="spellEnd"/>
      <w:r w:rsidRPr="00007B7D">
        <w:t xml:space="preserve"> pendant </w:t>
      </w:r>
      <w:proofErr w:type="spellStart"/>
      <w:r w:rsidRPr="00007B7D">
        <w:t>plusieurs</w:t>
      </w:r>
      <w:proofErr w:type="spellEnd"/>
      <w:r w:rsidRPr="00007B7D">
        <w:t xml:space="preserve"> </w:t>
      </w:r>
      <w:proofErr w:type="spellStart"/>
      <w:r w:rsidRPr="00007B7D">
        <w:t>mois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Faits_Hosp \h </w:instrText>
      </w:r>
      <w:r w:rsidRPr="00007B7D">
        <w:fldChar w:fldCharType="separate"/>
      </w:r>
      <w:r w:rsidRPr="00007B7D">
        <w:rPr>
          <w:noProof/>
        </w:rPr>
        <w:t>6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Faits_PlaintePR_retentissement \h </w:instrText>
      </w:r>
      <w:r w:rsidRPr="00007B7D">
        <w:fldChar w:fldCharType="separate"/>
      </w:r>
      <w:r w:rsidRPr="00007B7D">
        <w:rPr>
          <w:noProof/>
        </w:rPr>
        <w:t>22</w:t>
      </w:r>
      <w:r w:rsidRPr="00007B7D">
        <w:fldChar w:fldCharType="end"/>
      </w:r>
      <w:r w:rsidRPr="00007B7D">
        <w:t xml:space="preserve"> ci-dessus).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était</w:t>
      </w:r>
      <w:proofErr w:type="spellEnd"/>
      <w:r w:rsidRPr="00007B7D">
        <w:t xml:space="preserve"> </w:t>
      </w:r>
      <w:proofErr w:type="spellStart"/>
      <w:r w:rsidRPr="00007B7D">
        <w:t>donc</w:t>
      </w:r>
      <w:proofErr w:type="spellEnd"/>
      <w:r w:rsidRPr="00007B7D">
        <w:t xml:space="preserve"> crucial que </w:t>
      </w:r>
      <w:proofErr w:type="spellStart"/>
      <w:r w:rsidRPr="00007B7D">
        <w:t>l’enquête</w:t>
      </w:r>
      <w:proofErr w:type="spellEnd"/>
      <w:r w:rsidRPr="00007B7D">
        <w:t xml:space="preserve"> </w:t>
      </w:r>
      <w:proofErr w:type="spellStart"/>
      <w:r w:rsidRPr="00007B7D">
        <w:t>s’attache</w:t>
      </w:r>
      <w:proofErr w:type="spellEnd"/>
      <w:r w:rsidRPr="00007B7D">
        <w:t xml:space="preserve"> à </w:t>
      </w:r>
      <w:proofErr w:type="spellStart"/>
      <w:r w:rsidRPr="00007B7D">
        <w:t>déterminer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 E.A. </w:t>
      </w:r>
      <w:proofErr w:type="spellStart"/>
      <w:r w:rsidRPr="00007B7D">
        <w:t>était</w:t>
      </w:r>
      <w:proofErr w:type="spellEnd"/>
      <w:r w:rsidRPr="00007B7D">
        <w:t xml:space="preserve"> capable de </w:t>
      </w:r>
      <w:proofErr w:type="spellStart"/>
      <w:r w:rsidRPr="00007B7D">
        <w:t>consentir</w:t>
      </w:r>
      <w:proofErr w:type="spellEnd"/>
      <w:r w:rsidRPr="00007B7D">
        <w:t xml:space="preserve"> </w:t>
      </w:r>
      <w:proofErr w:type="spellStart"/>
      <w:r w:rsidRPr="00007B7D">
        <w:t>librement</w:t>
      </w:r>
      <w:proofErr w:type="spellEnd"/>
      <w:r w:rsidRPr="00007B7D">
        <w:t xml:space="preserve"> aux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</w:t>
      </w:r>
      <w:proofErr w:type="spellStart"/>
      <w:r w:rsidRPr="00007B7D">
        <w:t>dénoncés</w:t>
      </w:r>
      <w:proofErr w:type="spellEnd"/>
      <w:r w:rsidRPr="00007B7D">
        <w:t xml:space="preserve"> dans de </w:t>
      </w:r>
      <w:proofErr w:type="spellStart"/>
      <w:r w:rsidRPr="00007B7D">
        <w:t>telles</w:t>
      </w:r>
      <w:proofErr w:type="spellEnd"/>
      <w:r w:rsidRPr="00007B7D">
        <w:t xml:space="preserve"> </w:t>
      </w:r>
      <w:proofErr w:type="spellStart"/>
      <w:r w:rsidRPr="00007B7D">
        <w:t>circonstances</w:t>
      </w:r>
      <w:proofErr w:type="spellEnd"/>
      <w:r w:rsidRPr="00007B7D">
        <w:t>.</w:t>
      </w:r>
    </w:p>
    <w:p w14:paraId="4DD7CB26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157</w:t>
      </w:r>
      <w:r w:rsidRPr="00007B7D">
        <w:rPr>
          <w:noProof/>
        </w:rPr>
        <w:fldChar w:fldCharType="end"/>
      </w:r>
      <w:r w:rsidRPr="00007B7D">
        <w:t>.  </w:t>
      </w:r>
      <w:r w:rsidRPr="00007B7D">
        <w:rPr>
          <w:rFonts w:cstheme="minorHAnsi"/>
        </w:rPr>
        <w:t>À</w:t>
      </w:r>
      <w:r w:rsidRPr="00007B7D">
        <w:t xml:space="preserve"> </w:t>
      </w:r>
      <w:proofErr w:type="spellStart"/>
      <w:r w:rsidRPr="00007B7D">
        <w:t>cet</w:t>
      </w:r>
      <w:proofErr w:type="spellEnd"/>
      <w:r w:rsidRPr="00007B7D">
        <w:t xml:space="preserve"> </w:t>
      </w:r>
      <w:proofErr w:type="spellStart"/>
      <w:r w:rsidRPr="00007B7D">
        <w:t>égard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, </w:t>
      </w:r>
      <w:proofErr w:type="spellStart"/>
      <w:r w:rsidRPr="00007B7D">
        <w:t>d’une</w:t>
      </w:r>
      <w:proofErr w:type="spellEnd"/>
      <w:r w:rsidRPr="00007B7D">
        <w:t xml:space="preserve"> part, que </w:t>
      </w:r>
      <w:proofErr w:type="spellStart"/>
      <w:r w:rsidRPr="00007B7D">
        <w:t>l’étude</w:t>
      </w:r>
      <w:proofErr w:type="spellEnd"/>
      <w:r w:rsidRPr="00007B7D">
        <w:t xml:space="preserve"> de la </w:t>
      </w:r>
      <w:proofErr w:type="spellStart"/>
      <w:r w:rsidRPr="00007B7D">
        <w:t>correspondance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et de K.B. </w:t>
      </w:r>
      <w:proofErr w:type="spellStart"/>
      <w:r w:rsidRPr="00007B7D">
        <w:t>apparaissait</w:t>
      </w:r>
      <w:proofErr w:type="spellEnd"/>
      <w:r w:rsidRPr="00007B7D">
        <w:t xml:space="preserve"> </w:t>
      </w:r>
      <w:proofErr w:type="spellStart"/>
      <w:r w:rsidRPr="00007B7D">
        <w:t>déterminante</w:t>
      </w:r>
      <w:proofErr w:type="spellEnd"/>
      <w:r w:rsidRPr="00007B7D">
        <w:t xml:space="preserve"> pour la bonne </w:t>
      </w:r>
      <w:proofErr w:type="spellStart"/>
      <w:r w:rsidRPr="00007B7D">
        <w:t>compréhension</w:t>
      </w:r>
      <w:proofErr w:type="spellEnd"/>
      <w:r w:rsidRPr="00007B7D">
        <w:t xml:space="preserve"> de </w:t>
      </w:r>
      <w:proofErr w:type="spellStart"/>
      <w:r w:rsidRPr="00007B7D">
        <w:t>leur</w:t>
      </w:r>
      <w:proofErr w:type="spellEnd"/>
      <w:r w:rsidRPr="00007B7D">
        <w:t xml:space="preserve"> </w:t>
      </w:r>
      <w:proofErr w:type="spellStart"/>
      <w:r w:rsidRPr="00007B7D">
        <w:t>fonctionnement</w:t>
      </w:r>
      <w:proofErr w:type="spellEnd"/>
      <w:r w:rsidRPr="00007B7D">
        <w:t xml:space="preserve"> </w:t>
      </w:r>
      <w:proofErr w:type="spellStart"/>
      <w:r w:rsidRPr="00007B7D">
        <w:t>relationnel</w:t>
      </w:r>
      <w:proofErr w:type="spellEnd"/>
      <w:r w:rsidRPr="00007B7D">
        <w:t xml:space="preserve"> au vu des </w:t>
      </w:r>
      <w:proofErr w:type="spellStart"/>
      <w:r w:rsidRPr="00007B7D">
        <w:t>éléments</w:t>
      </w:r>
      <w:proofErr w:type="spellEnd"/>
      <w:r w:rsidRPr="00007B7D">
        <w:t xml:space="preserve"> </w:t>
      </w:r>
      <w:proofErr w:type="spellStart"/>
      <w:r w:rsidRPr="00007B7D">
        <w:t>portés</w:t>
      </w:r>
      <w:proofErr w:type="spellEnd"/>
      <w:r w:rsidRPr="00007B7D">
        <w:t xml:space="preserve"> à la </w:t>
      </w:r>
      <w:proofErr w:type="spellStart"/>
      <w:r w:rsidRPr="00007B7D">
        <w:t>connaissance</w:t>
      </w:r>
      <w:proofErr w:type="spellEnd"/>
      <w:r w:rsidRPr="00007B7D">
        <w:t xml:space="preserve"> du </w:t>
      </w:r>
      <w:proofErr w:type="spellStart"/>
      <w:r w:rsidRPr="00007B7D">
        <w:t>ministère</w:t>
      </w:r>
      <w:proofErr w:type="spellEnd"/>
      <w:r w:rsidRPr="00007B7D">
        <w:t xml:space="preserve"> public et des premiers </w:t>
      </w:r>
      <w:proofErr w:type="spellStart"/>
      <w:r w:rsidRPr="00007B7D">
        <w:t>éléments</w:t>
      </w:r>
      <w:proofErr w:type="spellEnd"/>
      <w:r w:rsidRPr="00007B7D">
        <w:t xml:space="preserve"> de </w:t>
      </w:r>
      <w:proofErr w:type="spellStart"/>
      <w:r w:rsidRPr="00007B7D">
        <w:t>l’enquête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Faits_RevelEA_CourrielsetSMS \h </w:instrText>
      </w:r>
      <w:r w:rsidRPr="00007B7D">
        <w:fldChar w:fldCharType="separate"/>
      </w:r>
      <w:r w:rsidRPr="00007B7D">
        <w:rPr>
          <w:noProof/>
        </w:rPr>
        <w:t>7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Faits_RevelEA_CourrielsetSMS_production \h </w:instrText>
      </w:r>
      <w:r w:rsidRPr="00007B7D">
        <w:fldChar w:fldCharType="separate"/>
      </w:r>
      <w:r w:rsidRPr="00007B7D">
        <w:rPr>
          <w:noProof/>
        </w:rPr>
        <w:t>11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Faits_PlaintePR_faitsdénoncés \h </w:instrText>
      </w:r>
      <w:r w:rsidRPr="00007B7D">
        <w:fldChar w:fldCharType="separate"/>
      </w:r>
      <w:r w:rsidRPr="00007B7D">
        <w:rPr>
          <w:noProof/>
        </w:rPr>
        <w:t>21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Faits_AudReq_qualif_cléUSB \h </w:instrText>
      </w:r>
      <w:r w:rsidRPr="00007B7D">
        <w:fldChar w:fldCharType="separate"/>
      </w:r>
      <w:r w:rsidRPr="00007B7D">
        <w:rPr>
          <w:noProof/>
        </w:rPr>
        <w:t>28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Faits_Aud_ProchesEA \h </w:instrText>
      </w:r>
      <w:r w:rsidRPr="00007B7D">
        <w:fldChar w:fldCharType="separate"/>
      </w:r>
      <w:r w:rsidRPr="00007B7D">
        <w:rPr>
          <w:noProof/>
        </w:rPr>
        <w:t>34</w:t>
      </w:r>
      <w:r w:rsidRPr="00007B7D">
        <w:fldChar w:fldCharType="end"/>
      </w:r>
      <w:r w:rsidRPr="00007B7D">
        <w:t xml:space="preserve"> ci-dessus). Or,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que les investigations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lacunaires</w:t>
      </w:r>
      <w:proofErr w:type="spellEnd"/>
      <w:r w:rsidRPr="00007B7D">
        <w:t xml:space="preserve"> sur </w:t>
      </w:r>
      <w:proofErr w:type="spellStart"/>
      <w:r w:rsidRPr="00007B7D">
        <w:t>ce</w:t>
      </w:r>
      <w:proofErr w:type="spellEnd"/>
      <w:r w:rsidRPr="00007B7D">
        <w:t xml:space="preserve"> point.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cours</w:t>
      </w:r>
      <w:proofErr w:type="spellEnd"/>
      <w:r w:rsidRPr="00007B7D">
        <w:t xml:space="preserve"> </w:t>
      </w:r>
      <w:proofErr w:type="spellStart"/>
      <w:r w:rsidRPr="00007B7D">
        <w:t>d’enquête</w:t>
      </w:r>
      <w:proofErr w:type="spellEnd"/>
      <w:r w:rsidRPr="00007B7D">
        <w:t xml:space="preserve"> </w:t>
      </w:r>
      <w:proofErr w:type="spellStart"/>
      <w:r w:rsidRPr="00007B7D">
        <w:t>préliminaire</w:t>
      </w:r>
      <w:proofErr w:type="spellEnd"/>
      <w:r w:rsidRPr="00007B7D">
        <w:t xml:space="preserve">, le </w:t>
      </w:r>
      <w:proofErr w:type="spellStart"/>
      <w:r w:rsidRPr="00007B7D">
        <w:t>directeur</w:t>
      </w:r>
      <w:proofErr w:type="spellEnd"/>
      <w:r w:rsidRPr="00007B7D">
        <w:t xml:space="preserve"> </w:t>
      </w:r>
      <w:proofErr w:type="spellStart"/>
      <w:r w:rsidRPr="00007B7D">
        <w:t>d’enquête</w:t>
      </w:r>
      <w:proofErr w:type="spellEnd"/>
      <w:r w:rsidRPr="00007B7D">
        <w:t xml:space="preserve"> </w:t>
      </w:r>
      <w:proofErr w:type="spellStart"/>
      <w:r w:rsidRPr="00007B7D">
        <w:t>s’est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effet</w:t>
      </w:r>
      <w:proofErr w:type="spellEnd"/>
      <w:r w:rsidRPr="00007B7D">
        <w:t xml:space="preserve"> </w:t>
      </w:r>
      <w:proofErr w:type="spellStart"/>
      <w:r w:rsidRPr="00007B7D">
        <w:t>borné</w:t>
      </w:r>
      <w:proofErr w:type="spellEnd"/>
      <w:r w:rsidRPr="00007B7D">
        <w:t xml:space="preserve"> à exploiter les </w:t>
      </w:r>
      <w:proofErr w:type="spellStart"/>
      <w:r w:rsidRPr="00007B7D">
        <w:t>quelques</w:t>
      </w:r>
      <w:proofErr w:type="spellEnd"/>
      <w:r w:rsidRPr="00007B7D">
        <w:t xml:space="preserve"> </w:t>
      </w:r>
      <w:proofErr w:type="spellStart"/>
      <w:r w:rsidRPr="00007B7D">
        <w:t>éléments</w:t>
      </w:r>
      <w:proofErr w:type="spellEnd"/>
      <w:r w:rsidRPr="00007B7D">
        <w:t xml:space="preserve"> </w:t>
      </w:r>
      <w:proofErr w:type="spellStart"/>
      <w:r w:rsidRPr="00007B7D">
        <w:t>fournis</w:t>
      </w:r>
      <w:proofErr w:type="spellEnd"/>
      <w:r w:rsidRPr="00007B7D">
        <w:t xml:space="preserve"> par les parties et sans </w:t>
      </w:r>
      <w:proofErr w:type="spellStart"/>
      <w:r w:rsidRPr="00007B7D">
        <w:t>chercher</w:t>
      </w:r>
      <w:proofErr w:type="spellEnd"/>
      <w:r w:rsidRPr="00007B7D">
        <w:t xml:space="preserve"> à </w:t>
      </w:r>
      <w:proofErr w:type="spellStart"/>
      <w:r w:rsidRPr="00007B7D">
        <w:t>collecter</w:t>
      </w:r>
      <w:proofErr w:type="spellEnd"/>
      <w:r w:rsidRPr="00007B7D">
        <w:t xml:space="preserve"> </w:t>
      </w:r>
      <w:proofErr w:type="spellStart"/>
      <w:r w:rsidRPr="00007B7D">
        <w:t>d’autres</w:t>
      </w:r>
      <w:proofErr w:type="spellEnd"/>
      <w:r w:rsidRPr="00007B7D">
        <w:t xml:space="preserve"> </w:t>
      </w:r>
      <w:proofErr w:type="spellStart"/>
      <w:r w:rsidRPr="00007B7D">
        <w:t>preuves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Faits_Exploit_cléUSB_parOPJ \h </w:instrText>
      </w:r>
      <w:r w:rsidRPr="00007B7D">
        <w:fldChar w:fldCharType="separate"/>
      </w:r>
      <w:r w:rsidRPr="00007B7D">
        <w:rPr>
          <w:noProof/>
        </w:rPr>
        <w:t>41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Faits_EP_AbsTéléphonieetPerq \h </w:instrText>
      </w:r>
      <w:r w:rsidRPr="00007B7D">
        <w:fldChar w:fldCharType="separate"/>
      </w:r>
      <w:r w:rsidRPr="00007B7D">
        <w:rPr>
          <w:noProof/>
        </w:rPr>
        <w:t>42</w:t>
      </w:r>
      <w:r w:rsidRPr="00007B7D">
        <w:fldChar w:fldCharType="end"/>
      </w:r>
      <w:r w:rsidRPr="00007B7D">
        <w:t xml:space="preserve"> ci-dessus). </w:t>
      </w:r>
      <w:proofErr w:type="spellStart"/>
      <w:r w:rsidRPr="00007B7D">
        <w:t>L’information</w:t>
      </w:r>
      <w:proofErr w:type="spellEnd"/>
      <w:r w:rsidRPr="00007B7D">
        <w:t xml:space="preserve"> </w:t>
      </w:r>
      <w:proofErr w:type="spellStart"/>
      <w:r w:rsidRPr="00007B7D">
        <w:t>judiciaire</w:t>
      </w:r>
      <w:proofErr w:type="spellEnd"/>
      <w:r w:rsidRPr="00007B7D">
        <w:t xml:space="preserve"> </w:t>
      </w:r>
      <w:proofErr w:type="spellStart"/>
      <w:r w:rsidRPr="00007B7D">
        <w:t>n’a</w:t>
      </w:r>
      <w:proofErr w:type="spellEnd"/>
      <w:r w:rsidRPr="00007B7D">
        <w:t xml:space="preserve"> pas </w:t>
      </w:r>
      <w:proofErr w:type="spellStart"/>
      <w:r w:rsidRPr="00007B7D">
        <w:t>permis</w:t>
      </w:r>
      <w:proofErr w:type="spellEnd"/>
      <w:r w:rsidRPr="00007B7D">
        <w:t xml:space="preserve"> de </w:t>
      </w:r>
      <w:proofErr w:type="spellStart"/>
      <w:r w:rsidRPr="00007B7D">
        <w:t>compléter</w:t>
      </w:r>
      <w:proofErr w:type="spellEnd"/>
      <w:r w:rsidRPr="00007B7D">
        <w:t xml:space="preserve"> </w:t>
      </w:r>
      <w:proofErr w:type="spellStart"/>
      <w:r w:rsidRPr="00007B7D">
        <w:t>utilement</w:t>
      </w:r>
      <w:proofErr w:type="spellEnd"/>
      <w:r w:rsidRPr="00007B7D">
        <w:t xml:space="preserve"> les investigations sur </w:t>
      </w:r>
      <w:proofErr w:type="spellStart"/>
      <w:r w:rsidRPr="00007B7D">
        <w:t>ce</w:t>
      </w:r>
      <w:proofErr w:type="spellEnd"/>
      <w:r w:rsidRPr="00007B7D">
        <w:t xml:space="preserve"> point, la </w:t>
      </w:r>
      <w:proofErr w:type="spellStart"/>
      <w:r w:rsidRPr="00007B7D">
        <w:t>tardiveté</w:t>
      </w:r>
      <w:proofErr w:type="spellEnd"/>
      <w:r w:rsidRPr="00007B7D">
        <w:t xml:space="preserve"> de la </w:t>
      </w:r>
      <w:proofErr w:type="spellStart"/>
      <w:r w:rsidRPr="00007B7D">
        <w:t>saisie</w:t>
      </w:r>
      <w:proofErr w:type="spellEnd"/>
      <w:r w:rsidRPr="00007B7D">
        <w:t xml:space="preserve"> du matériel </w:t>
      </w:r>
      <w:proofErr w:type="spellStart"/>
      <w:r w:rsidRPr="00007B7D">
        <w:t>informatique</w:t>
      </w:r>
      <w:proofErr w:type="spellEnd"/>
      <w:r w:rsidRPr="00007B7D">
        <w:t xml:space="preserve"> </w:t>
      </w:r>
      <w:proofErr w:type="spellStart"/>
      <w:r w:rsidRPr="00007B7D">
        <w:t>professionnel</w:t>
      </w:r>
      <w:proofErr w:type="spellEnd"/>
      <w:r w:rsidRPr="00007B7D">
        <w:t xml:space="preserve"> de K.B.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entraîné</w:t>
      </w:r>
      <w:proofErr w:type="spellEnd"/>
      <w:r w:rsidRPr="00007B7D">
        <w:t xml:space="preserve"> un </w:t>
      </w:r>
      <w:proofErr w:type="spellStart"/>
      <w:r w:rsidRPr="00007B7D">
        <w:t>dépérissement</w:t>
      </w:r>
      <w:proofErr w:type="spellEnd"/>
      <w:r w:rsidRPr="00007B7D">
        <w:t xml:space="preserve"> des </w:t>
      </w:r>
      <w:proofErr w:type="spellStart"/>
      <w:r w:rsidRPr="00007B7D">
        <w:t>preuves</w:t>
      </w:r>
      <w:proofErr w:type="spellEnd"/>
      <w:r w:rsidRPr="00007B7D">
        <w:t xml:space="preserve"> </w:t>
      </w:r>
      <w:proofErr w:type="spellStart"/>
      <w:r w:rsidRPr="00007B7D">
        <w:t>numériques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Faits_Info_ExpertiseInformatique \h </w:instrText>
      </w:r>
      <w:r w:rsidRPr="00007B7D">
        <w:fldChar w:fldCharType="separate"/>
      </w:r>
      <w:r w:rsidRPr="00007B7D">
        <w:rPr>
          <w:rFonts w:cstheme="minorHAnsi"/>
          <w:noProof/>
        </w:rPr>
        <w:t>47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Faits_Info_Téléphonies \h </w:instrText>
      </w:r>
      <w:r w:rsidRPr="00007B7D">
        <w:fldChar w:fldCharType="separate"/>
      </w:r>
      <w:r w:rsidRPr="00007B7D">
        <w:rPr>
          <w:rFonts w:cstheme="minorHAnsi"/>
          <w:noProof/>
        </w:rPr>
        <w:t>48</w:t>
      </w:r>
      <w:r w:rsidRPr="00007B7D">
        <w:fldChar w:fldCharType="end"/>
      </w:r>
      <w:r w:rsidRPr="00007B7D">
        <w:t xml:space="preserve"> ci-dessus).</w:t>
      </w:r>
    </w:p>
    <w:p w14:paraId="6A994911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158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D’autre</w:t>
      </w:r>
      <w:proofErr w:type="spellEnd"/>
      <w:r w:rsidRPr="00007B7D">
        <w:t xml:space="preserve"> part, </w:t>
      </w:r>
      <w:proofErr w:type="spellStart"/>
      <w:r w:rsidRPr="00007B7D">
        <w:t>alors</w:t>
      </w:r>
      <w:proofErr w:type="spellEnd"/>
      <w:r w:rsidRPr="00007B7D">
        <w:t xml:space="preserve">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relevé</w:t>
      </w:r>
      <w:proofErr w:type="spellEnd"/>
      <w:r w:rsidRPr="00007B7D">
        <w:t xml:space="preserve">, par </w:t>
      </w:r>
      <w:proofErr w:type="spellStart"/>
      <w:r w:rsidRPr="00007B7D">
        <w:t>voie</w:t>
      </w:r>
      <w:proofErr w:type="spellEnd"/>
      <w:r w:rsidRPr="00007B7D">
        <w:t xml:space="preserve"> </w:t>
      </w:r>
      <w:proofErr w:type="spellStart"/>
      <w:r w:rsidRPr="00007B7D">
        <w:t>d’examen</w:t>
      </w:r>
      <w:proofErr w:type="spellEnd"/>
      <w:r w:rsidRPr="00007B7D">
        <w:t xml:space="preserve"> </w:t>
      </w:r>
      <w:proofErr w:type="spellStart"/>
      <w:r w:rsidRPr="00007B7D">
        <w:t>psychiatrique</w:t>
      </w:r>
      <w:proofErr w:type="spellEnd"/>
      <w:r w:rsidRPr="00007B7D">
        <w:t xml:space="preserve">,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présentait</w:t>
      </w:r>
      <w:proofErr w:type="spellEnd"/>
      <w:r w:rsidRPr="00007B7D">
        <w:t xml:space="preserve"> un </w:t>
      </w:r>
      <w:proofErr w:type="spellStart"/>
      <w:r w:rsidRPr="00007B7D">
        <w:t>traumatisme</w:t>
      </w:r>
      <w:proofErr w:type="spellEnd"/>
      <w:r w:rsidRPr="00007B7D">
        <w:t xml:space="preserve"> </w:t>
      </w:r>
      <w:proofErr w:type="spellStart"/>
      <w:r w:rsidRPr="00007B7D">
        <w:t>psychique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rare </w:t>
      </w:r>
      <w:proofErr w:type="spellStart"/>
      <w:r w:rsidRPr="00007B7D">
        <w:t>intensité</w:t>
      </w:r>
      <w:proofErr w:type="spellEnd"/>
      <w:r w:rsidRPr="00007B7D">
        <w:t xml:space="preserve"> et les </w:t>
      </w:r>
      <w:proofErr w:type="spellStart"/>
      <w:r w:rsidRPr="00007B7D">
        <w:t>signes</w:t>
      </w:r>
      <w:proofErr w:type="spellEnd"/>
      <w:r w:rsidRPr="00007B7D">
        <w:t xml:space="preserve"> </w:t>
      </w:r>
      <w:proofErr w:type="spellStart"/>
      <w:r w:rsidRPr="00007B7D">
        <w:t>cliniques</w:t>
      </w:r>
      <w:proofErr w:type="spellEnd"/>
      <w:r w:rsidRPr="00007B7D">
        <w:t xml:space="preserve"> d’un « syndrome de </w:t>
      </w:r>
      <w:proofErr w:type="spellStart"/>
      <w:r w:rsidRPr="00007B7D">
        <w:t>l’otage</w:t>
      </w:r>
      <w:proofErr w:type="spellEnd"/>
      <w:r w:rsidRPr="00007B7D">
        <w:t> »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Faits_ExamenPsyV \h </w:instrText>
      </w:r>
      <w:r w:rsidRPr="00007B7D">
        <w:fldChar w:fldCharType="separate"/>
      </w:r>
      <w:r w:rsidRPr="00007B7D">
        <w:rPr>
          <w:noProof/>
        </w:rPr>
        <w:t>37</w:t>
      </w:r>
      <w:r w:rsidRPr="00007B7D">
        <w:fldChar w:fldCharType="end"/>
      </w:r>
      <w:r w:rsidRPr="00007B7D">
        <w:t xml:space="preserve"> ci-dessus),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regrette</w:t>
      </w:r>
      <w:proofErr w:type="spellEnd"/>
      <w:r w:rsidRPr="00007B7D">
        <w:t xml:space="preserve">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n’ait</w:t>
      </w:r>
      <w:proofErr w:type="spellEnd"/>
      <w:r w:rsidRPr="00007B7D">
        <w:t xml:space="preserve"> pas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effectué</w:t>
      </w:r>
      <w:proofErr w:type="spellEnd"/>
      <w:r w:rsidRPr="00007B7D">
        <w:t xml:space="preserve"> </w:t>
      </w:r>
      <w:proofErr w:type="spellStart"/>
      <w:r w:rsidRPr="00007B7D">
        <w:t>d’investigations</w:t>
      </w:r>
      <w:proofErr w:type="spellEnd"/>
      <w:r w:rsidRPr="00007B7D">
        <w:t xml:space="preserve"> </w:t>
      </w:r>
      <w:proofErr w:type="spellStart"/>
      <w:r w:rsidRPr="00007B7D">
        <w:t>complémentaires</w:t>
      </w:r>
      <w:proofErr w:type="spellEnd"/>
      <w:r w:rsidRPr="00007B7D">
        <w:t xml:space="preserve"> </w:t>
      </w:r>
      <w:proofErr w:type="spellStart"/>
      <w:r w:rsidRPr="00007B7D">
        <w:t>afin</w:t>
      </w:r>
      <w:proofErr w:type="spellEnd"/>
      <w:r w:rsidRPr="00007B7D">
        <w:t xml:space="preserve"> de </w:t>
      </w:r>
      <w:proofErr w:type="spellStart"/>
      <w:r w:rsidRPr="00007B7D">
        <w:t>déterminer</w:t>
      </w:r>
      <w:proofErr w:type="spellEnd"/>
      <w:r w:rsidRPr="00007B7D">
        <w:t xml:space="preserve"> </w:t>
      </w:r>
      <w:proofErr w:type="spellStart"/>
      <w:r w:rsidRPr="00007B7D">
        <w:t>si</w:t>
      </w:r>
      <w:proofErr w:type="spellEnd"/>
      <w:r w:rsidRPr="00007B7D">
        <w:t xml:space="preserve"> de </w:t>
      </w:r>
      <w:proofErr w:type="spellStart"/>
      <w:r w:rsidRPr="00007B7D">
        <w:t>telles</w:t>
      </w:r>
      <w:proofErr w:type="spellEnd"/>
      <w:r w:rsidRPr="00007B7D">
        <w:t xml:space="preserve"> conclusions </w:t>
      </w:r>
      <w:proofErr w:type="spellStart"/>
      <w:r w:rsidRPr="00007B7D">
        <w:t>étaient</w:t>
      </w:r>
      <w:proofErr w:type="spellEnd"/>
      <w:r w:rsidRPr="00007B7D">
        <w:t xml:space="preserve"> de nature à </w:t>
      </w:r>
      <w:proofErr w:type="spellStart"/>
      <w:r w:rsidRPr="00007B7D">
        <w:t>remettre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cause la </w:t>
      </w:r>
      <w:proofErr w:type="spellStart"/>
      <w:r w:rsidRPr="00007B7D">
        <w:t>capacité</w:t>
      </w:r>
      <w:proofErr w:type="spellEnd"/>
      <w:r w:rsidRPr="00007B7D">
        <w:t xml:space="preserve"> de la </w:t>
      </w:r>
      <w:proofErr w:type="spellStart"/>
      <w:r w:rsidRPr="00007B7D">
        <w:t>plaignante</w:t>
      </w:r>
      <w:proofErr w:type="spellEnd"/>
      <w:r w:rsidRPr="00007B7D">
        <w:t xml:space="preserve"> à </w:t>
      </w:r>
      <w:proofErr w:type="spellStart"/>
      <w:r w:rsidRPr="00007B7D">
        <w:t>consentir</w:t>
      </w:r>
      <w:proofErr w:type="spellEnd"/>
      <w:r w:rsidRPr="00007B7D">
        <w:t xml:space="preserve"> </w:t>
      </w:r>
      <w:proofErr w:type="spellStart"/>
      <w:r w:rsidRPr="00007B7D">
        <w:t>librement</w:t>
      </w:r>
      <w:proofErr w:type="spellEnd"/>
      <w:r w:rsidRPr="00007B7D">
        <w:t xml:space="preserve"> à des relations </w:t>
      </w:r>
      <w:proofErr w:type="spellStart"/>
      <w:r w:rsidRPr="00007B7D">
        <w:t>sexuelles</w:t>
      </w:r>
      <w:proofErr w:type="spellEnd"/>
      <w:r w:rsidRPr="00007B7D">
        <w:t xml:space="preserve"> à la date des faits.</w:t>
      </w:r>
    </w:p>
    <w:p w14:paraId="15951055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159</w:t>
      </w:r>
      <w:r w:rsidRPr="00007B7D">
        <w:rPr>
          <w:noProof/>
        </w:rPr>
        <w:fldChar w:fldCharType="end"/>
      </w:r>
      <w:r w:rsidRPr="00007B7D">
        <w:t xml:space="preserve">.  Au vu de </w:t>
      </w:r>
      <w:proofErr w:type="spellStart"/>
      <w:r w:rsidRPr="00007B7D">
        <w:t>ce</w:t>
      </w:r>
      <w:proofErr w:type="spellEnd"/>
      <w:r w:rsidRPr="00007B7D">
        <w:t xml:space="preserve"> qui </w:t>
      </w:r>
      <w:proofErr w:type="spellStart"/>
      <w:r w:rsidRPr="00007B7D">
        <w:t>précède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que les investigations </w:t>
      </w:r>
      <w:proofErr w:type="gramStart"/>
      <w:r w:rsidRPr="00007B7D">
        <w:t>relatives</w:t>
      </w:r>
      <w:proofErr w:type="gramEnd"/>
      <w:r w:rsidRPr="00007B7D">
        <w:t xml:space="preserve"> aux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entourant</w:t>
      </w:r>
      <w:proofErr w:type="spellEnd"/>
      <w:r w:rsidRPr="00007B7D">
        <w:t xml:space="preserve"> les faits </w:t>
      </w:r>
      <w:proofErr w:type="spellStart"/>
      <w:r w:rsidRPr="00007B7D">
        <w:t>n’ont</w:t>
      </w:r>
      <w:proofErr w:type="spellEnd"/>
      <w:r w:rsidRPr="00007B7D">
        <w:t xml:space="preserve"> pas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suffisamment</w:t>
      </w:r>
      <w:proofErr w:type="spellEnd"/>
      <w:r w:rsidRPr="00007B7D">
        <w:t xml:space="preserve"> </w:t>
      </w:r>
      <w:proofErr w:type="spellStart"/>
      <w:r w:rsidRPr="00007B7D">
        <w:t>approfondies</w:t>
      </w:r>
      <w:proofErr w:type="spellEnd"/>
      <w:r w:rsidRPr="00007B7D">
        <w:t>.</w:t>
      </w:r>
    </w:p>
    <w:p w14:paraId="12A049B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160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S’agissant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troisième</w:t>
      </w:r>
      <w:proofErr w:type="spellEnd"/>
      <w:r w:rsidRPr="00007B7D">
        <w:t xml:space="preserve"> et dernier lieu de la </w:t>
      </w:r>
      <w:proofErr w:type="spellStart"/>
      <w:r w:rsidRPr="00007B7D">
        <w:t>célérité</w:t>
      </w:r>
      <w:proofErr w:type="spellEnd"/>
      <w:r w:rsidRPr="00007B7D">
        <w:t xml:space="preserve"> de la </w:t>
      </w:r>
      <w:proofErr w:type="spellStart"/>
      <w:r w:rsidRPr="00007B7D">
        <w:t>procédure</w:t>
      </w:r>
      <w:proofErr w:type="spellEnd"/>
      <w:r w:rsidRPr="00007B7D">
        <w:t xml:space="preserve"> </w:t>
      </w:r>
      <w:proofErr w:type="spellStart"/>
      <w:r w:rsidRPr="00007B7D">
        <w:t>d’enquête</w:t>
      </w:r>
      <w:proofErr w:type="spellEnd"/>
      <w:r w:rsidRPr="00007B7D">
        <w:t xml:space="preserve"> et de </w:t>
      </w:r>
      <w:proofErr w:type="spellStart"/>
      <w:r w:rsidRPr="00007B7D">
        <w:t>jugement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constate que </w:t>
      </w:r>
      <w:proofErr w:type="spellStart"/>
      <w:r w:rsidRPr="00007B7D">
        <w:t>sa</w:t>
      </w:r>
      <w:proofErr w:type="spellEnd"/>
      <w:r w:rsidRPr="00007B7D">
        <w:t xml:space="preserve"> durée </w:t>
      </w:r>
      <w:proofErr w:type="spellStart"/>
      <w:r w:rsidRPr="00007B7D">
        <w:t>globale</w:t>
      </w:r>
      <w:proofErr w:type="spellEnd"/>
      <w:r w:rsidRPr="00007B7D">
        <w:t xml:space="preserve"> a </w:t>
      </w:r>
      <w:proofErr w:type="spellStart"/>
      <w:r w:rsidRPr="00007B7D">
        <w:t>été</w:t>
      </w:r>
      <w:proofErr w:type="spellEnd"/>
      <w:r w:rsidRPr="00007B7D">
        <w:t xml:space="preserve"> de </w:t>
      </w:r>
      <w:proofErr w:type="spellStart"/>
      <w:r w:rsidRPr="00007B7D">
        <w:t>huit</w:t>
      </w:r>
      <w:proofErr w:type="spellEnd"/>
      <w:r w:rsidRPr="00007B7D">
        <w:t> </w:t>
      </w:r>
      <w:proofErr w:type="spellStart"/>
      <w:r w:rsidRPr="00007B7D">
        <w:t>ans</w:t>
      </w:r>
      <w:proofErr w:type="spellEnd"/>
      <w:r w:rsidRPr="00007B7D">
        <w:t xml:space="preserve"> et six </w:t>
      </w:r>
      <w:proofErr w:type="spellStart"/>
      <w:r w:rsidRPr="00007B7D">
        <w:t>mois</w:t>
      </w:r>
      <w:proofErr w:type="spellEnd"/>
      <w:r w:rsidRPr="00007B7D">
        <w:t xml:space="preserve">, </w:t>
      </w:r>
      <w:proofErr w:type="spellStart"/>
      <w:r w:rsidRPr="00007B7D">
        <w:t>l’affaire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examinée</w:t>
      </w:r>
      <w:proofErr w:type="spellEnd"/>
      <w:r w:rsidRPr="00007B7D">
        <w:t xml:space="preserve"> par des </w:t>
      </w:r>
      <w:proofErr w:type="spellStart"/>
      <w:r w:rsidRPr="00007B7D">
        <w:t>juridictions</w:t>
      </w:r>
      <w:proofErr w:type="spellEnd"/>
      <w:r w:rsidRPr="00007B7D">
        <w:t xml:space="preserve"> de trois </w:t>
      </w:r>
      <w:proofErr w:type="spellStart"/>
      <w:r w:rsidRPr="00007B7D">
        <w:t>degrés</w:t>
      </w:r>
      <w:proofErr w:type="spellEnd"/>
      <w:r w:rsidRPr="00007B7D">
        <w:t xml:space="preserve"> </w:t>
      </w:r>
      <w:proofErr w:type="spellStart"/>
      <w:r w:rsidRPr="00007B7D">
        <w:t>différents</w:t>
      </w:r>
      <w:proofErr w:type="spellEnd"/>
      <w:r w:rsidRPr="00007B7D">
        <w:t xml:space="preserve">. Elle </w:t>
      </w:r>
      <w:proofErr w:type="spellStart"/>
      <w:r w:rsidRPr="00007B7D">
        <w:t>relève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particulier que la </w:t>
      </w:r>
      <w:proofErr w:type="spellStart"/>
      <w:r w:rsidRPr="00007B7D">
        <w:t>clôture</w:t>
      </w:r>
      <w:proofErr w:type="spellEnd"/>
      <w:r w:rsidRPr="00007B7D">
        <w:t xml:space="preserve"> de </w:t>
      </w:r>
      <w:proofErr w:type="spellStart"/>
      <w:r w:rsidRPr="00007B7D">
        <w:t>l’information</w:t>
      </w:r>
      <w:proofErr w:type="spellEnd"/>
      <w:r w:rsidRPr="00007B7D">
        <w:t xml:space="preserve"> </w:t>
      </w:r>
      <w:proofErr w:type="spellStart"/>
      <w:r w:rsidRPr="00007B7D">
        <w:t>judiciaire</w:t>
      </w:r>
      <w:proofErr w:type="spellEnd"/>
      <w:r w:rsidRPr="00007B7D">
        <w:t xml:space="preserve"> a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retardée</w:t>
      </w:r>
      <w:proofErr w:type="spellEnd"/>
      <w:r w:rsidRPr="00007B7D">
        <w:t xml:space="preserve"> de plus d’un an </w:t>
      </w:r>
      <w:proofErr w:type="spellStart"/>
      <w:r w:rsidRPr="00007B7D">
        <w:t>en</w:t>
      </w:r>
      <w:proofErr w:type="spellEnd"/>
      <w:r w:rsidRPr="00007B7D">
        <w:t xml:space="preserve"> raison des </w:t>
      </w:r>
      <w:proofErr w:type="spellStart"/>
      <w:r w:rsidRPr="00007B7D">
        <w:t>difficultés</w:t>
      </w:r>
      <w:proofErr w:type="spellEnd"/>
      <w:r w:rsidRPr="00007B7D">
        <w:t xml:space="preserve"> </w:t>
      </w:r>
      <w:proofErr w:type="spellStart"/>
      <w:r w:rsidRPr="00007B7D">
        <w:t>rencontrées</w:t>
      </w:r>
      <w:proofErr w:type="spellEnd"/>
      <w:r w:rsidRPr="00007B7D">
        <w:t xml:space="preserve"> pour faire </w:t>
      </w:r>
      <w:proofErr w:type="spellStart"/>
      <w:r w:rsidRPr="00007B7D">
        <w:t>réaliser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expertise </w:t>
      </w:r>
      <w:proofErr w:type="spellStart"/>
      <w:r w:rsidRPr="00007B7D">
        <w:t>psychiatrique</w:t>
      </w:r>
      <w:proofErr w:type="spellEnd"/>
      <w:r w:rsidRPr="00007B7D">
        <w:t xml:space="preserve"> de K.B. et </w:t>
      </w:r>
      <w:proofErr w:type="spellStart"/>
      <w:r w:rsidRPr="00007B7D">
        <w:t>qu’un</w:t>
      </w:r>
      <w:proofErr w:type="spellEnd"/>
      <w:r w:rsidRPr="00007B7D">
        <w:t xml:space="preserve"> </w:t>
      </w:r>
      <w:proofErr w:type="spellStart"/>
      <w:r w:rsidRPr="00007B7D">
        <w:t>délai</w:t>
      </w:r>
      <w:proofErr w:type="spellEnd"/>
      <w:r w:rsidRPr="00007B7D">
        <w:t xml:space="preserve"> de </w:t>
      </w:r>
      <w:proofErr w:type="spellStart"/>
      <w:r w:rsidRPr="00007B7D">
        <w:t>près</w:t>
      </w:r>
      <w:proofErr w:type="spellEnd"/>
      <w:r w:rsidRPr="00007B7D">
        <w:t xml:space="preserve"> de deux </w:t>
      </w:r>
      <w:proofErr w:type="spellStart"/>
      <w:r w:rsidRPr="00007B7D">
        <w:t>ans</w:t>
      </w:r>
      <w:proofErr w:type="spellEnd"/>
      <w:r w:rsidRPr="00007B7D">
        <w:t xml:space="preserve"> et </w:t>
      </w:r>
      <w:proofErr w:type="spellStart"/>
      <w:r w:rsidRPr="00007B7D">
        <w:t>neuf</w:t>
      </w:r>
      <w:proofErr w:type="spellEnd"/>
      <w:r w:rsidRPr="00007B7D">
        <w:t xml:space="preserve"> </w:t>
      </w:r>
      <w:proofErr w:type="spellStart"/>
      <w:r w:rsidRPr="00007B7D">
        <w:t>mois</w:t>
      </w:r>
      <w:proofErr w:type="spellEnd"/>
      <w:r w:rsidRPr="00007B7D">
        <w:t xml:space="preserve"> </w:t>
      </w:r>
      <w:proofErr w:type="spellStart"/>
      <w:r w:rsidRPr="00007B7D">
        <w:t>s’est</w:t>
      </w:r>
      <w:proofErr w:type="spellEnd"/>
      <w:r w:rsidRPr="00007B7D">
        <w:t xml:space="preserve"> </w:t>
      </w:r>
      <w:proofErr w:type="spellStart"/>
      <w:r w:rsidRPr="00007B7D">
        <w:t>écoulé</w:t>
      </w:r>
      <w:proofErr w:type="spellEnd"/>
      <w:r w:rsidRPr="00007B7D">
        <w:t xml:space="preserve"> entre les </w:t>
      </w:r>
      <w:proofErr w:type="spellStart"/>
      <w:r w:rsidRPr="00007B7D">
        <w:t>appels</w:t>
      </w:r>
      <w:proofErr w:type="spellEnd"/>
      <w:r w:rsidRPr="00007B7D">
        <w:t xml:space="preserve"> </w:t>
      </w:r>
      <w:proofErr w:type="spellStart"/>
      <w:r w:rsidRPr="00007B7D">
        <w:t>interjetés</w:t>
      </w:r>
      <w:proofErr w:type="spellEnd"/>
      <w:r w:rsidRPr="00007B7D">
        <w:t xml:space="preserve"> à </w:t>
      </w:r>
      <w:proofErr w:type="spellStart"/>
      <w:r w:rsidRPr="00007B7D">
        <w:t>l’encontre</w:t>
      </w:r>
      <w:proofErr w:type="spellEnd"/>
      <w:r w:rsidRPr="00007B7D">
        <w:t xml:space="preserve"> du </w:t>
      </w:r>
      <w:proofErr w:type="spellStart"/>
      <w:r w:rsidRPr="00007B7D">
        <w:t>jugement</w:t>
      </w:r>
      <w:proofErr w:type="spellEnd"/>
      <w:r w:rsidRPr="00007B7D">
        <w:t xml:space="preserve"> du tribunal </w:t>
      </w:r>
      <w:proofErr w:type="spellStart"/>
      <w:r w:rsidRPr="00007B7D">
        <w:t>correctionnel</w:t>
      </w:r>
      <w:proofErr w:type="spellEnd"/>
      <w:r w:rsidRPr="00007B7D">
        <w:t xml:space="preserve"> du 25 </w:t>
      </w:r>
      <w:proofErr w:type="spellStart"/>
      <w:r w:rsidRPr="00007B7D">
        <w:t>septembre</w:t>
      </w:r>
      <w:proofErr w:type="spellEnd"/>
      <w:r w:rsidRPr="00007B7D">
        <w:t xml:space="preserve"> 2018 et </w:t>
      </w:r>
      <w:proofErr w:type="spellStart"/>
      <w:r w:rsidRPr="00007B7D">
        <w:t>leur</w:t>
      </w:r>
      <w:proofErr w:type="spellEnd"/>
      <w:r w:rsidRPr="00007B7D">
        <w:t xml:space="preserve"> examen par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d’appel</w:t>
      </w:r>
      <w:proofErr w:type="spellEnd"/>
      <w:r w:rsidRPr="00007B7D">
        <w:t xml:space="preserve">. Dans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circonstances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estime</w:t>
      </w:r>
      <w:proofErr w:type="spellEnd"/>
      <w:r w:rsidRPr="00007B7D">
        <w:t xml:space="preserve"> que la </w:t>
      </w:r>
      <w:proofErr w:type="spellStart"/>
      <w:r w:rsidRPr="00007B7D">
        <w:t>procédure</w:t>
      </w:r>
      <w:proofErr w:type="spellEnd"/>
      <w:r w:rsidRPr="00007B7D">
        <w:t xml:space="preserve"> </w:t>
      </w:r>
      <w:proofErr w:type="spellStart"/>
      <w:r w:rsidRPr="00007B7D">
        <w:t>n’a</w:t>
      </w:r>
      <w:proofErr w:type="spellEnd"/>
      <w:r w:rsidRPr="00007B7D">
        <w:t xml:space="preserve"> pas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menée</w:t>
      </w:r>
      <w:proofErr w:type="spellEnd"/>
      <w:r w:rsidRPr="00007B7D">
        <w:t xml:space="preserve"> avec la </w:t>
      </w:r>
      <w:proofErr w:type="spellStart"/>
      <w:r w:rsidRPr="00007B7D">
        <w:t>célérité</w:t>
      </w:r>
      <w:proofErr w:type="spellEnd"/>
      <w:r w:rsidRPr="00007B7D">
        <w:t xml:space="preserve"> </w:t>
      </w:r>
      <w:proofErr w:type="spellStart"/>
      <w:r w:rsidRPr="00007B7D">
        <w:t>requise</w:t>
      </w:r>
      <w:proofErr w:type="spellEnd"/>
      <w:r w:rsidRPr="00007B7D">
        <w:t>.</w:t>
      </w:r>
    </w:p>
    <w:p w14:paraId="2A390491" w14:textId="77777777" w:rsidR="005D5C86" w:rsidRPr="00007B7D" w:rsidRDefault="005D5C86" w:rsidP="005D5C86">
      <w:pPr>
        <w:pStyle w:val="ECHRHeading6"/>
        <w:numPr>
          <w:ilvl w:val="0"/>
          <w:numId w:val="21"/>
        </w:numPr>
        <w:ind w:left="1373" w:hanging="335"/>
      </w:pPr>
      <w:r w:rsidRPr="00007B7D">
        <w:lastRenderedPageBreak/>
        <w:t xml:space="preserve">Sur </w:t>
      </w:r>
      <w:proofErr w:type="spellStart"/>
      <w:r w:rsidRPr="00007B7D">
        <w:t>l’appréciation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 par les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</w:p>
    <w:p w14:paraId="6870F7A7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161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S’agissant</w:t>
      </w:r>
      <w:proofErr w:type="spellEnd"/>
      <w:r w:rsidRPr="00007B7D">
        <w:t xml:space="preserve"> de </w:t>
      </w:r>
      <w:proofErr w:type="spellStart"/>
      <w:r w:rsidRPr="00007B7D">
        <w:t>l’appréciation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 par les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constate que le tribunal </w:t>
      </w:r>
      <w:proofErr w:type="spellStart"/>
      <w:r w:rsidRPr="00007B7D">
        <w:t>correctionnel</w:t>
      </w:r>
      <w:proofErr w:type="spellEnd"/>
      <w:r w:rsidRPr="00007B7D">
        <w:t xml:space="preserve"> de Val de </w:t>
      </w:r>
      <w:proofErr w:type="spellStart"/>
      <w:r w:rsidRPr="00007B7D">
        <w:t>Briey</w:t>
      </w:r>
      <w:proofErr w:type="spellEnd"/>
      <w:r w:rsidRPr="00007B7D">
        <w:t xml:space="preserve"> a </w:t>
      </w:r>
      <w:proofErr w:type="spellStart"/>
      <w:r w:rsidRPr="00007B7D">
        <w:t>rejeté</w:t>
      </w:r>
      <w:proofErr w:type="spellEnd"/>
      <w:r w:rsidRPr="00007B7D">
        <w:t xml:space="preserve"> la </w:t>
      </w:r>
      <w:proofErr w:type="spellStart"/>
      <w:r w:rsidRPr="00007B7D">
        <w:t>demande</w:t>
      </w:r>
      <w:proofErr w:type="spellEnd"/>
      <w:r w:rsidRPr="00007B7D">
        <w:t xml:space="preserve"> de requalification des faits </w:t>
      </w:r>
      <w:proofErr w:type="spellStart"/>
      <w:r w:rsidRPr="00007B7D">
        <w:t>reprochés</w:t>
      </w:r>
      <w:proofErr w:type="spellEnd"/>
      <w:r w:rsidRPr="00007B7D">
        <w:t xml:space="preserve"> à K.B.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agressions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aggravées</w:t>
      </w:r>
      <w:proofErr w:type="spellEnd"/>
      <w:r w:rsidRPr="00007B7D">
        <w:t xml:space="preserve"> par un </w:t>
      </w:r>
      <w:proofErr w:type="spellStart"/>
      <w:r w:rsidRPr="00007B7D">
        <w:t>jugement</w:t>
      </w:r>
      <w:proofErr w:type="spellEnd"/>
      <w:r w:rsidRPr="00007B7D">
        <w:t xml:space="preserve"> du 25 </w:t>
      </w:r>
      <w:proofErr w:type="spellStart"/>
      <w:r w:rsidRPr="00007B7D">
        <w:t>septembre</w:t>
      </w:r>
      <w:proofErr w:type="spellEnd"/>
      <w:r w:rsidRPr="00007B7D">
        <w:t xml:space="preserve"> 2018 au motif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n’était</w:t>
      </w:r>
      <w:proofErr w:type="spellEnd"/>
      <w:r w:rsidRPr="00007B7D">
        <w:t xml:space="preserve"> pas </w:t>
      </w:r>
      <w:proofErr w:type="spellStart"/>
      <w:r w:rsidRPr="00007B7D">
        <w:t>établi</w:t>
      </w:r>
      <w:proofErr w:type="spellEnd"/>
      <w:r w:rsidRPr="00007B7D">
        <w:t xml:space="preserve"> </w:t>
      </w:r>
      <w:proofErr w:type="spellStart"/>
      <w:r w:rsidRPr="00007B7D">
        <w:t>qu’ils</w:t>
      </w:r>
      <w:proofErr w:type="spellEnd"/>
      <w:r w:rsidRPr="00007B7D">
        <w:t xml:space="preserve"> </w:t>
      </w:r>
      <w:proofErr w:type="spellStart"/>
      <w:r w:rsidRPr="00007B7D">
        <w:t>aient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commis avec violence, </w:t>
      </w:r>
      <w:proofErr w:type="spellStart"/>
      <w:r w:rsidRPr="00007B7D">
        <w:t>contrainte</w:t>
      </w:r>
      <w:proofErr w:type="spellEnd"/>
      <w:r w:rsidRPr="00007B7D">
        <w:t xml:space="preserve">, menace </w:t>
      </w:r>
      <w:proofErr w:type="spellStart"/>
      <w:r w:rsidRPr="00007B7D">
        <w:t>ou</w:t>
      </w:r>
      <w:proofErr w:type="spellEnd"/>
      <w:r w:rsidRPr="00007B7D">
        <w:t xml:space="preserve"> surprise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Faits_TC_ValdeBriey_25sept2018_rejetrequ \h </w:instrText>
      </w:r>
      <w:r w:rsidRPr="00007B7D">
        <w:fldChar w:fldCharType="separate"/>
      </w:r>
      <w:r w:rsidRPr="00007B7D">
        <w:rPr>
          <w:noProof/>
        </w:rPr>
        <w:t>65</w:t>
      </w:r>
      <w:r w:rsidRPr="00007B7D">
        <w:fldChar w:fldCharType="end"/>
      </w:r>
      <w:r w:rsidRPr="00007B7D">
        <w:t xml:space="preserve"> ci-dessus). Bien </w:t>
      </w:r>
      <w:proofErr w:type="spellStart"/>
      <w:r w:rsidRPr="00007B7D">
        <w:t>qu’ayant</w:t>
      </w:r>
      <w:proofErr w:type="spellEnd"/>
      <w:r w:rsidRPr="00007B7D">
        <w:t xml:space="preserve"> </w:t>
      </w:r>
      <w:proofErr w:type="spellStart"/>
      <w:r w:rsidRPr="00007B7D">
        <w:t>relevé</w:t>
      </w:r>
      <w:proofErr w:type="spellEnd"/>
      <w:r w:rsidRPr="00007B7D">
        <w:t xml:space="preserve"> que la </w:t>
      </w:r>
      <w:proofErr w:type="spellStart"/>
      <w:r w:rsidRPr="00007B7D">
        <w:t>requérante</w:t>
      </w:r>
      <w:proofErr w:type="spellEnd"/>
      <w:r w:rsidRPr="00007B7D">
        <w:t xml:space="preserve"> </w:t>
      </w:r>
      <w:proofErr w:type="spellStart"/>
      <w:r w:rsidRPr="00007B7D">
        <w:t>présentait</w:t>
      </w:r>
      <w:proofErr w:type="spellEnd"/>
      <w:r w:rsidRPr="00007B7D">
        <w:t xml:space="preserve"> des </w:t>
      </w:r>
      <w:proofErr w:type="spellStart"/>
      <w:r w:rsidRPr="00007B7D">
        <w:t>fragilités</w:t>
      </w:r>
      <w:proofErr w:type="spellEnd"/>
      <w:r w:rsidRPr="00007B7D">
        <w:t xml:space="preserve"> </w:t>
      </w:r>
      <w:proofErr w:type="spellStart"/>
      <w:r w:rsidRPr="00007B7D">
        <w:t>psychiques</w:t>
      </w:r>
      <w:proofErr w:type="spellEnd"/>
      <w:r w:rsidRPr="00007B7D">
        <w:t xml:space="preserve"> et </w:t>
      </w:r>
      <w:proofErr w:type="spellStart"/>
      <w:r w:rsidRPr="00007B7D">
        <w:t>émotionnelles</w:t>
      </w:r>
      <w:proofErr w:type="spellEnd"/>
      <w:r w:rsidRPr="00007B7D">
        <w:t xml:space="preserve"> </w:t>
      </w:r>
      <w:proofErr w:type="spellStart"/>
      <w:r w:rsidRPr="00007B7D">
        <w:t>connues</w:t>
      </w:r>
      <w:proofErr w:type="spellEnd"/>
      <w:r w:rsidRPr="00007B7D">
        <w:t xml:space="preserve"> de K.B., que </w:t>
      </w:r>
      <w:proofErr w:type="spellStart"/>
      <w:r w:rsidRPr="00007B7D">
        <w:t>celui</w:t>
      </w:r>
      <w:proofErr w:type="spellEnd"/>
      <w:r w:rsidRPr="00007B7D">
        <w:t xml:space="preserve">-ci </w:t>
      </w:r>
      <w:proofErr w:type="spellStart"/>
      <w:r w:rsidRPr="00007B7D">
        <w:t>exerçait</w:t>
      </w:r>
      <w:proofErr w:type="spellEnd"/>
      <w:r w:rsidRPr="00007B7D">
        <w:t xml:space="preserve"> à son </w:t>
      </w:r>
      <w:proofErr w:type="spellStart"/>
      <w:r w:rsidRPr="00007B7D">
        <w:t>égard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autorité</w:t>
      </w:r>
      <w:proofErr w:type="spellEnd"/>
      <w:r w:rsidRPr="00007B7D">
        <w:t xml:space="preserve"> </w:t>
      </w:r>
      <w:proofErr w:type="spellStart"/>
      <w:r w:rsidRPr="00007B7D">
        <w:t>fonctionnelle</w:t>
      </w:r>
      <w:proofErr w:type="spellEnd"/>
      <w:r w:rsidRPr="00007B7D">
        <w:t xml:space="preserve"> </w:t>
      </w:r>
      <w:proofErr w:type="spellStart"/>
      <w:r w:rsidRPr="00007B7D">
        <w:t>dont</w:t>
      </w:r>
      <w:proofErr w:type="spellEnd"/>
      <w:r w:rsidRPr="00007B7D">
        <w:t xml:space="preserve"> il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abusé</w:t>
      </w:r>
      <w:proofErr w:type="spellEnd"/>
      <w:r w:rsidRPr="00007B7D">
        <w:t xml:space="preserve">,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l’avait</w:t>
      </w:r>
      <w:proofErr w:type="spellEnd"/>
      <w:r w:rsidRPr="00007B7D">
        <w:t xml:space="preserve"> </w:t>
      </w:r>
      <w:proofErr w:type="spellStart"/>
      <w:r w:rsidRPr="00007B7D">
        <w:t>menacée</w:t>
      </w:r>
      <w:proofErr w:type="spellEnd"/>
      <w:r w:rsidRPr="00007B7D">
        <w:t xml:space="preserve"> de </w:t>
      </w:r>
      <w:proofErr w:type="spellStart"/>
      <w:r w:rsidRPr="00007B7D">
        <w:t>représailles</w:t>
      </w:r>
      <w:proofErr w:type="spellEnd"/>
      <w:r w:rsidRPr="00007B7D">
        <w:t xml:space="preserve"> </w:t>
      </w:r>
      <w:proofErr w:type="spellStart"/>
      <w:r w:rsidRPr="00007B7D">
        <w:t>professionnelles</w:t>
      </w:r>
      <w:proofErr w:type="spellEnd"/>
      <w:r w:rsidRPr="00007B7D">
        <w:t xml:space="preserve">,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eu</w:t>
      </w:r>
      <w:proofErr w:type="spellEnd"/>
      <w:r w:rsidRPr="00007B7D">
        <w:t xml:space="preserve"> à son </w:t>
      </w:r>
      <w:proofErr w:type="spellStart"/>
      <w:r w:rsidRPr="00007B7D">
        <w:t>égard</w:t>
      </w:r>
      <w:proofErr w:type="spellEnd"/>
      <w:r w:rsidRPr="00007B7D">
        <w:t xml:space="preserve"> un </w:t>
      </w:r>
      <w:proofErr w:type="spellStart"/>
      <w:r w:rsidRPr="00007B7D">
        <w:t>comportement</w:t>
      </w:r>
      <w:proofErr w:type="spellEnd"/>
      <w:r w:rsidRPr="00007B7D">
        <w:t xml:space="preserve"> </w:t>
      </w:r>
      <w:proofErr w:type="spellStart"/>
      <w:r w:rsidRPr="00007B7D">
        <w:t>agressif</w:t>
      </w:r>
      <w:proofErr w:type="spellEnd"/>
      <w:r w:rsidRPr="00007B7D">
        <w:t xml:space="preserve"> et </w:t>
      </w:r>
      <w:proofErr w:type="spellStart"/>
      <w:r w:rsidRPr="00007B7D">
        <w:t>humiliant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causé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dégradation</w:t>
      </w:r>
      <w:proofErr w:type="spellEnd"/>
      <w:r w:rsidRPr="00007B7D">
        <w:t xml:space="preserve"> progressive de son </w:t>
      </w:r>
      <w:proofErr w:type="spellStart"/>
      <w:r w:rsidRPr="00007B7D">
        <w:t>état</w:t>
      </w:r>
      <w:proofErr w:type="spellEnd"/>
      <w:r w:rsidRPr="00007B7D">
        <w:t xml:space="preserve"> de </w:t>
      </w:r>
      <w:proofErr w:type="spellStart"/>
      <w:r w:rsidRPr="00007B7D">
        <w:t>santé</w:t>
      </w:r>
      <w:proofErr w:type="spellEnd"/>
      <w:r w:rsidRPr="00007B7D">
        <w:t xml:space="preserve"> physique et </w:t>
      </w:r>
      <w:proofErr w:type="spellStart"/>
      <w:r w:rsidRPr="00007B7D">
        <w:t>mentale</w:t>
      </w:r>
      <w:proofErr w:type="spellEnd"/>
      <w:r w:rsidRPr="00007B7D">
        <w:t xml:space="preserve"> et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accepté</w:t>
      </w:r>
      <w:proofErr w:type="spellEnd"/>
      <w:r w:rsidRPr="00007B7D">
        <w:t xml:space="preserve"> de se </w:t>
      </w:r>
      <w:proofErr w:type="spellStart"/>
      <w:r w:rsidRPr="00007B7D">
        <w:t>soumettre</w:t>
      </w:r>
      <w:proofErr w:type="spellEnd"/>
      <w:r w:rsidRPr="00007B7D">
        <w:t xml:space="preserve"> à </w:t>
      </w:r>
      <w:proofErr w:type="spellStart"/>
      <w:r w:rsidRPr="00007B7D">
        <w:t>ses</w:t>
      </w:r>
      <w:proofErr w:type="spellEnd"/>
      <w:r w:rsidRPr="00007B7D">
        <w:t xml:space="preserve"> exigences </w:t>
      </w:r>
      <w:proofErr w:type="spellStart"/>
      <w:r w:rsidRPr="00007B7D">
        <w:t>compte</w:t>
      </w:r>
      <w:proofErr w:type="spellEnd"/>
      <w:r w:rsidRPr="00007B7D">
        <w:t xml:space="preserve"> </w:t>
      </w:r>
      <w:proofErr w:type="spellStart"/>
      <w:r w:rsidRPr="00007B7D">
        <w:t>tenu</w:t>
      </w:r>
      <w:proofErr w:type="spellEnd"/>
      <w:r w:rsidRPr="00007B7D">
        <w:t xml:space="preserve"> de son </w:t>
      </w:r>
      <w:proofErr w:type="spellStart"/>
      <w:r w:rsidRPr="00007B7D">
        <w:t>comportement</w:t>
      </w:r>
      <w:proofErr w:type="spellEnd"/>
      <w:r w:rsidRPr="00007B7D">
        <w:t xml:space="preserve"> au travail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Faits_TC_ValdeBriey_25sept2018_rejetrequ \h </w:instrText>
      </w:r>
      <w:r w:rsidRPr="00007B7D">
        <w:fldChar w:fldCharType="separate"/>
      </w:r>
      <w:r w:rsidRPr="00007B7D">
        <w:rPr>
          <w:noProof/>
        </w:rPr>
        <w:t>65</w:t>
      </w:r>
      <w:r w:rsidRPr="00007B7D">
        <w:fldChar w:fldCharType="end"/>
      </w:r>
      <w:r w:rsidRPr="00007B7D">
        <w:t>-</w:t>
      </w:r>
      <w:r w:rsidRPr="00007B7D">
        <w:fldChar w:fldCharType="begin"/>
      </w:r>
      <w:r w:rsidRPr="00007B7D">
        <w:instrText xml:space="preserve"> REF Faits_TC_ValdeBriey_25sept2018_VVetHarce \h </w:instrText>
      </w:r>
      <w:r w:rsidRPr="00007B7D">
        <w:fldChar w:fldCharType="separate"/>
      </w:r>
      <w:r w:rsidRPr="00007B7D">
        <w:rPr>
          <w:noProof/>
        </w:rPr>
        <w:t>66</w:t>
      </w:r>
      <w:r w:rsidRPr="00007B7D">
        <w:fldChar w:fldCharType="end"/>
      </w:r>
      <w:r w:rsidRPr="00007B7D">
        <w:t xml:space="preserve"> ci-dessus), le tribunal </w:t>
      </w:r>
      <w:proofErr w:type="spellStart"/>
      <w:r w:rsidRPr="00007B7D">
        <w:t>correctionnel</w:t>
      </w:r>
      <w:proofErr w:type="spellEnd"/>
      <w:r w:rsidRPr="00007B7D">
        <w:t xml:space="preserve"> </w:t>
      </w:r>
      <w:proofErr w:type="spellStart"/>
      <w:r w:rsidRPr="00007B7D">
        <w:t>n’a</w:t>
      </w:r>
      <w:proofErr w:type="spellEnd"/>
      <w:r w:rsidRPr="00007B7D">
        <w:t xml:space="preserve"> </w:t>
      </w:r>
      <w:proofErr w:type="spellStart"/>
      <w:r w:rsidRPr="00007B7D">
        <w:t>pourtant</w:t>
      </w:r>
      <w:proofErr w:type="spellEnd"/>
      <w:r w:rsidRPr="00007B7D">
        <w:t xml:space="preserve"> </w:t>
      </w:r>
      <w:proofErr w:type="spellStart"/>
      <w:r w:rsidRPr="00007B7D">
        <w:t>tiré</w:t>
      </w:r>
      <w:proofErr w:type="spellEnd"/>
      <w:r w:rsidRPr="00007B7D">
        <w:t xml:space="preserve"> </w:t>
      </w:r>
      <w:proofErr w:type="spellStart"/>
      <w:r w:rsidRPr="00007B7D">
        <w:t>aucune</w:t>
      </w:r>
      <w:proofErr w:type="spellEnd"/>
      <w:r w:rsidRPr="00007B7D">
        <w:t xml:space="preserve"> </w:t>
      </w:r>
      <w:proofErr w:type="spellStart"/>
      <w:r w:rsidRPr="00007B7D">
        <w:t>conséquence</w:t>
      </w:r>
      <w:proofErr w:type="spellEnd"/>
      <w:r w:rsidRPr="00007B7D">
        <w:t xml:space="preserve"> de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éléments</w:t>
      </w:r>
      <w:proofErr w:type="spellEnd"/>
      <w:r w:rsidRPr="00007B7D">
        <w:t xml:space="preserve"> dans son </w:t>
      </w:r>
      <w:proofErr w:type="spellStart"/>
      <w:r w:rsidRPr="00007B7D">
        <w:t>évaluation</w:t>
      </w:r>
      <w:proofErr w:type="spellEnd"/>
      <w:r w:rsidRPr="00007B7D">
        <w:t xml:space="preserve"> du </w:t>
      </w:r>
      <w:proofErr w:type="spellStart"/>
      <w:r w:rsidRPr="00007B7D">
        <w:t>consentement</w:t>
      </w:r>
      <w:proofErr w:type="spellEnd"/>
      <w:r w:rsidRPr="00007B7D">
        <w:t xml:space="preserve"> et dans la </w:t>
      </w:r>
      <w:proofErr w:type="spellStart"/>
      <w:r w:rsidRPr="00007B7D">
        <w:t>caractérisation</w:t>
      </w:r>
      <w:proofErr w:type="spellEnd"/>
      <w:r w:rsidRPr="00007B7D">
        <w:t xml:space="preserve"> de </w:t>
      </w:r>
      <w:proofErr w:type="spellStart"/>
      <w:r w:rsidRPr="00007B7D">
        <w:t>l’existence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</w:t>
      </w:r>
      <w:proofErr w:type="spellStart"/>
      <w:r w:rsidRPr="00007B7D">
        <w:t>contrainte</w:t>
      </w:r>
      <w:proofErr w:type="spellEnd"/>
      <w:r w:rsidRPr="00007B7D">
        <w:t xml:space="preserve"> physique </w:t>
      </w:r>
      <w:proofErr w:type="spellStart"/>
      <w:r w:rsidRPr="00007B7D">
        <w:t>ou</w:t>
      </w:r>
      <w:proofErr w:type="spellEnd"/>
      <w:r w:rsidRPr="00007B7D">
        <w:t xml:space="preserve"> morale.</w:t>
      </w:r>
    </w:p>
    <w:p w14:paraId="50D9BEB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162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 </w:t>
      </w:r>
      <w:proofErr w:type="spellStart"/>
      <w:r w:rsidRPr="00007B7D">
        <w:t>ensuite</w:t>
      </w:r>
      <w:proofErr w:type="spellEnd"/>
      <w:r w:rsidRPr="00007B7D">
        <w:t xml:space="preserve"> que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d’appel</w:t>
      </w:r>
      <w:proofErr w:type="spellEnd"/>
      <w:r w:rsidRPr="00007B7D">
        <w:t xml:space="preserve"> de Nancy a </w:t>
      </w:r>
      <w:proofErr w:type="spellStart"/>
      <w:r w:rsidRPr="00007B7D">
        <w:t>relaxé</w:t>
      </w:r>
      <w:proofErr w:type="spellEnd"/>
      <w:r w:rsidRPr="00007B7D">
        <w:t xml:space="preserve"> K.B. de </w:t>
      </w:r>
      <w:proofErr w:type="spellStart"/>
      <w:r w:rsidRPr="00007B7D">
        <w:t>l’intégralité</w:t>
      </w:r>
      <w:proofErr w:type="spellEnd"/>
      <w:r w:rsidRPr="00007B7D">
        <w:t xml:space="preserve"> des chefs de la </w:t>
      </w:r>
      <w:proofErr w:type="spellStart"/>
      <w:r w:rsidRPr="00007B7D">
        <w:t>prévention</w:t>
      </w:r>
      <w:proofErr w:type="spellEnd"/>
      <w:r w:rsidRPr="00007B7D">
        <w:t xml:space="preserve"> par un </w:t>
      </w:r>
      <w:proofErr w:type="spellStart"/>
      <w:r w:rsidRPr="00007B7D">
        <w:t>arrêt</w:t>
      </w:r>
      <w:proofErr w:type="spellEnd"/>
      <w:r w:rsidRPr="00007B7D">
        <w:t xml:space="preserve"> du 27 </w:t>
      </w:r>
      <w:proofErr w:type="spellStart"/>
      <w:r w:rsidRPr="00007B7D">
        <w:t>mai</w:t>
      </w:r>
      <w:proofErr w:type="spellEnd"/>
      <w:r w:rsidRPr="00007B7D">
        <w:t xml:space="preserve"> 2021,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considérant</w:t>
      </w:r>
      <w:proofErr w:type="spellEnd"/>
      <w:r w:rsidRPr="00007B7D">
        <w:t xml:space="preserve">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consenti</w:t>
      </w:r>
      <w:proofErr w:type="spellEnd"/>
      <w:r w:rsidRPr="00007B7D">
        <w:t xml:space="preserve"> à </w:t>
      </w:r>
      <w:proofErr w:type="spellStart"/>
      <w:r w:rsidRPr="00007B7D">
        <w:t>l’ensemble</w:t>
      </w:r>
      <w:proofErr w:type="spellEnd"/>
      <w:r w:rsidRPr="00007B7D">
        <w:t xml:space="preserve"> des pratiques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violentes</w:t>
      </w:r>
      <w:proofErr w:type="spellEnd"/>
      <w:r w:rsidRPr="00007B7D">
        <w:t xml:space="preserve"> et des humiliations </w:t>
      </w:r>
      <w:proofErr w:type="spellStart"/>
      <w:r w:rsidRPr="00007B7D">
        <w:t>qu’elle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ultérieurement</w:t>
      </w:r>
      <w:proofErr w:type="spellEnd"/>
      <w:r w:rsidRPr="00007B7D">
        <w:t xml:space="preserve"> </w:t>
      </w:r>
      <w:proofErr w:type="spellStart"/>
      <w:r w:rsidRPr="00007B7D">
        <w:t>dénoncées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Faits_CA_Nancy_27mai2021_arrêt_début \h </w:instrText>
      </w:r>
      <w:r w:rsidRPr="00007B7D">
        <w:fldChar w:fldCharType="separate"/>
      </w:r>
      <w:r w:rsidRPr="00007B7D">
        <w:rPr>
          <w:noProof/>
        </w:rPr>
        <w:t>71</w:t>
      </w:r>
      <w:r w:rsidRPr="00007B7D">
        <w:fldChar w:fldCharType="end"/>
      </w:r>
      <w:r w:rsidRPr="00007B7D">
        <w:t xml:space="preserve"> à </w:t>
      </w:r>
      <w:r w:rsidRPr="00007B7D">
        <w:fldChar w:fldCharType="begin"/>
      </w:r>
      <w:r w:rsidRPr="00007B7D">
        <w:instrText xml:space="preserve"> REF Faits_CA_Nancy_27mai2021_arrêt_fin \h </w:instrText>
      </w:r>
      <w:r w:rsidRPr="00007B7D">
        <w:fldChar w:fldCharType="separate"/>
      </w:r>
      <w:r w:rsidRPr="00007B7D">
        <w:rPr>
          <w:noProof/>
        </w:rPr>
        <w:t>73</w:t>
      </w:r>
      <w:r w:rsidRPr="00007B7D">
        <w:fldChar w:fldCharType="end"/>
      </w:r>
      <w:r w:rsidRPr="00007B7D">
        <w:t xml:space="preserve"> ci</w:t>
      </w:r>
      <w:r w:rsidRPr="00007B7D">
        <w:noBreakHyphen/>
        <w:t xml:space="preserve">dessus). Pour </w:t>
      </w:r>
      <w:proofErr w:type="spellStart"/>
      <w:r w:rsidRPr="00007B7D">
        <w:t>parvenir</w:t>
      </w:r>
      <w:proofErr w:type="spellEnd"/>
      <w:r w:rsidRPr="00007B7D">
        <w:t xml:space="preserve"> à </w:t>
      </w:r>
      <w:proofErr w:type="spellStart"/>
      <w:r w:rsidRPr="00007B7D">
        <w:t>cette</w:t>
      </w:r>
      <w:proofErr w:type="spellEnd"/>
      <w:r w:rsidRPr="00007B7D">
        <w:t xml:space="preserve"> conclusion,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s’est</w:t>
      </w:r>
      <w:proofErr w:type="spellEnd"/>
      <w:r w:rsidRPr="00007B7D">
        <w:t xml:space="preserve"> </w:t>
      </w:r>
      <w:proofErr w:type="spellStart"/>
      <w:r w:rsidRPr="00007B7D">
        <w:t>fondée</w:t>
      </w:r>
      <w:proofErr w:type="spellEnd"/>
      <w:r w:rsidRPr="00007B7D">
        <w:t xml:space="preserve"> sur la </w:t>
      </w:r>
      <w:proofErr w:type="spellStart"/>
      <w:r w:rsidRPr="00007B7D">
        <w:t>circonstance</w:t>
      </w:r>
      <w:proofErr w:type="spellEnd"/>
      <w:r w:rsidRPr="00007B7D">
        <w:t xml:space="preserve">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conclu</w:t>
      </w:r>
      <w:proofErr w:type="spellEnd"/>
      <w:r w:rsidRPr="00007B7D">
        <w:t xml:space="preserve"> avec K.B. un « </w:t>
      </w:r>
      <w:proofErr w:type="spellStart"/>
      <w:r w:rsidRPr="00007B7D">
        <w:t>contrat</w:t>
      </w:r>
      <w:proofErr w:type="spellEnd"/>
      <w:r w:rsidRPr="00007B7D">
        <w:t xml:space="preserve"> » </w:t>
      </w:r>
      <w:proofErr w:type="spellStart"/>
      <w:r w:rsidRPr="00007B7D">
        <w:t>visant</w:t>
      </w:r>
      <w:proofErr w:type="spellEnd"/>
      <w:r w:rsidRPr="00007B7D">
        <w:t xml:space="preserve"> à </w:t>
      </w:r>
      <w:proofErr w:type="spellStart"/>
      <w:r w:rsidRPr="00007B7D">
        <w:t>encadrer</w:t>
      </w:r>
      <w:proofErr w:type="spellEnd"/>
      <w:r w:rsidRPr="00007B7D">
        <w:t xml:space="preserve"> </w:t>
      </w:r>
      <w:proofErr w:type="spellStart"/>
      <w:r w:rsidRPr="00007B7D">
        <w:t>leur</w:t>
      </w:r>
      <w:proofErr w:type="spellEnd"/>
      <w:r w:rsidRPr="00007B7D">
        <w:t xml:space="preserve"> relation et </w:t>
      </w:r>
      <w:proofErr w:type="spellStart"/>
      <w:r w:rsidRPr="00007B7D">
        <w:t>leurs</w:t>
      </w:r>
      <w:proofErr w:type="spellEnd"/>
      <w:r w:rsidRPr="00007B7D">
        <w:t xml:space="preserve"> pratiques </w:t>
      </w:r>
      <w:proofErr w:type="spellStart"/>
      <w:r w:rsidRPr="00007B7D">
        <w:t>sadomasochistes</w:t>
      </w:r>
      <w:proofErr w:type="spellEnd"/>
      <w:r w:rsidRPr="00007B7D">
        <w:t xml:space="preserve"> et </w:t>
      </w:r>
      <w:proofErr w:type="spellStart"/>
      <w:r w:rsidRPr="00007B7D">
        <w:t>qu’au</w:t>
      </w:r>
      <w:proofErr w:type="spellEnd"/>
      <w:r w:rsidRPr="00007B7D">
        <w:t xml:space="preserve"> vu de </w:t>
      </w:r>
      <w:proofErr w:type="spellStart"/>
      <w:r w:rsidRPr="00007B7D">
        <w:t>certains</w:t>
      </w:r>
      <w:proofErr w:type="spellEnd"/>
      <w:r w:rsidRPr="00007B7D">
        <w:t xml:space="preserve"> </w:t>
      </w:r>
      <w:proofErr w:type="spellStart"/>
      <w:r w:rsidRPr="00007B7D">
        <w:t>échanges</w:t>
      </w:r>
      <w:proofErr w:type="spellEnd"/>
      <w:r w:rsidRPr="00007B7D">
        <w:t xml:space="preserve"> </w:t>
      </w:r>
      <w:proofErr w:type="spellStart"/>
      <w:r w:rsidRPr="00007B7D">
        <w:t>qu’elle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eus</w:t>
      </w:r>
      <w:proofErr w:type="spellEnd"/>
      <w:r w:rsidRPr="00007B7D">
        <w:t xml:space="preserve"> avec la </w:t>
      </w:r>
      <w:proofErr w:type="spellStart"/>
      <w:r w:rsidRPr="00007B7D">
        <w:t>sœur</w:t>
      </w:r>
      <w:proofErr w:type="spellEnd"/>
      <w:r w:rsidRPr="00007B7D">
        <w:t xml:space="preserve"> du </w:t>
      </w:r>
      <w:proofErr w:type="spellStart"/>
      <w:r w:rsidRPr="00007B7D">
        <w:t>prévenu</w:t>
      </w:r>
      <w:proofErr w:type="spellEnd"/>
      <w:r w:rsidRPr="00007B7D">
        <w:t xml:space="preserve"> sur un </w:t>
      </w:r>
      <w:proofErr w:type="spellStart"/>
      <w:r w:rsidRPr="00007B7D">
        <w:t>réseau</w:t>
      </w:r>
      <w:proofErr w:type="spellEnd"/>
      <w:r w:rsidRPr="00007B7D">
        <w:t xml:space="preserve"> social,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devait</w:t>
      </w:r>
      <w:proofErr w:type="spellEnd"/>
      <w:r w:rsidRPr="00007B7D">
        <w:t xml:space="preserve">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regardée</w:t>
      </w:r>
      <w:proofErr w:type="spellEnd"/>
      <w:r w:rsidRPr="00007B7D">
        <w:t xml:space="preserve"> </w:t>
      </w:r>
      <w:proofErr w:type="spellStart"/>
      <w:r w:rsidRPr="00007B7D">
        <w:t>comme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entendu</w:t>
      </w:r>
      <w:proofErr w:type="spellEnd"/>
      <w:r w:rsidRPr="00007B7D">
        <w:t xml:space="preserve"> </w:t>
      </w:r>
      <w:proofErr w:type="spellStart"/>
      <w:r w:rsidRPr="00007B7D">
        <w:t>poursuivre</w:t>
      </w:r>
      <w:proofErr w:type="spellEnd"/>
      <w:r w:rsidRPr="00007B7D">
        <w:t xml:space="preserve"> </w:t>
      </w:r>
      <w:proofErr w:type="spellStart"/>
      <w:r w:rsidRPr="00007B7D">
        <w:t>sa</w:t>
      </w:r>
      <w:proofErr w:type="spellEnd"/>
      <w:r w:rsidRPr="00007B7D">
        <w:t xml:space="preserve"> relation avec K.B. dans </w:t>
      </w:r>
      <w:proofErr w:type="spellStart"/>
      <w:r w:rsidRPr="00007B7D">
        <w:t>ces</w:t>
      </w:r>
      <w:proofErr w:type="spellEnd"/>
      <w:r w:rsidRPr="00007B7D">
        <w:t xml:space="preserve"> conditions.</w:t>
      </w:r>
    </w:p>
    <w:p w14:paraId="4C769F1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163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constate que </w:t>
      </w:r>
      <w:proofErr w:type="spellStart"/>
      <w:r w:rsidRPr="00007B7D">
        <w:t>cette</w:t>
      </w:r>
      <w:proofErr w:type="spellEnd"/>
      <w:r w:rsidRPr="00007B7D">
        <w:t xml:space="preserve"> solution </w:t>
      </w:r>
      <w:proofErr w:type="spellStart"/>
      <w:r w:rsidRPr="00007B7D">
        <w:t>n’a</w:t>
      </w:r>
      <w:proofErr w:type="spellEnd"/>
      <w:r w:rsidRPr="00007B7D">
        <w:t xml:space="preserve"> pas </w:t>
      </w:r>
      <w:proofErr w:type="spellStart"/>
      <w:r w:rsidRPr="00007B7D">
        <w:t>été</w:t>
      </w:r>
      <w:proofErr w:type="spellEnd"/>
      <w:r w:rsidRPr="00007B7D">
        <w:t xml:space="preserve"> remise </w:t>
      </w:r>
      <w:proofErr w:type="spellStart"/>
      <w:r w:rsidRPr="00007B7D">
        <w:t>en</w:t>
      </w:r>
      <w:proofErr w:type="spellEnd"/>
      <w:r w:rsidRPr="00007B7D">
        <w:t xml:space="preserve"> cause par la </w:t>
      </w:r>
      <w:proofErr w:type="spellStart"/>
      <w:r w:rsidRPr="00007B7D">
        <w:t>Cour</w:t>
      </w:r>
      <w:proofErr w:type="spellEnd"/>
      <w:r w:rsidRPr="00007B7D">
        <w:t xml:space="preserve"> de cassation, le </w:t>
      </w:r>
      <w:proofErr w:type="spellStart"/>
      <w:r w:rsidRPr="00007B7D">
        <w:t>pourvoi</w:t>
      </w:r>
      <w:proofErr w:type="spellEnd"/>
      <w:r w:rsidRPr="00007B7D">
        <w:t xml:space="preserve"> de la </w:t>
      </w:r>
      <w:proofErr w:type="spellStart"/>
      <w:r w:rsidRPr="00007B7D">
        <w:t>requérante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déclaré</w:t>
      </w:r>
      <w:proofErr w:type="spellEnd"/>
      <w:r w:rsidRPr="00007B7D">
        <w:t xml:space="preserve"> non admis </w:t>
      </w:r>
      <w:proofErr w:type="spellStart"/>
      <w:r w:rsidRPr="00007B7D">
        <w:t>conformément</w:t>
      </w:r>
      <w:proofErr w:type="spellEnd"/>
      <w:r w:rsidRPr="00007B7D">
        <w:t xml:space="preserve"> à </w:t>
      </w:r>
      <w:proofErr w:type="spellStart"/>
      <w:r w:rsidRPr="00007B7D">
        <w:t>ce</w:t>
      </w:r>
      <w:proofErr w:type="spellEnd"/>
      <w:r w:rsidRPr="00007B7D">
        <w:t xml:space="preserve"> que </w:t>
      </w:r>
      <w:proofErr w:type="spellStart"/>
      <w:r w:rsidRPr="00007B7D">
        <w:t>proposait</w:t>
      </w:r>
      <w:proofErr w:type="spellEnd"/>
      <w:r w:rsidRPr="00007B7D">
        <w:t xml:space="preserve"> la </w:t>
      </w:r>
      <w:proofErr w:type="spellStart"/>
      <w:r w:rsidRPr="00007B7D">
        <w:t>conseillère</w:t>
      </w:r>
      <w:proofErr w:type="spellEnd"/>
      <w:r w:rsidRPr="00007B7D">
        <w:t xml:space="preserve"> </w:t>
      </w:r>
      <w:proofErr w:type="spellStart"/>
      <w:r w:rsidRPr="00007B7D">
        <w:t>rapporteure</w:t>
      </w:r>
      <w:proofErr w:type="spellEnd"/>
      <w:r w:rsidRPr="00007B7D">
        <w:t>.</w:t>
      </w:r>
    </w:p>
    <w:p w14:paraId="7DC3088D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164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requérante</w:t>
      </w:r>
      <w:proofErr w:type="spellEnd"/>
      <w:r w:rsidRPr="00007B7D">
        <w:t xml:space="preserve"> </w:t>
      </w:r>
      <w:proofErr w:type="spellStart"/>
      <w:r w:rsidRPr="00007B7D">
        <w:t>soutient</w:t>
      </w:r>
      <w:proofErr w:type="spellEnd"/>
      <w:r w:rsidRPr="00007B7D">
        <w:t xml:space="preserve"> que les </w:t>
      </w:r>
      <w:proofErr w:type="spellStart"/>
      <w:r w:rsidRPr="00007B7D">
        <w:t>juridictions</w:t>
      </w:r>
      <w:proofErr w:type="spellEnd"/>
      <w:r w:rsidRPr="00007B7D">
        <w:t xml:space="preserve"> internes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apprécié</w:t>
      </w:r>
      <w:proofErr w:type="spellEnd"/>
      <w:r w:rsidRPr="00007B7D">
        <w:t xml:space="preserve"> son </w:t>
      </w:r>
      <w:proofErr w:type="spellStart"/>
      <w:r w:rsidRPr="00007B7D">
        <w:t>consentement</w:t>
      </w:r>
      <w:proofErr w:type="spellEnd"/>
      <w:r w:rsidRPr="00007B7D">
        <w:t xml:space="preserve"> aux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</w:t>
      </w:r>
      <w:proofErr w:type="spellStart"/>
      <w:r w:rsidRPr="00007B7D">
        <w:t>dénoncés</w:t>
      </w:r>
      <w:proofErr w:type="spellEnd"/>
      <w:r w:rsidRPr="00007B7D">
        <w:t xml:space="preserve"> sans se </w:t>
      </w:r>
      <w:proofErr w:type="spellStart"/>
      <w:r w:rsidRPr="00007B7D">
        <w:t>livrer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évaluation</w:t>
      </w:r>
      <w:proofErr w:type="spellEnd"/>
      <w:r w:rsidRPr="00007B7D">
        <w:t xml:space="preserve"> </w:t>
      </w:r>
      <w:proofErr w:type="spellStart"/>
      <w:r w:rsidRPr="00007B7D">
        <w:t>contextuelle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environnantes</w:t>
      </w:r>
      <w:proofErr w:type="spellEnd"/>
      <w:r w:rsidRPr="00007B7D">
        <w:t>.</w:t>
      </w:r>
    </w:p>
    <w:p w14:paraId="3E2C1471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165</w:t>
      </w:r>
      <w:r w:rsidRPr="00007B7D">
        <w:rPr>
          <w:noProof/>
        </w:rPr>
        <w:fldChar w:fldCharType="end"/>
      </w:r>
      <w:r w:rsidRPr="00007B7D">
        <w:t>.  </w:t>
      </w:r>
      <w:r w:rsidRPr="00007B7D">
        <w:rPr>
          <w:rFonts w:cstheme="minorHAnsi"/>
        </w:rPr>
        <w:t>À</w:t>
      </w:r>
      <w:r w:rsidRPr="00007B7D">
        <w:t xml:space="preserve"> </w:t>
      </w:r>
      <w:proofErr w:type="spellStart"/>
      <w:r w:rsidRPr="00007B7D">
        <w:t>cet</w:t>
      </w:r>
      <w:proofErr w:type="spellEnd"/>
      <w:r w:rsidRPr="00007B7D">
        <w:t xml:space="preserve"> </w:t>
      </w:r>
      <w:proofErr w:type="spellStart"/>
      <w:r w:rsidRPr="00007B7D">
        <w:t>égard</w:t>
      </w:r>
      <w:proofErr w:type="spellEnd"/>
      <w:r w:rsidRPr="00007B7D">
        <w:t xml:space="preserve">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premier lieu, que les faits </w:t>
      </w:r>
      <w:proofErr w:type="spellStart"/>
      <w:r w:rsidRPr="00007B7D">
        <w:t>doivent</w:t>
      </w:r>
      <w:proofErr w:type="spellEnd"/>
      <w:r w:rsidRPr="00007B7D">
        <w:t xml:space="preserve"> </w:t>
      </w:r>
      <w:proofErr w:type="spellStart"/>
      <w:r w:rsidRPr="00007B7D">
        <w:t>être</w:t>
      </w:r>
      <w:proofErr w:type="spellEnd"/>
      <w:r w:rsidRPr="00007B7D">
        <w:t xml:space="preserve"> </w:t>
      </w:r>
      <w:proofErr w:type="spellStart"/>
      <w:r w:rsidRPr="00007B7D">
        <w:t>resitués</w:t>
      </w:r>
      <w:proofErr w:type="spellEnd"/>
      <w:r w:rsidRPr="00007B7D">
        <w:t xml:space="preserve"> dans </w:t>
      </w:r>
      <w:proofErr w:type="spellStart"/>
      <w:r w:rsidRPr="00007B7D">
        <w:t>leur</w:t>
      </w:r>
      <w:proofErr w:type="spellEnd"/>
      <w:r w:rsidRPr="00007B7D">
        <w:t xml:space="preserve"> </w:t>
      </w:r>
      <w:proofErr w:type="spellStart"/>
      <w:r w:rsidRPr="00007B7D">
        <w:t>contexte</w:t>
      </w:r>
      <w:proofErr w:type="spellEnd"/>
      <w:r w:rsidRPr="00007B7D">
        <w:t xml:space="preserve"> </w:t>
      </w:r>
      <w:proofErr w:type="spellStart"/>
      <w:r w:rsidRPr="00007B7D">
        <w:t>professionnel</w:t>
      </w:r>
      <w:proofErr w:type="spellEnd"/>
      <w:r w:rsidRPr="00007B7D">
        <w:t xml:space="preserve">. Elle note que K.B. </w:t>
      </w:r>
      <w:proofErr w:type="spellStart"/>
      <w:r w:rsidRPr="00007B7D">
        <w:t>exerçait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autorité</w:t>
      </w:r>
      <w:proofErr w:type="spellEnd"/>
      <w:r w:rsidRPr="00007B7D">
        <w:t xml:space="preserve"> </w:t>
      </w:r>
      <w:proofErr w:type="spellStart"/>
      <w:r w:rsidRPr="00007B7D">
        <w:t>fonctionnelle</w:t>
      </w:r>
      <w:proofErr w:type="spellEnd"/>
      <w:r w:rsidRPr="00007B7D">
        <w:t xml:space="preserve"> sur E.A. et que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fonctions</w:t>
      </w:r>
      <w:proofErr w:type="spellEnd"/>
      <w:r w:rsidRPr="00007B7D">
        <w:t xml:space="preserve"> de chef de service et son </w:t>
      </w:r>
      <w:proofErr w:type="spellStart"/>
      <w:r w:rsidRPr="00007B7D">
        <w:t>mandat</w:t>
      </w:r>
      <w:proofErr w:type="spellEnd"/>
      <w:r w:rsidRPr="00007B7D">
        <w:t xml:space="preserve"> au sein de la commission </w:t>
      </w:r>
      <w:proofErr w:type="spellStart"/>
      <w:r w:rsidRPr="00007B7D">
        <w:t>médicale</w:t>
      </w:r>
      <w:proofErr w:type="spellEnd"/>
      <w:r w:rsidRPr="00007B7D">
        <w:t xml:space="preserve"> </w:t>
      </w:r>
      <w:proofErr w:type="spellStart"/>
      <w:r w:rsidRPr="00007B7D">
        <w:t>d’établissement</w:t>
      </w:r>
      <w:proofErr w:type="spellEnd"/>
      <w:r w:rsidRPr="00007B7D">
        <w:t xml:space="preserve">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conféraient</w:t>
      </w:r>
      <w:proofErr w:type="spellEnd"/>
      <w:r w:rsidRPr="00007B7D">
        <w:t xml:space="preserve"> un </w:t>
      </w:r>
      <w:proofErr w:type="spellStart"/>
      <w:r w:rsidRPr="00007B7D">
        <w:t>réel</w:t>
      </w:r>
      <w:proofErr w:type="spellEnd"/>
      <w:r w:rsidRPr="00007B7D">
        <w:t xml:space="preserve"> </w:t>
      </w:r>
      <w:proofErr w:type="spellStart"/>
      <w:r w:rsidRPr="00007B7D">
        <w:t>pouvoir</w:t>
      </w:r>
      <w:proofErr w:type="spellEnd"/>
      <w:r w:rsidRPr="00007B7D">
        <w:t xml:space="preserve"> au sein du CH de </w:t>
      </w:r>
      <w:proofErr w:type="spellStart"/>
      <w:r w:rsidRPr="00007B7D">
        <w:t>Briey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Faits_KB \h </w:instrText>
      </w:r>
      <w:r w:rsidRPr="00007B7D">
        <w:fldChar w:fldCharType="separate"/>
      </w:r>
      <w:r w:rsidRPr="00007B7D">
        <w:rPr>
          <w:noProof/>
        </w:rPr>
        <w:t>4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Faits_TC_ValdeBriey_25sept2018_rejetrequ \h </w:instrText>
      </w:r>
      <w:r w:rsidRPr="00007B7D">
        <w:fldChar w:fldCharType="separate"/>
      </w:r>
      <w:r w:rsidRPr="00007B7D">
        <w:rPr>
          <w:noProof/>
        </w:rPr>
        <w:t>65</w:t>
      </w:r>
      <w:r w:rsidRPr="00007B7D">
        <w:fldChar w:fldCharType="end"/>
      </w:r>
      <w:r w:rsidRPr="00007B7D">
        <w:t xml:space="preserve"> ci-dessus), </w:t>
      </w:r>
      <w:proofErr w:type="spellStart"/>
      <w:r w:rsidRPr="00007B7D">
        <w:t>alors</w:t>
      </w:r>
      <w:proofErr w:type="spellEnd"/>
      <w:r w:rsidRPr="00007B7D">
        <w:t xml:space="preserve">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était</w:t>
      </w:r>
      <w:proofErr w:type="spellEnd"/>
      <w:r w:rsidRPr="00007B7D">
        <w:t xml:space="preserve">, pour </w:t>
      </w:r>
      <w:proofErr w:type="spellStart"/>
      <w:r w:rsidRPr="00007B7D">
        <w:t>sa</w:t>
      </w:r>
      <w:proofErr w:type="spellEnd"/>
      <w:r w:rsidRPr="00007B7D">
        <w:t xml:space="preserve"> part,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jeune</w:t>
      </w:r>
      <w:proofErr w:type="spellEnd"/>
      <w:r w:rsidRPr="00007B7D">
        <w:t xml:space="preserve"> </w:t>
      </w:r>
      <w:proofErr w:type="spellStart"/>
      <w:r w:rsidRPr="00007B7D">
        <w:t>professionnelle</w:t>
      </w:r>
      <w:proofErr w:type="spellEnd"/>
      <w:r w:rsidRPr="00007B7D">
        <w:t xml:space="preserve">, </w:t>
      </w:r>
      <w:proofErr w:type="spellStart"/>
      <w:r w:rsidRPr="00007B7D">
        <w:t>dont</w:t>
      </w:r>
      <w:proofErr w:type="spellEnd"/>
      <w:r w:rsidRPr="00007B7D">
        <w:t xml:space="preserve"> la </w:t>
      </w:r>
      <w:proofErr w:type="spellStart"/>
      <w:r w:rsidRPr="00007B7D">
        <w:t>titularisation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tant que cadre </w:t>
      </w:r>
      <w:proofErr w:type="spellStart"/>
      <w:r w:rsidRPr="00007B7D">
        <w:t>dépendait</w:t>
      </w:r>
      <w:proofErr w:type="spellEnd"/>
      <w:r w:rsidRPr="00007B7D">
        <w:t xml:space="preserve"> de son succès à un concours sur </w:t>
      </w:r>
      <w:proofErr w:type="spellStart"/>
      <w:r w:rsidRPr="00007B7D">
        <w:t>titre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Faits_RevelEA_FaitsPro \h </w:instrText>
      </w:r>
      <w:r w:rsidRPr="00007B7D">
        <w:fldChar w:fldCharType="separate"/>
      </w:r>
      <w:r w:rsidRPr="00007B7D">
        <w:rPr>
          <w:noProof/>
        </w:rPr>
        <w:t>8</w:t>
      </w:r>
      <w:r w:rsidRPr="00007B7D">
        <w:fldChar w:fldCharType="end"/>
      </w:r>
      <w:r w:rsidRPr="00007B7D">
        <w:t xml:space="preserve"> ci-dessus). Il </w:t>
      </w:r>
      <w:proofErr w:type="spellStart"/>
      <w:r w:rsidRPr="00007B7D">
        <w:t>ressort</w:t>
      </w:r>
      <w:proofErr w:type="spellEnd"/>
      <w:r w:rsidRPr="00007B7D">
        <w:t xml:space="preserve"> du dossier </w:t>
      </w:r>
      <w:proofErr w:type="spellStart"/>
      <w:r w:rsidRPr="00007B7D">
        <w:t>pénal</w:t>
      </w:r>
      <w:proofErr w:type="spellEnd"/>
      <w:r w:rsidRPr="00007B7D">
        <w:t xml:space="preserve"> que K.B.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menacé</w:t>
      </w:r>
      <w:proofErr w:type="spellEnd"/>
      <w:r w:rsidRPr="00007B7D">
        <w:t xml:space="preserve"> </w:t>
      </w:r>
      <w:proofErr w:type="spellStart"/>
      <w:r w:rsidRPr="00007B7D">
        <w:t>d’interférer</w:t>
      </w:r>
      <w:proofErr w:type="spellEnd"/>
      <w:r w:rsidRPr="00007B7D">
        <w:t xml:space="preserve"> dans </w:t>
      </w:r>
      <w:proofErr w:type="spellStart"/>
      <w:r w:rsidRPr="00007B7D">
        <w:t>ce</w:t>
      </w:r>
      <w:proofErr w:type="spellEnd"/>
      <w:r w:rsidRPr="00007B7D">
        <w:t xml:space="preserve"> </w:t>
      </w:r>
      <w:proofErr w:type="spellStart"/>
      <w:r w:rsidRPr="00007B7D">
        <w:t>processus</w:t>
      </w:r>
      <w:proofErr w:type="spellEnd"/>
      <w:r w:rsidRPr="00007B7D">
        <w:t xml:space="preserve">, </w:t>
      </w:r>
      <w:proofErr w:type="spellStart"/>
      <w:r w:rsidRPr="00007B7D">
        <w:t>mêlant</w:t>
      </w:r>
      <w:proofErr w:type="spellEnd"/>
      <w:r w:rsidRPr="00007B7D">
        <w:t xml:space="preserve"> </w:t>
      </w:r>
      <w:proofErr w:type="spellStart"/>
      <w:r w:rsidRPr="00007B7D">
        <w:t>délibérément</w:t>
      </w:r>
      <w:proofErr w:type="spellEnd"/>
      <w:r w:rsidRPr="00007B7D">
        <w:t xml:space="preserve"> la </w:t>
      </w:r>
      <w:proofErr w:type="spellStart"/>
      <w:r w:rsidRPr="00007B7D">
        <w:t>sphère</w:t>
      </w:r>
      <w:proofErr w:type="spellEnd"/>
      <w:r w:rsidRPr="00007B7D">
        <w:t xml:space="preserve"> </w:t>
      </w:r>
      <w:proofErr w:type="spellStart"/>
      <w:r w:rsidRPr="00007B7D">
        <w:t>privée</w:t>
      </w:r>
      <w:proofErr w:type="spellEnd"/>
      <w:r w:rsidRPr="00007B7D">
        <w:t xml:space="preserve"> et le cadre </w:t>
      </w:r>
      <w:proofErr w:type="spellStart"/>
      <w:r w:rsidRPr="00007B7D">
        <w:t>professionnel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Faits_RevelEA_FaitsPro \h </w:instrText>
      </w:r>
      <w:r w:rsidRPr="00007B7D">
        <w:fldChar w:fldCharType="separate"/>
      </w:r>
      <w:r w:rsidRPr="00007B7D">
        <w:rPr>
          <w:noProof/>
        </w:rPr>
        <w:t>8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Faits_RevelEA_Entretien_22juil2013 \h </w:instrText>
      </w:r>
      <w:r w:rsidRPr="00007B7D">
        <w:fldChar w:fldCharType="separate"/>
      </w:r>
      <w:r w:rsidRPr="00007B7D">
        <w:rPr>
          <w:noProof/>
        </w:rPr>
        <w:t>10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Faits_TC_ValdeBriey_25sept2018_VVetHarce \h </w:instrText>
      </w:r>
      <w:r w:rsidRPr="00007B7D">
        <w:fldChar w:fldCharType="separate"/>
      </w:r>
      <w:r w:rsidRPr="00007B7D">
        <w:rPr>
          <w:noProof/>
        </w:rPr>
        <w:t>66</w:t>
      </w:r>
      <w:r w:rsidRPr="00007B7D">
        <w:fldChar w:fldCharType="end"/>
      </w:r>
      <w:r w:rsidRPr="00007B7D">
        <w:t xml:space="preserve"> ci-dessus). Par </w:t>
      </w:r>
      <w:proofErr w:type="spellStart"/>
      <w:r w:rsidRPr="00007B7D">
        <w:t>ailleurs</w:t>
      </w:r>
      <w:proofErr w:type="spellEnd"/>
      <w:r w:rsidRPr="00007B7D">
        <w:t xml:space="preserve">, il </w:t>
      </w:r>
      <w:proofErr w:type="spellStart"/>
      <w:r w:rsidRPr="00007B7D">
        <w:t>résulte</w:t>
      </w:r>
      <w:proofErr w:type="spellEnd"/>
      <w:r w:rsidRPr="00007B7D">
        <w:t xml:space="preserve"> tant des </w:t>
      </w:r>
      <w:proofErr w:type="spellStart"/>
      <w:r w:rsidRPr="00007B7D">
        <w:t>déclarations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que de </w:t>
      </w:r>
      <w:proofErr w:type="spellStart"/>
      <w:r w:rsidRPr="00007B7D">
        <w:t>celles</w:t>
      </w:r>
      <w:proofErr w:type="spellEnd"/>
      <w:r w:rsidRPr="00007B7D">
        <w:t xml:space="preserve">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collègues</w:t>
      </w:r>
      <w:proofErr w:type="spellEnd"/>
      <w:r w:rsidRPr="00007B7D">
        <w:t xml:space="preserve"> que K.B.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adopté</w:t>
      </w:r>
      <w:proofErr w:type="spellEnd"/>
      <w:r w:rsidRPr="00007B7D">
        <w:t xml:space="preserve"> à son </w:t>
      </w:r>
      <w:proofErr w:type="spellStart"/>
      <w:r w:rsidRPr="00007B7D">
        <w:t>égard</w:t>
      </w:r>
      <w:proofErr w:type="spellEnd"/>
      <w:r w:rsidRPr="00007B7D">
        <w:t xml:space="preserve"> un </w:t>
      </w:r>
      <w:proofErr w:type="spellStart"/>
      <w:r w:rsidRPr="00007B7D">
        <w:t>comportement</w:t>
      </w:r>
      <w:proofErr w:type="spellEnd"/>
      <w:r w:rsidRPr="00007B7D">
        <w:t xml:space="preserve"> </w:t>
      </w:r>
      <w:proofErr w:type="spellStart"/>
      <w:r w:rsidRPr="00007B7D">
        <w:t>vindicatif</w:t>
      </w:r>
      <w:proofErr w:type="spellEnd"/>
      <w:r w:rsidRPr="00007B7D">
        <w:t xml:space="preserve"> et </w:t>
      </w:r>
      <w:proofErr w:type="spellStart"/>
      <w:r w:rsidRPr="00007B7D">
        <w:t>harcelant</w:t>
      </w:r>
      <w:proofErr w:type="spellEnd"/>
      <w:r w:rsidRPr="00007B7D">
        <w:t xml:space="preserve"> dans le cadre </w:t>
      </w:r>
      <w:proofErr w:type="spellStart"/>
      <w:r w:rsidRPr="00007B7D">
        <w:t>professionnel</w:t>
      </w:r>
      <w:proofErr w:type="spellEnd"/>
      <w:r w:rsidRPr="00007B7D">
        <w:t xml:space="preserve"> au </w:t>
      </w:r>
      <w:proofErr w:type="spellStart"/>
      <w:r w:rsidRPr="00007B7D">
        <w:t>cours</w:t>
      </w:r>
      <w:proofErr w:type="spellEnd"/>
      <w:r w:rsidRPr="00007B7D">
        <w:t xml:space="preserve"> des </w:t>
      </w:r>
      <w:proofErr w:type="spellStart"/>
      <w:r w:rsidRPr="00007B7D">
        <w:lastRenderedPageBreak/>
        <w:t>mois</w:t>
      </w:r>
      <w:proofErr w:type="spellEnd"/>
      <w:r w:rsidRPr="00007B7D">
        <w:t xml:space="preserve"> </w:t>
      </w:r>
      <w:proofErr w:type="spellStart"/>
      <w:r w:rsidRPr="00007B7D">
        <w:t>précédant</w:t>
      </w:r>
      <w:proofErr w:type="spellEnd"/>
      <w:r w:rsidRPr="00007B7D">
        <w:t xml:space="preserve"> son </w:t>
      </w:r>
      <w:proofErr w:type="spellStart"/>
      <w:r w:rsidRPr="00007B7D">
        <w:t>arrêt</w:t>
      </w:r>
      <w:proofErr w:type="spellEnd"/>
      <w:r w:rsidRPr="00007B7D">
        <w:t xml:space="preserve"> de travail du 12 </w:t>
      </w:r>
      <w:proofErr w:type="spellStart"/>
      <w:r w:rsidRPr="00007B7D">
        <w:t>juin</w:t>
      </w:r>
      <w:proofErr w:type="spellEnd"/>
      <w:r w:rsidRPr="00007B7D">
        <w:t xml:space="preserve"> 2013, </w:t>
      </w:r>
      <w:proofErr w:type="spellStart"/>
      <w:r w:rsidRPr="00007B7D">
        <w:t>celui</w:t>
      </w:r>
      <w:proofErr w:type="spellEnd"/>
      <w:r w:rsidRPr="00007B7D">
        <w:t xml:space="preserve">-ci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usé</w:t>
      </w:r>
      <w:proofErr w:type="spellEnd"/>
      <w:r w:rsidRPr="00007B7D">
        <w:t xml:space="preserve"> de son </w:t>
      </w:r>
      <w:proofErr w:type="spellStart"/>
      <w:r w:rsidRPr="00007B7D">
        <w:t>statut</w:t>
      </w:r>
      <w:proofErr w:type="spellEnd"/>
      <w:r w:rsidRPr="00007B7D">
        <w:t xml:space="preserve"> et de </w:t>
      </w:r>
      <w:proofErr w:type="spellStart"/>
      <w:r w:rsidRPr="00007B7D">
        <w:t>l’autorité</w:t>
      </w:r>
      <w:proofErr w:type="spellEnd"/>
      <w:r w:rsidRPr="00007B7D">
        <w:t xml:space="preserve"> que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conféraient</w:t>
      </w:r>
      <w:proofErr w:type="spellEnd"/>
      <w:r w:rsidRPr="00007B7D">
        <w:t xml:space="preserve">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fonctions</w:t>
      </w:r>
      <w:proofErr w:type="spellEnd"/>
      <w:r w:rsidRPr="00007B7D">
        <w:t xml:space="preserve"> pour la </w:t>
      </w:r>
      <w:proofErr w:type="spellStart"/>
      <w:r w:rsidRPr="00007B7D">
        <w:t>discréditer</w:t>
      </w:r>
      <w:proofErr w:type="spellEnd"/>
      <w:r w:rsidRPr="00007B7D">
        <w:t xml:space="preserve"> </w:t>
      </w:r>
      <w:proofErr w:type="spellStart"/>
      <w:r w:rsidRPr="00007B7D">
        <w:t>professionnellement</w:t>
      </w:r>
      <w:proofErr w:type="spellEnd"/>
      <w:r w:rsidRPr="00007B7D">
        <w:t xml:space="preserve"> et </w:t>
      </w:r>
      <w:proofErr w:type="spellStart"/>
      <w:r w:rsidRPr="00007B7D">
        <w:t>l’isoler</w:t>
      </w:r>
      <w:proofErr w:type="spellEnd"/>
      <w:r w:rsidRPr="00007B7D">
        <w:t xml:space="preserve"> de </w:t>
      </w:r>
      <w:proofErr w:type="spellStart"/>
      <w:r w:rsidRPr="00007B7D">
        <w:t>certains</w:t>
      </w:r>
      <w:proofErr w:type="spellEnd"/>
      <w:r w:rsidRPr="00007B7D">
        <w:t xml:space="preserve">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collègues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Faits_RevelEA_FaitsPro \h  \* MERGEFORMAT </w:instrText>
      </w:r>
      <w:r w:rsidRPr="00007B7D">
        <w:fldChar w:fldCharType="separate"/>
      </w:r>
      <w:r w:rsidRPr="00007B7D">
        <w:t>8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Faits_AudReq_FaitsPro \h  \* MERGEFORMAT </w:instrText>
      </w:r>
      <w:r w:rsidRPr="00007B7D">
        <w:fldChar w:fldCharType="separate"/>
      </w:r>
      <w:r w:rsidRPr="00007B7D">
        <w:t>27</w:t>
      </w:r>
      <w:r w:rsidRPr="00007B7D">
        <w:fldChar w:fldCharType="end"/>
      </w:r>
      <w:r w:rsidRPr="00007B7D">
        <w:t xml:space="preserve">, </w:t>
      </w:r>
      <w:r w:rsidRPr="00007B7D">
        <w:fldChar w:fldCharType="begin"/>
      </w:r>
      <w:r w:rsidRPr="00007B7D">
        <w:instrText xml:space="preserve"> REF Faits_AudReq_FaitsPro2 \h  \* MERGEFORMAT </w:instrText>
      </w:r>
      <w:r w:rsidRPr="00007B7D">
        <w:fldChar w:fldCharType="separate"/>
      </w:r>
      <w:r w:rsidRPr="00007B7D">
        <w:t>29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Faits_AUD_Collègues_faitsconstants \h </w:instrText>
      </w:r>
      <w:r w:rsidRPr="00007B7D">
        <w:fldChar w:fldCharType="separate"/>
      </w:r>
      <w:r w:rsidRPr="00007B7D">
        <w:rPr>
          <w:noProof/>
        </w:rPr>
        <w:t>30</w:t>
      </w:r>
      <w:r w:rsidRPr="00007B7D">
        <w:fldChar w:fldCharType="end"/>
      </w:r>
      <w:r w:rsidRPr="00007B7D">
        <w:t xml:space="preserve"> ci-dessus). La </w:t>
      </w:r>
      <w:proofErr w:type="spellStart"/>
      <w:r w:rsidRPr="00007B7D">
        <w:t>Cour</w:t>
      </w:r>
      <w:proofErr w:type="spellEnd"/>
      <w:r w:rsidRPr="00007B7D">
        <w:t xml:space="preserve"> note que le </w:t>
      </w:r>
      <w:proofErr w:type="spellStart"/>
      <w:r w:rsidRPr="00007B7D">
        <w:t>juge</w:t>
      </w:r>
      <w:proofErr w:type="spellEnd"/>
      <w:r w:rsidRPr="00007B7D">
        <w:t xml:space="preserve"> </w:t>
      </w:r>
      <w:proofErr w:type="spellStart"/>
      <w:r w:rsidRPr="00007B7D">
        <w:t>d’instruction</w:t>
      </w:r>
      <w:proofErr w:type="spellEnd"/>
      <w:r w:rsidRPr="00007B7D">
        <w:t xml:space="preserve"> et le tribunal </w:t>
      </w:r>
      <w:proofErr w:type="spellStart"/>
      <w:r w:rsidRPr="00007B7D">
        <w:t>correctionnel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tenu</w:t>
      </w:r>
      <w:proofErr w:type="spellEnd"/>
      <w:r w:rsidRPr="00007B7D">
        <w:t xml:space="preserve"> </w:t>
      </w:r>
      <w:proofErr w:type="spellStart"/>
      <w:r w:rsidRPr="00007B7D">
        <w:t>ces</w:t>
      </w:r>
      <w:proofErr w:type="spellEnd"/>
      <w:r w:rsidRPr="00007B7D">
        <w:t xml:space="preserve"> faits de </w:t>
      </w:r>
      <w:proofErr w:type="spellStart"/>
      <w:r w:rsidRPr="00007B7D">
        <w:t>harcèlement</w:t>
      </w:r>
      <w:proofErr w:type="spellEnd"/>
      <w:r w:rsidRPr="00007B7D">
        <w:t xml:space="preserve"> pour </w:t>
      </w:r>
      <w:proofErr w:type="spellStart"/>
      <w:r w:rsidRPr="00007B7D">
        <w:t>établis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Faits_Info_ORTC \h </w:instrText>
      </w:r>
      <w:r w:rsidRPr="00007B7D">
        <w:fldChar w:fldCharType="separate"/>
      </w:r>
      <w:r w:rsidRPr="00007B7D">
        <w:rPr>
          <w:noProof/>
        </w:rPr>
        <w:t>55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Faits_TC_ValdeBriey_25sept2018_VVetHarce \h </w:instrText>
      </w:r>
      <w:r w:rsidRPr="00007B7D">
        <w:fldChar w:fldCharType="separate"/>
      </w:r>
      <w:r w:rsidRPr="00007B7D">
        <w:rPr>
          <w:noProof/>
        </w:rPr>
        <w:t>66</w:t>
      </w:r>
      <w:r w:rsidRPr="00007B7D">
        <w:fldChar w:fldCharType="end"/>
      </w:r>
      <w:r w:rsidRPr="00007B7D">
        <w:t xml:space="preserve"> ci-dessus). Elle constate de </w:t>
      </w:r>
      <w:proofErr w:type="spellStart"/>
      <w:r w:rsidRPr="00007B7D">
        <w:t>surcroît</w:t>
      </w:r>
      <w:proofErr w:type="spellEnd"/>
      <w:r w:rsidRPr="00007B7D">
        <w:t xml:space="preserve"> </w:t>
      </w:r>
      <w:proofErr w:type="spellStart"/>
      <w:r w:rsidRPr="00007B7D">
        <w:t>qu’E.A</w:t>
      </w:r>
      <w:proofErr w:type="spellEnd"/>
      <w:r w:rsidRPr="00007B7D">
        <w:t xml:space="preserve">. </w:t>
      </w:r>
      <w:proofErr w:type="spellStart"/>
      <w:r w:rsidRPr="00007B7D">
        <w:t>craignait</w:t>
      </w:r>
      <w:proofErr w:type="spellEnd"/>
      <w:r w:rsidRPr="00007B7D">
        <w:t xml:space="preserve"> de devoir </w:t>
      </w:r>
      <w:proofErr w:type="spellStart"/>
      <w:r w:rsidRPr="00007B7D">
        <w:t>rembourser</w:t>
      </w:r>
      <w:proofErr w:type="spellEnd"/>
      <w:r w:rsidRPr="00007B7D">
        <w:t xml:space="preserve"> </w:t>
      </w:r>
      <w:proofErr w:type="spellStart"/>
      <w:r w:rsidRPr="00007B7D">
        <w:t>ses</w:t>
      </w:r>
      <w:proofErr w:type="spellEnd"/>
      <w:r w:rsidRPr="00007B7D">
        <w:t xml:space="preserve"> frais de formation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cas</w:t>
      </w:r>
      <w:proofErr w:type="spellEnd"/>
      <w:r w:rsidRPr="00007B7D">
        <w:t xml:space="preserve"> de rupture </w:t>
      </w:r>
      <w:proofErr w:type="spellStart"/>
      <w:r w:rsidRPr="00007B7D">
        <w:t>anticipée</w:t>
      </w:r>
      <w:proofErr w:type="spellEnd"/>
      <w:r w:rsidRPr="00007B7D">
        <w:t xml:space="preserve"> de son </w:t>
      </w:r>
      <w:proofErr w:type="spellStart"/>
      <w:r w:rsidRPr="00007B7D">
        <w:t>contrat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Faits_RevelEA_Entretien_22juil2013 \h </w:instrText>
      </w:r>
      <w:r w:rsidRPr="00007B7D">
        <w:fldChar w:fldCharType="separate"/>
      </w:r>
      <w:r w:rsidRPr="00007B7D">
        <w:rPr>
          <w:noProof/>
        </w:rPr>
        <w:t>10</w:t>
      </w:r>
      <w:r w:rsidRPr="00007B7D">
        <w:fldChar w:fldCharType="end"/>
      </w:r>
      <w:r w:rsidRPr="00007B7D">
        <w:t xml:space="preserve"> et </w:t>
      </w:r>
      <w:r w:rsidRPr="00007B7D">
        <w:fldChar w:fldCharType="begin"/>
      </w:r>
      <w:r w:rsidRPr="00007B7D">
        <w:instrText xml:space="preserve"> REF Faits_AudReq_FaitsVioletAggressionsSex \h </w:instrText>
      </w:r>
      <w:r w:rsidRPr="00007B7D">
        <w:fldChar w:fldCharType="separate"/>
      </w:r>
      <w:r w:rsidRPr="00007B7D">
        <w:rPr>
          <w:noProof/>
        </w:rPr>
        <w:t>26</w:t>
      </w:r>
      <w:r w:rsidRPr="00007B7D">
        <w:fldChar w:fldCharType="end"/>
      </w:r>
      <w:r w:rsidRPr="00007B7D">
        <w:t xml:space="preserve"> ci-dessus).</w:t>
      </w:r>
    </w:p>
    <w:p w14:paraId="3C18F969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166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relève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deuxième</w:t>
      </w:r>
      <w:proofErr w:type="spellEnd"/>
      <w:r w:rsidRPr="00007B7D">
        <w:t xml:space="preserve"> lieu, </w:t>
      </w:r>
      <w:proofErr w:type="spellStart"/>
      <w:r w:rsidRPr="00007B7D">
        <w:t>qu’E.A</w:t>
      </w:r>
      <w:proofErr w:type="spellEnd"/>
      <w:r w:rsidRPr="00007B7D">
        <w:t xml:space="preserve">. et K.B. </w:t>
      </w:r>
      <w:proofErr w:type="spellStart"/>
      <w:r w:rsidRPr="00007B7D">
        <w:t>avaient</w:t>
      </w:r>
      <w:proofErr w:type="spellEnd"/>
      <w:r w:rsidRPr="00007B7D">
        <w:t xml:space="preserve"> </w:t>
      </w:r>
      <w:proofErr w:type="spellStart"/>
      <w:r w:rsidRPr="00007B7D">
        <w:t>noué</w:t>
      </w:r>
      <w:proofErr w:type="spellEnd"/>
      <w:r w:rsidRPr="00007B7D">
        <w:t xml:space="preserve">, sur </w:t>
      </w:r>
      <w:proofErr w:type="spellStart"/>
      <w:r w:rsidRPr="00007B7D">
        <w:t>leur</w:t>
      </w:r>
      <w:proofErr w:type="spellEnd"/>
      <w:r w:rsidRPr="00007B7D">
        <w:t xml:space="preserve"> lieu de travail, </w:t>
      </w:r>
      <w:proofErr w:type="spellStart"/>
      <w:r w:rsidRPr="00007B7D">
        <w:t>une</w:t>
      </w:r>
      <w:proofErr w:type="spellEnd"/>
      <w:r w:rsidRPr="00007B7D">
        <w:t xml:space="preserve"> relation intime, qui </w:t>
      </w:r>
      <w:proofErr w:type="spellStart"/>
      <w:r w:rsidRPr="00007B7D">
        <w:t>s’était</w:t>
      </w:r>
      <w:proofErr w:type="spellEnd"/>
      <w:r w:rsidRPr="00007B7D">
        <w:t xml:space="preserve"> </w:t>
      </w:r>
      <w:proofErr w:type="spellStart"/>
      <w:r w:rsidRPr="00007B7D">
        <w:t>poursuivie</w:t>
      </w:r>
      <w:proofErr w:type="spellEnd"/>
      <w:r w:rsidRPr="00007B7D">
        <w:t xml:space="preserve">. Il </w:t>
      </w:r>
      <w:proofErr w:type="spellStart"/>
      <w:r w:rsidRPr="00007B7D">
        <w:t>ressort</w:t>
      </w:r>
      <w:proofErr w:type="spellEnd"/>
      <w:r w:rsidRPr="00007B7D">
        <w:t xml:space="preserve"> des </w:t>
      </w:r>
      <w:proofErr w:type="spellStart"/>
      <w:r w:rsidRPr="00007B7D">
        <w:t>déclarations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et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proches</w:t>
      </w:r>
      <w:proofErr w:type="spellEnd"/>
      <w:r w:rsidRPr="00007B7D">
        <w:t xml:space="preserve">, </w:t>
      </w:r>
      <w:proofErr w:type="spellStart"/>
      <w:r w:rsidRPr="00007B7D">
        <w:t>ainsi</w:t>
      </w:r>
      <w:proofErr w:type="spellEnd"/>
      <w:r w:rsidRPr="00007B7D">
        <w:t xml:space="preserve"> que des investigations, que les faits </w:t>
      </w:r>
      <w:proofErr w:type="spellStart"/>
      <w:r w:rsidRPr="00007B7D">
        <w:t>s’inscrivaient</w:t>
      </w:r>
      <w:proofErr w:type="spellEnd"/>
      <w:r w:rsidRPr="00007B7D">
        <w:t xml:space="preserve"> dans un </w:t>
      </w:r>
      <w:proofErr w:type="spellStart"/>
      <w:r w:rsidRPr="00007B7D">
        <w:t>contexte</w:t>
      </w:r>
      <w:proofErr w:type="spellEnd"/>
      <w:r w:rsidRPr="00007B7D">
        <w:t xml:space="preserve">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psychologiques</w:t>
      </w:r>
      <w:proofErr w:type="spellEnd"/>
      <w:r w:rsidRPr="00007B7D">
        <w:t xml:space="preserve"> </w:t>
      </w:r>
      <w:proofErr w:type="spellStart"/>
      <w:r w:rsidRPr="00007B7D">
        <w:t>répétées</w:t>
      </w:r>
      <w:proofErr w:type="spellEnd"/>
      <w:r w:rsidRPr="00007B7D">
        <w:t xml:space="preserve">, </w:t>
      </w:r>
      <w:proofErr w:type="spellStart"/>
      <w:r w:rsidRPr="00007B7D">
        <w:t>commises</w:t>
      </w:r>
      <w:proofErr w:type="spellEnd"/>
      <w:r w:rsidRPr="00007B7D">
        <w:t xml:space="preserve"> dans le cadre </w:t>
      </w:r>
      <w:proofErr w:type="spellStart"/>
      <w:r w:rsidRPr="00007B7D">
        <w:t>privé</w:t>
      </w:r>
      <w:proofErr w:type="spellEnd"/>
      <w:r w:rsidRPr="00007B7D">
        <w:t xml:space="preserve">. E.A.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révélé</w:t>
      </w:r>
      <w:proofErr w:type="spellEnd"/>
      <w:r w:rsidRPr="00007B7D">
        <w:t xml:space="preserve"> que K.B.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multiplié</w:t>
      </w:r>
      <w:proofErr w:type="spellEnd"/>
      <w:r w:rsidRPr="00007B7D">
        <w:t xml:space="preserve"> les </w:t>
      </w:r>
      <w:proofErr w:type="spellStart"/>
      <w:r w:rsidRPr="00007B7D">
        <w:t>propos</w:t>
      </w:r>
      <w:proofErr w:type="spellEnd"/>
      <w:r w:rsidRPr="00007B7D">
        <w:t xml:space="preserve"> et les </w:t>
      </w:r>
      <w:proofErr w:type="spellStart"/>
      <w:r w:rsidRPr="00007B7D">
        <w:t>gestes</w:t>
      </w:r>
      <w:proofErr w:type="spellEnd"/>
      <w:r w:rsidRPr="00007B7D">
        <w:t xml:space="preserve"> de </w:t>
      </w:r>
      <w:proofErr w:type="spellStart"/>
      <w:r w:rsidRPr="00007B7D">
        <w:t>dénigrement</w:t>
      </w:r>
      <w:proofErr w:type="spellEnd"/>
      <w:r w:rsidRPr="00007B7D">
        <w:t xml:space="preserve"> et </w:t>
      </w:r>
      <w:proofErr w:type="spellStart"/>
      <w:r w:rsidRPr="00007B7D">
        <w:t>d’humiliation</w:t>
      </w:r>
      <w:proofErr w:type="spellEnd"/>
      <w:r w:rsidRPr="00007B7D">
        <w:t xml:space="preserve"> à son </w:t>
      </w:r>
      <w:proofErr w:type="spellStart"/>
      <w:r w:rsidRPr="00007B7D">
        <w:t>égard</w:t>
      </w:r>
      <w:proofErr w:type="spellEnd"/>
      <w:r w:rsidRPr="00007B7D">
        <w:t xml:space="preserve">, </w:t>
      </w:r>
      <w:proofErr w:type="spellStart"/>
      <w:r w:rsidRPr="00007B7D">
        <w:t>ainsi</w:t>
      </w:r>
      <w:proofErr w:type="spellEnd"/>
      <w:r w:rsidRPr="00007B7D">
        <w:t xml:space="preserve"> que les </w:t>
      </w:r>
      <w:proofErr w:type="spellStart"/>
      <w:r w:rsidRPr="00007B7D">
        <w:t>accès</w:t>
      </w:r>
      <w:proofErr w:type="spellEnd"/>
      <w:r w:rsidRPr="00007B7D">
        <w:t xml:space="preserve"> </w:t>
      </w:r>
      <w:proofErr w:type="spellStart"/>
      <w:r w:rsidRPr="00007B7D">
        <w:t>soudains</w:t>
      </w:r>
      <w:proofErr w:type="spellEnd"/>
      <w:r w:rsidRPr="00007B7D">
        <w:t xml:space="preserve"> </w:t>
      </w:r>
      <w:proofErr w:type="spellStart"/>
      <w:r w:rsidRPr="00007B7D">
        <w:t>d’agressivité</w:t>
      </w:r>
      <w:proofErr w:type="spellEnd"/>
      <w:r w:rsidRPr="00007B7D">
        <w:t xml:space="preserve">. Elle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outre</w:t>
      </w:r>
      <w:proofErr w:type="spellEnd"/>
      <w:r w:rsidRPr="00007B7D">
        <w:t xml:space="preserve"> </w:t>
      </w:r>
      <w:proofErr w:type="spellStart"/>
      <w:r w:rsidRPr="00007B7D">
        <w:t>indiqué</w:t>
      </w:r>
      <w:proofErr w:type="spellEnd"/>
      <w:r w:rsidRPr="00007B7D">
        <w:t xml:space="preserve"> que </w:t>
      </w:r>
      <w:proofErr w:type="spellStart"/>
      <w:r w:rsidRPr="00007B7D">
        <w:t>celui</w:t>
      </w:r>
      <w:proofErr w:type="spellEnd"/>
      <w:r w:rsidRPr="00007B7D">
        <w:t xml:space="preserve">-ci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exercé</w:t>
      </w:r>
      <w:proofErr w:type="spellEnd"/>
      <w:r w:rsidRPr="00007B7D">
        <w:t xml:space="preserve"> un </w:t>
      </w:r>
      <w:proofErr w:type="spellStart"/>
      <w:r w:rsidRPr="00007B7D">
        <w:t>contrôle</w:t>
      </w:r>
      <w:proofErr w:type="spellEnd"/>
      <w:r w:rsidRPr="00007B7D">
        <w:t xml:space="preserve"> et </w:t>
      </w:r>
      <w:proofErr w:type="spellStart"/>
      <w:r w:rsidRPr="00007B7D">
        <w:t>une</w:t>
      </w:r>
      <w:proofErr w:type="spellEnd"/>
      <w:r w:rsidRPr="00007B7D">
        <w:t xml:space="preserve"> surveillance </w:t>
      </w:r>
      <w:proofErr w:type="spellStart"/>
      <w:r w:rsidRPr="00007B7D">
        <w:t>croissante</w:t>
      </w:r>
      <w:proofErr w:type="spellEnd"/>
      <w:r w:rsidRPr="00007B7D">
        <w:t xml:space="preserve"> sur son </w:t>
      </w:r>
      <w:proofErr w:type="spellStart"/>
      <w:r w:rsidRPr="00007B7D">
        <w:t>quotidien</w:t>
      </w:r>
      <w:proofErr w:type="spellEnd"/>
      <w:r w:rsidRPr="00007B7D">
        <w:t xml:space="preserve">, et </w:t>
      </w:r>
      <w:proofErr w:type="spellStart"/>
      <w:r w:rsidRPr="00007B7D">
        <w:t>qu’il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fait </w:t>
      </w:r>
      <w:proofErr w:type="spellStart"/>
      <w:r w:rsidRPr="00007B7D">
        <w:t>preuve</w:t>
      </w:r>
      <w:proofErr w:type="spellEnd"/>
      <w:r w:rsidRPr="00007B7D">
        <w:t xml:space="preserve"> </w:t>
      </w:r>
      <w:proofErr w:type="spellStart"/>
      <w:r w:rsidRPr="00007B7D">
        <w:t>d’une</w:t>
      </w:r>
      <w:proofErr w:type="spellEnd"/>
      <w:r w:rsidRPr="00007B7D">
        <w:t xml:space="preserve"> ambivalence affective </w:t>
      </w:r>
      <w:proofErr w:type="spellStart"/>
      <w:r w:rsidRPr="00007B7D">
        <w:t>délibérée</w:t>
      </w:r>
      <w:proofErr w:type="spellEnd"/>
      <w:r w:rsidRPr="00007B7D">
        <w:t xml:space="preserve"> à son </w:t>
      </w:r>
      <w:proofErr w:type="spellStart"/>
      <w:r w:rsidRPr="00007B7D">
        <w:t>égard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Faits_AudReq_plainte \h  \* MERGEFORMAT </w:instrText>
      </w:r>
      <w:r w:rsidRPr="00007B7D">
        <w:fldChar w:fldCharType="separate"/>
      </w:r>
      <w:r w:rsidRPr="00007B7D">
        <w:t>25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Faits_Info_ORTC \h  \* MERGEFORMAT </w:instrText>
      </w:r>
      <w:r w:rsidRPr="00007B7D">
        <w:fldChar w:fldCharType="separate"/>
      </w:r>
      <w:r w:rsidRPr="00007B7D">
        <w:t>55</w:t>
      </w:r>
      <w:r w:rsidRPr="00007B7D">
        <w:fldChar w:fldCharType="end"/>
      </w:r>
      <w:r w:rsidRPr="00007B7D">
        <w:t xml:space="preserve"> ci-dessus).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agissements</w:t>
      </w:r>
      <w:proofErr w:type="spellEnd"/>
      <w:r w:rsidRPr="00007B7D">
        <w:t xml:space="preserve"> </w:t>
      </w:r>
      <w:proofErr w:type="spellStart"/>
      <w:r w:rsidRPr="00007B7D">
        <w:t>s’apparentent</w:t>
      </w:r>
      <w:proofErr w:type="spellEnd"/>
      <w:r w:rsidRPr="00007B7D">
        <w:t xml:space="preserve">, aux </w:t>
      </w:r>
      <w:proofErr w:type="spellStart"/>
      <w:r w:rsidRPr="00007B7D">
        <w:t>yeux</w:t>
      </w:r>
      <w:proofErr w:type="spellEnd"/>
      <w:r w:rsidRPr="00007B7D">
        <w:t xml:space="preserve"> de la </w:t>
      </w:r>
      <w:proofErr w:type="spellStart"/>
      <w:r w:rsidRPr="00007B7D">
        <w:t>Cour</w:t>
      </w:r>
      <w:proofErr w:type="spellEnd"/>
      <w:r w:rsidRPr="00007B7D">
        <w:t xml:space="preserve">, à un </w:t>
      </w:r>
      <w:proofErr w:type="spellStart"/>
      <w:r w:rsidRPr="00007B7D">
        <w:t>contrôle</w:t>
      </w:r>
      <w:proofErr w:type="spellEnd"/>
      <w:r w:rsidRPr="00007B7D">
        <w:t xml:space="preserve"> </w:t>
      </w:r>
      <w:proofErr w:type="spellStart"/>
      <w:r w:rsidRPr="00007B7D">
        <w:t>coercitif</w:t>
      </w:r>
      <w:proofErr w:type="spellEnd"/>
      <w:r w:rsidRPr="00007B7D">
        <w:t xml:space="preserve">, </w:t>
      </w:r>
      <w:proofErr w:type="spellStart"/>
      <w:r w:rsidRPr="00007B7D">
        <w:t>c’est</w:t>
      </w:r>
      <w:proofErr w:type="spellEnd"/>
      <w:r w:rsidRPr="00007B7D">
        <w:t xml:space="preserve">-à-dire à un ensemble de </w:t>
      </w:r>
      <w:proofErr w:type="spellStart"/>
      <w:r w:rsidRPr="00007B7D">
        <w:t>comportements</w:t>
      </w:r>
      <w:proofErr w:type="spellEnd"/>
      <w:r w:rsidRPr="00007B7D">
        <w:t xml:space="preserve"> </w:t>
      </w:r>
      <w:proofErr w:type="spellStart"/>
      <w:r w:rsidRPr="00007B7D">
        <w:t>typique</w:t>
      </w:r>
      <w:proofErr w:type="spellEnd"/>
      <w:r w:rsidRPr="00007B7D">
        <w:t xml:space="preserve"> des relations </w:t>
      </w:r>
      <w:proofErr w:type="spellStart"/>
      <w:r w:rsidRPr="00007B7D">
        <w:t>empreintes</w:t>
      </w:r>
      <w:proofErr w:type="spellEnd"/>
      <w:r w:rsidRPr="00007B7D">
        <w:t xml:space="preserve"> de domination par </w:t>
      </w:r>
      <w:proofErr w:type="spellStart"/>
      <w:r w:rsidRPr="00007B7D">
        <w:t>lequel</w:t>
      </w:r>
      <w:proofErr w:type="spellEnd"/>
      <w:r w:rsidRPr="00007B7D">
        <w:t xml:space="preserve"> un </w:t>
      </w:r>
      <w:proofErr w:type="spellStart"/>
      <w:r w:rsidRPr="00007B7D">
        <w:t>individu</w:t>
      </w:r>
      <w:proofErr w:type="spellEnd"/>
      <w:r w:rsidRPr="00007B7D">
        <w:t xml:space="preserve"> </w:t>
      </w:r>
      <w:proofErr w:type="spellStart"/>
      <w:r w:rsidRPr="00007B7D">
        <w:t>entend</w:t>
      </w:r>
      <w:proofErr w:type="spellEnd"/>
      <w:r w:rsidRPr="00007B7D">
        <w:t xml:space="preserve"> </w:t>
      </w:r>
      <w:proofErr w:type="spellStart"/>
      <w:r w:rsidRPr="00007B7D">
        <w:t>durablement</w:t>
      </w:r>
      <w:proofErr w:type="spellEnd"/>
      <w:r w:rsidRPr="00007B7D">
        <w:t xml:space="preserve"> </w:t>
      </w:r>
      <w:proofErr w:type="spellStart"/>
      <w:r w:rsidRPr="00007B7D">
        <w:t>exercer</w:t>
      </w:r>
      <w:proofErr w:type="spellEnd"/>
      <w:r w:rsidRPr="00007B7D">
        <w:t xml:space="preserve"> un </w:t>
      </w:r>
      <w:proofErr w:type="spellStart"/>
      <w:r w:rsidRPr="00007B7D">
        <w:t>contrôle</w:t>
      </w:r>
      <w:proofErr w:type="spellEnd"/>
      <w:r w:rsidRPr="00007B7D">
        <w:t xml:space="preserve"> sur son </w:t>
      </w:r>
      <w:proofErr w:type="spellStart"/>
      <w:r w:rsidRPr="00007B7D">
        <w:t>partenaire</w:t>
      </w:r>
      <w:proofErr w:type="spellEnd"/>
      <w:r w:rsidRPr="00007B7D">
        <w:t xml:space="preserve"> et sur </w:t>
      </w:r>
      <w:proofErr w:type="spellStart"/>
      <w:r w:rsidRPr="00007B7D">
        <w:t>ses</w:t>
      </w:r>
      <w:proofErr w:type="spellEnd"/>
      <w:r w:rsidRPr="00007B7D">
        <w:t xml:space="preserve"> conditions de vie,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portant</w:t>
      </w:r>
      <w:proofErr w:type="spellEnd"/>
      <w:r w:rsidRPr="00007B7D">
        <w:t xml:space="preserve"> </w:t>
      </w:r>
      <w:proofErr w:type="spellStart"/>
      <w:r w:rsidRPr="00007B7D">
        <w:t>atteinte</w:t>
      </w:r>
      <w:proofErr w:type="spellEnd"/>
      <w:r w:rsidRPr="00007B7D">
        <w:t xml:space="preserve"> à son </w:t>
      </w:r>
      <w:proofErr w:type="spellStart"/>
      <w:r w:rsidRPr="00007B7D">
        <w:t>intégrité</w:t>
      </w:r>
      <w:proofErr w:type="spellEnd"/>
      <w:r w:rsidRPr="00007B7D">
        <w:t xml:space="preserve"> </w:t>
      </w:r>
      <w:proofErr w:type="spellStart"/>
      <w:r w:rsidRPr="00007B7D">
        <w:t>psychologique</w:t>
      </w:r>
      <w:proofErr w:type="spellEnd"/>
      <w:r w:rsidRPr="00007B7D">
        <w:t xml:space="preserve"> et à son </w:t>
      </w:r>
      <w:proofErr w:type="spellStart"/>
      <w:r w:rsidRPr="00007B7D">
        <w:t>autonomie</w:t>
      </w:r>
      <w:proofErr w:type="spellEnd"/>
      <w:r w:rsidRPr="00007B7D">
        <w:t xml:space="preserve"> </w:t>
      </w:r>
      <w:proofErr w:type="spellStart"/>
      <w:r w:rsidRPr="00007B7D">
        <w:t>personnelle</w:t>
      </w:r>
      <w:proofErr w:type="spellEnd"/>
      <w:r w:rsidRPr="00007B7D">
        <w:t xml:space="preserve"> (</w:t>
      </w:r>
      <w:proofErr w:type="spellStart"/>
      <w:r w:rsidRPr="00007B7D">
        <w:t>voir</w:t>
      </w:r>
      <w:proofErr w:type="spellEnd"/>
      <w:r w:rsidRPr="00007B7D">
        <w:t xml:space="preserve">, à </w:t>
      </w:r>
      <w:proofErr w:type="spellStart"/>
      <w:r w:rsidRPr="00007B7D">
        <w:t>cet</w:t>
      </w:r>
      <w:proofErr w:type="spellEnd"/>
      <w:r w:rsidRPr="00007B7D">
        <w:t xml:space="preserve"> </w:t>
      </w:r>
      <w:proofErr w:type="spellStart"/>
      <w:r w:rsidRPr="00007B7D">
        <w:t>égard</w:t>
      </w:r>
      <w:proofErr w:type="spellEnd"/>
      <w:r w:rsidRPr="00007B7D">
        <w:t xml:space="preserve">, </w:t>
      </w:r>
      <w:proofErr w:type="spellStart"/>
      <w:r w:rsidRPr="00007B7D">
        <w:rPr>
          <w:i/>
          <w:iCs/>
        </w:rPr>
        <w:t>Volodina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Russie</w:t>
      </w:r>
      <w:proofErr w:type="spellEnd"/>
      <w:r w:rsidRPr="00007B7D">
        <w:t>, n</w:t>
      </w:r>
      <w:r w:rsidRPr="00007B7D">
        <w:rPr>
          <w:vertAlign w:val="superscript"/>
        </w:rPr>
        <w:t>o</w:t>
      </w:r>
      <w:r w:rsidRPr="00007B7D">
        <w:t xml:space="preserve"> 41261/17, § 81, 9 </w:t>
      </w:r>
      <w:proofErr w:type="spellStart"/>
      <w:r w:rsidRPr="00007B7D">
        <w:t>juillet</w:t>
      </w:r>
      <w:proofErr w:type="spellEnd"/>
      <w:r w:rsidRPr="00007B7D">
        <w:t xml:space="preserve"> 2019, et </w:t>
      </w:r>
      <w:proofErr w:type="spellStart"/>
      <w:r w:rsidRPr="00007B7D">
        <w:rPr>
          <w:i/>
          <w:iCs/>
        </w:rPr>
        <w:t>Tunikova</w:t>
      </w:r>
      <w:proofErr w:type="spellEnd"/>
      <w:r w:rsidRPr="00007B7D">
        <w:rPr>
          <w:i/>
          <w:iCs/>
        </w:rPr>
        <w:t xml:space="preserve">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</w:t>
      </w:r>
      <w:proofErr w:type="spellStart"/>
      <w:r w:rsidRPr="00007B7D">
        <w:rPr>
          <w:i/>
          <w:iCs/>
        </w:rPr>
        <w:t>Russie</w:t>
      </w:r>
      <w:proofErr w:type="spellEnd"/>
      <w:r w:rsidRPr="00007B7D">
        <w:t xml:space="preserve">, </w:t>
      </w:r>
      <w:proofErr w:type="spellStart"/>
      <w:r w:rsidRPr="00007B7D">
        <w:t>n</w:t>
      </w:r>
      <w:r w:rsidRPr="00007B7D">
        <w:rPr>
          <w:vertAlign w:val="superscript"/>
        </w:rPr>
        <w:t>os</w:t>
      </w:r>
      <w:proofErr w:type="spellEnd"/>
      <w:r w:rsidRPr="00007B7D">
        <w:t xml:space="preserve"> 55974/16 et 3 </w:t>
      </w:r>
      <w:proofErr w:type="spellStart"/>
      <w:r w:rsidRPr="00007B7D">
        <w:t>autres</w:t>
      </w:r>
      <w:proofErr w:type="spellEnd"/>
      <w:r w:rsidRPr="00007B7D">
        <w:t xml:space="preserve">, § 94 et 153, 14 </w:t>
      </w:r>
      <w:proofErr w:type="spellStart"/>
      <w:r w:rsidRPr="00007B7D">
        <w:t>décembre</w:t>
      </w:r>
      <w:proofErr w:type="spellEnd"/>
      <w:r w:rsidRPr="00007B7D">
        <w:t xml:space="preserve"> 2021, </w:t>
      </w:r>
      <w:proofErr w:type="spellStart"/>
      <w:r w:rsidRPr="00007B7D">
        <w:t>ainsi</w:t>
      </w:r>
      <w:proofErr w:type="spellEnd"/>
      <w:r w:rsidRPr="00007B7D">
        <w:t xml:space="preserve"> que les rapports du GREVIO </w:t>
      </w:r>
      <w:proofErr w:type="spellStart"/>
      <w:r w:rsidRPr="00007B7D">
        <w:t>cités</w:t>
      </w:r>
      <w:proofErr w:type="spellEnd"/>
      <w:r w:rsidRPr="00007B7D">
        <w:t xml:space="preserve"> au 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CadreJur_DI_GREVIO_ControleCoercitif \h  \* MERGEFORMAT </w:instrText>
      </w:r>
      <w:r w:rsidRPr="00007B7D">
        <w:fldChar w:fldCharType="separate"/>
      </w:r>
      <w:r w:rsidRPr="00007B7D">
        <w:t>89</w:t>
      </w:r>
      <w:r w:rsidRPr="00007B7D">
        <w:fldChar w:fldCharType="end"/>
      </w:r>
      <w:r w:rsidRPr="00007B7D">
        <w:t xml:space="preserve"> ci-dessus). Un </w:t>
      </w:r>
      <w:proofErr w:type="spellStart"/>
      <w:r w:rsidRPr="00007B7D">
        <w:t>tel</w:t>
      </w:r>
      <w:proofErr w:type="spellEnd"/>
      <w:r w:rsidRPr="00007B7D">
        <w:t xml:space="preserve"> </w:t>
      </w:r>
      <w:proofErr w:type="spellStart"/>
      <w:r w:rsidRPr="00007B7D">
        <w:t>comportement</w:t>
      </w:r>
      <w:proofErr w:type="spellEnd"/>
      <w:r w:rsidRPr="00007B7D">
        <w:t xml:space="preserve"> </w:t>
      </w:r>
      <w:proofErr w:type="spellStart"/>
      <w:r w:rsidRPr="00007B7D">
        <w:t>est</w:t>
      </w:r>
      <w:proofErr w:type="spellEnd"/>
      <w:r w:rsidRPr="00007B7D">
        <w:t xml:space="preserve"> susceptible de placer la </w:t>
      </w:r>
      <w:proofErr w:type="spellStart"/>
      <w:r w:rsidRPr="00007B7D">
        <w:t>personne</w:t>
      </w:r>
      <w:proofErr w:type="spellEnd"/>
      <w:r w:rsidRPr="00007B7D">
        <w:t xml:space="preserve"> qui le </w:t>
      </w:r>
      <w:proofErr w:type="spellStart"/>
      <w:r w:rsidRPr="00007B7D">
        <w:t>subit</w:t>
      </w:r>
      <w:proofErr w:type="spellEnd"/>
      <w:r w:rsidRPr="00007B7D">
        <w:t xml:space="preserve"> dans un </w:t>
      </w:r>
      <w:proofErr w:type="spellStart"/>
      <w:r w:rsidRPr="00007B7D">
        <w:t>état</w:t>
      </w:r>
      <w:proofErr w:type="spellEnd"/>
      <w:r w:rsidRPr="00007B7D">
        <w:t xml:space="preserve"> de </w:t>
      </w:r>
      <w:proofErr w:type="spellStart"/>
      <w:r w:rsidRPr="00007B7D">
        <w:t>particulière</w:t>
      </w:r>
      <w:proofErr w:type="spellEnd"/>
      <w:r w:rsidRPr="00007B7D">
        <w:t xml:space="preserve"> </w:t>
      </w:r>
      <w:proofErr w:type="spellStart"/>
      <w:r w:rsidRPr="00007B7D">
        <w:t>vulnérabilité</w:t>
      </w:r>
      <w:proofErr w:type="spellEnd"/>
      <w:r w:rsidRPr="00007B7D">
        <w:t xml:space="preserve"> et de porter </w:t>
      </w:r>
      <w:proofErr w:type="spellStart"/>
      <w:r w:rsidRPr="00007B7D">
        <w:t>atteinte</w:t>
      </w:r>
      <w:proofErr w:type="spellEnd"/>
      <w:r w:rsidRPr="00007B7D">
        <w:t xml:space="preserve"> à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capacité</w:t>
      </w:r>
      <w:proofErr w:type="spellEnd"/>
      <w:r w:rsidRPr="00007B7D">
        <w:t xml:space="preserve"> de </w:t>
      </w:r>
      <w:proofErr w:type="spellStart"/>
      <w:r w:rsidRPr="00007B7D">
        <w:t>discernement</w:t>
      </w:r>
      <w:proofErr w:type="spellEnd"/>
      <w:r w:rsidRPr="00007B7D">
        <w:t xml:space="preserve">. Les </w:t>
      </w:r>
      <w:proofErr w:type="spellStart"/>
      <w:r w:rsidRPr="00007B7D">
        <w:t>agissements</w:t>
      </w:r>
      <w:proofErr w:type="spellEnd"/>
      <w:r w:rsidRPr="00007B7D">
        <w:t xml:space="preserve"> de K.B.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d’ailleurs</w:t>
      </w:r>
      <w:proofErr w:type="spellEnd"/>
      <w:r w:rsidRPr="00007B7D">
        <w:t xml:space="preserve"> conduit le </w:t>
      </w:r>
      <w:proofErr w:type="spellStart"/>
      <w:r w:rsidRPr="00007B7D">
        <w:t>juge</w:t>
      </w:r>
      <w:proofErr w:type="spellEnd"/>
      <w:r w:rsidRPr="00007B7D">
        <w:t xml:space="preserve"> </w:t>
      </w:r>
      <w:proofErr w:type="spellStart"/>
      <w:r w:rsidRPr="00007B7D">
        <w:t>d’instruction</w:t>
      </w:r>
      <w:proofErr w:type="spellEnd"/>
      <w:r w:rsidRPr="00007B7D">
        <w:t xml:space="preserve"> à </w:t>
      </w:r>
      <w:proofErr w:type="spellStart"/>
      <w:r w:rsidRPr="00007B7D">
        <w:t>considérer</w:t>
      </w:r>
      <w:proofErr w:type="spellEnd"/>
      <w:r w:rsidRPr="00007B7D">
        <w:t>, dans son ordonnance de renvoi du 25 </w:t>
      </w:r>
      <w:proofErr w:type="spellStart"/>
      <w:r w:rsidRPr="00007B7D">
        <w:t>novembre</w:t>
      </w:r>
      <w:proofErr w:type="spellEnd"/>
      <w:r w:rsidRPr="00007B7D">
        <w:t xml:space="preserve"> 2016, que K.B. </w:t>
      </w:r>
      <w:proofErr w:type="spellStart"/>
      <w:r w:rsidRPr="00007B7D">
        <w:t>avait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l’espèce</w:t>
      </w:r>
      <w:proofErr w:type="spellEnd"/>
      <w:r w:rsidRPr="00007B7D">
        <w:t>, « </w:t>
      </w:r>
      <w:proofErr w:type="spellStart"/>
      <w:r w:rsidRPr="00007B7D">
        <w:t>une</w:t>
      </w:r>
      <w:proofErr w:type="spellEnd"/>
      <w:r w:rsidRPr="00007B7D">
        <w:t xml:space="preserve"> emprise </w:t>
      </w:r>
      <w:proofErr w:type="spellStart"/>
      <w:r w:rsidRPr="00007B7D">
        <w:t>psychologique</w:t>
      </w:r>
      <w:proofErr w:type="spellEnd"/>
      <w:r w:rsidRPr="00007B7D">
        <w:t xml:space="preserve"> </w:t>
      </w:r>
      <w:proofErr w:type="spellStart"/>
      <w:r w:rsidRPr="00007B7D">
        <w:t>extrêmement</w:t>
      </w:r>
      <w:proofErr w:type="spellEnd"/>
      <w:r w:rsidRPr="00007B7D">
        <w:t xml:space="preserve"> </w:t>
      </w:r>
      <w:proofErr w:type="spellStart"/>
      <w:r w:rsidRPr="00007B7D">
        <w:t>importante</w:t>
      </w:r>
      <w:proofErr w:type="spellEnd"/>
      <w:r w:rsidRPr="00007B7D">
        <w:t xml:space="preserve"> a </w:t>
      </w:r>
      <w:proofErr w:type="spellStart"/>
      <w:r w:rsidRPr="00007B7D">
        <w:t>l’égard</w:t>
      </w:r>
      <w:proofErr w:type="spellEnd"/>
      <w:r w:rsidRPr="00007B7D">
        <w:t xml:space="preserve"> [</w:t>
      </w:r>
      <w:proofErr w:type="spellStart"/>
      <w:r w:rsidRPr="00007B7D">
        <w:t>d’E.A</w:t>
      </w:r>
      <w:proofErr w:type="spellEnd"/>
      <w:r w:rsidRPr="00007B7D">
        <w:t>.] »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Faits_Info_ORTC \h  \* MERGEFORMAT </w:instrText>
      </w:r>
      <w:r w:rsidRPr="00007B7D">
        <w:fldChar w:fldCharType="separate"/>
      </w:r>
      <w:r w:rsidRPr="00007B7D">
        <w:t>55</w:t>
      </w:r>
      <w:r w:rsidRPr="00007B7D">
        <w:fldChar w:fldCharType="end"/>
      </w:r>
      <w:r w:rsidRPr="00007B7D">
        <w:t xml:space="preserve"> ci-dessus).</w:t>
      </w:r>
    </w:p>
    <w:p w14:paraId="2524FA20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167</w:t>
      </w:r>
      <w:r w:rsidRPr="00007B7D">
        <w:rPr>
          <w:noProof/>
        </w:rPr>
        <w:fldChar w:fldCharType="end"/>
      </w:r>
      <w:r w:rsidRPr="00007B7D">
        <w:t xml:space="preserve">.  Elle </w:t>
      </w:r>
      <w:proofErr w:type="spellStart"/>
      <w:r w:rsidRPr="00007B7D">
        <w:t>relève</w:t>
      </w:r>
      <w:proofErr w:type="spellEnd"/>
      <w:r w:rsidRPr="00007B7D">
        <w:t xml:space="preserve">,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troisième</w:t>
      </w:r>
      <w:proofErr w:type="spellEnd"/>
      <w:r w:rsidRPr="00007B7D">
        <w:t xml:space="preserve"> lieu, que les faits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entraîné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dégradation</w:t>
      </w:r>
      <w:proofErr w:type="spellEnd"/>
      <w:r w:rsidRPr="00007B7D">
        <w:t xml:space="preserve"> progressive de la </w:t>
      </w:r>
      <w:proofErr w:type="spellStart"/>
      <w:r w:rsidRPr="00007B7D">
        <w:t>santé</w:t>
      </w:r>
      <w:proofErr w:type="spellEnd"/>
      <w:r w:rsidRPr="00007B7D">
        <w:t xml:space="preserve"> physique et </w:t>
      </w:r>
      <w:proofErr w:type="spellStart"/>
      <w:r w:rsidRPr="00007B7D">
        <w:t>mentale</w:t>
      </w:r>
      <w:proofErr w:type="spellEnd"/>
      <w:r w:rsidRPr="00007B7D">
        <w:t xml:space="preserve"> de la </w:t>
      </w:r>
      <w:proofErr w:type="spellStart"/>
      <w:r w:rsidRPr="00007B7D">
        <w:t>requérante</w:t>
      </w:r>
      <w:proofErr w:type="spellEnd"/>
      <w:r w:rsidRPr="00007B7D">
        <w:t xml:space="preserve">, au point </w:t>
      </w:r>
      <w:proofErr w:type="spellStart"/>
      <w:r w:rsidRPr="00007B7D">
        <w:t>d’entraîner</w:t>
      </w:r>
      <w:proofErr w:type="spellEnd"/>
      <w:r w:rsidRPr="00007B7D">
        <w:t xml:space="preserve"> son hospitalisation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unité</w:t>
      </w:r>
      <w:proofErr w:type="spellEnd"/>
      <w:r w:rsidRPr="00007B7D">
        <w:t xml:space="preserve"> </w:t>
      </w:r>
      <w:proofErr w:type="spellStart"/>
      <w:r w:rsidRPr="00007B7D">
        <w:t>spécialisée</w:t>
      </w:r>
      <w:proofErr w:type="spellEnd"/>
      <w:r w:rsidRPr="00007B7D">
        <w:t xml:space="preserve"> pendant </w:t>
      </w:r>
      <w:proofErr w:type="spellStart"/>
      <w:r w:rsidRPr="00007B7D">
        <w:t>plusieurs</w:t>
      </w:r>
      <w:proofErr w:type="spellEnd"/>
      <w:r w:rsidRPr="00007B7D">
        <w:t xml:space="preserve"> </w:t>
      </w:r>
      <w:proofErr w:type="spellStart"/>
      <w:r w:rsidRPr="00007B7D">
        <w:t>mois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 xml:space="preserve"> </w:t>
      </w:r>
      <w:r w:rsidRPr="00007B7D">
        <w:fldChar w:fldCharType="begin"/>
      </w:r>
      <w:r w:rsidRPr="00007B7D">
        <w:instrText xml:space="preserve"> REF Faits_Hosp \h </w:instrText>
      </w:r>
      <w:r w:rsidRPr="00007B7D">
        <w:fldChar w:fldCharType="separate"/>
      </w:r>
      <w:r w:rsidRPr="00007B7D">
        <w:rPr>
          <w:noProof/>
        </w:rPr>
        <w:t>6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Faits_PlaintePR_retentissement \h </w:instrText>
      </w:r>
      <w:r w:rsidRPr="00007B7D">
        <w:fldChar w:fldCharType="separate"/>
      </w:r>
      <w:r w:rsidRPr="00007B7D">
        <w:rPr>
          <w:noProof/>
        </w:rPr>
        <w:t>22</w:t>
      </w:r>
      <w:r w:rsidRPr="00007B7D">
        <w:fldChar w:fldCharType="end"/>
      </w:r>
      <w:r w:rsidRPr="00007B7D">
        <w:t xml:space="preserve"> ci-dessus).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proches</w:t>
      </w:r>
      <w:proofErr w:type="spellEnd"/>
      <w:r w:rsidRPr="00007B7D">
        <w:t xml:space="preserve"> et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collègues</w:t>
      </w:r>
      <w:proofErr w:type="spellEnd"/>
      <w:r w:rsidRPr="00007B7D">
        <w:t xml:space="preserve"> </w:t>
      </w:r>
      <w:proofErr w:type="spellStart"/>
      <w:r w:rsidRPr="00007B7D">
        <w:t>l’ont</w:t>
      </w:r>
      <w:proofErr w:type="spellEnd"/>
      <w:r w:rsidRPr="00007B7D">
        <w:t xml:space="preserve"> </w:t>
      </w:r>
      <w:proofErr w:type="spellStart"/>
      <w:r w:rsidRPr="00007B7D">
        <w:t>unanimement</w:t>
      </w:r>
      <w:proofErr w:type="spellEnd"/>
      <w:r w:rsidRPr="00007B7D">
        <w:t xml:space="preserve"> </w:t>
      </w:r>
      <w:proofErr w:type="spellStart"/>
      <w:r w:rsidRPr="00007B7D">
        <w:t>constaté</w:t>
      </w:r>
      <w:proofErr w:type="spellEnd"/>
      <w:r w:rsidRPr="00007B7D">
        <w:t xml:space="preserve"> (</w:t>
      </w:r>
      <w:proofErr w:type="spellStart"/>
      <w:r w:rsidRPr="00007B7D">
        <w:t>paragraphes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Faits_AUD_Collègues_faitsconstants \h </w:instrText>
      </w:r>
      <w:r w:rsidRPr="00007B7D">
        <w:fldChar w:fldCharType="separate"/>
      </w:r>
      <w:r w:rsidRPr="00007B7D">
        <w:rPr>
          <w:noProof/>
        </w:rPr>
        <w:t>30</w:t>
      </w:r>
      <w:r w:rsidRPr="00007B7D">
        <w:fldChar w:fldCharType="end"/>
      </w:r>
      <w:r w:rsidRPr="00007B7D">
        <w:t xml:space="preserve"> et </w:t>
      </w:r>
      <w:r w:rsidRPr="00007B7D">
        <w:fldChar w:fldCharType="begin"/>
      </w:r>
      <w:r w:rsidRPr="00007B7D">
        <w:instrText xml:space="preserve"> REF Faits_Aud_ProchesEA \h </w:instrText>
      </w:r>
      <w:r w:rsidRPr="00007B7D">
        <w:fldChar w:fldCharType="separate"/>
      </w:r>
      <w:r w:rsidRPr="00007B7D">
        <w:rPr>
          <w:noProof/>
        </w:rPr>
        <w:t>34</w:t>
      </w:r>
      <w:r w:rsidRPr="00007B7D">
        <w:fldChar w:fldCharType="end"/>
      </w:r>
      <w:r w:rsidRPr="00007B7D">
        <w:t xml:space="preserve"> ci-dessus) et la </w:t>
      </w:r>
      <w:proofErr w:type="spellStart"/>
      <w:r w:rsidRPr="00007B7D">
        <w:t>psychologue</w:t>
      </w:r>
      <w:proofErr w:type="spellEnd"/>
      <w:r w:rsidRPr="00007B7D">
        <w:t xml:space="preserve"> </w:t>
      </w:r>
      <w:proofErr w:type="spellStart"/>
      <w:r w:rsidRPr="00007B7D">
        <w:t>ayant</w:t>
      </w:r>
      <w:proofErr w:type="spellEnd"/>
      <w:r w:rsidRPr="00007B7D">
        <w:t xml:space="preserve"> </w:t>
      </w:r>
      <w:proofErr w:type="spellStart"/>
      <w:r w:rsidRPr="00007B7D">
        <w:t>examiné</w:t>
      </w:r>
      <w:proofErr w:type="spellEnd"/>
      <w:r w:rsidRPr="00007B7D">
        <w:t xml:space="preserve"> E.A.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cours</w:t>
      </w:r>
      <w:proofErr w:type="spellEnd"/>
      <w:r w:rsidRPr="00007B7D">
        <w:t xml:space="preserve"> </w:t>
      </w:r>
      <w:proofErr w:type="spellStart"/>
      <w:r w:rsidRPr="00007B7D">
        <w:t>d’information</w:t>
      </w:r>
      <w:proofErr w:type="spellEnd"/>
      <w:r w:rsidRPr="00007B7D">
        <w:t xml:space="preserve"> </w:t>
      </w:r>
      <w:proofErr w:type="spellStart"/>
      <w:r w:rsidRPr="00007B7D">
        <w:t>judiciaire</w:t>
      </w:r>
      <w:proofErr w:type="spellEnd"/>
      <w:r w:rsidRPr="00007B7D">
        <w:t xml:space="preserve"> </w:t>
      </w:r>
      <w:proofErr w:type="spellStart"/>
      <w:r w:rsidRPr="00007B7D">
        <w:t>l’a</w:t>
      </w:r>
      <w:proofErr w:type="spellEnd"/>
      <w:r w:rsidRPr="00007B7D">
        <w:t xml:space="preserve"> </w:t>
      </w:r>
      <w:proofErr w:type="spellStart"/>
      <w:r w:rsidRPr="00007B7D">
        <w:t>confirmé</w:t>
      </w:r>
      <w:proofErr w:type="spellEnd"/>
      <w:r w:rsidRPr="00007B7D">
        <w:t xml:space="preserve">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Faits_Info_ExpertisePsychologiqueV \h </w:instrText>
      </w:r>
      <w:r w:rsidRPr="00007B7D">
        <w:fldChar w:fldCharType="separate"/>
      </w:r>
      <w:r w:rsidRPr="00007B7D">
        <w:rPr>
          <w:rFonts w:cstheme="minorHAnsi"/>
          <w:noProof/>
        </w:rPr>
        <w:t>51</w:t>
      </w:r>
      <w:r w:rsidRPr="00007B7D">
        <w:fldChar w:fldCharType="end"/>
      </w:r>
      <w:r w:rsidRPr="00007B7D">
        <w:t xml:space="preserve"> ci-dessus). Dans un rapport </w:t>
      </w:r>
      <w:proofErr w:type="spellStart"/>
      <w:r w:rsidRPr="00007B7D">
        <w:t>d’examen</w:t>
      </w:r>
      <w:proofErr w:type="spellEnd"/>
      <w:r w:rsidRPr="00007B7D">
        <w:t xml:space="preserve"> </w:t>
      </w:r>
      <w:proofErr w:type="spellStart"/>
      <w:r w:rsidRPr="00007B7D">
        <w:t>psychiatrique</w:t>
      </w:r>
      <w:proofErr w:type="spellEnd"/>
      <w:r w:rsidRPr="00007B7D">
        <w:t xml:space="preserve"> du 18 </w:t>
      </w:r>
      <w:proofErr w:type="spellStart"/>
      <w:r w:rsidRPr="00007B7D">
        <w:t>décembre</w:t>
      </w:r>
      <w:proofErr w:type="spellEnd"/>
      <w:r w:rsidRPr="00007B7D">
        <w:t xml:space="preserve"> 2013, E.A. a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décrite</w:t>
      </w:r>
      <w:proofErr w:type="spellEnd"/>
      <w:r w:rsidRPr="00007B7D">
        <w:t xml:space="preserve"> </w:t>
      </w:r>
      <w:proofErr w:type="spellStart"/>
      <w:r w:rsidRPr="00007B7D">
        <w:t>comme</w:t>
      </w:r>
      <w:proofErr w:type="spellEnd"/>
      <w:r w:rsidRPr="00007B7D">
        <w:t xml:space="preserve"> « 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jeune</w:t>
      </w:r>
      <w:proofErr w:type="spellEnd"/>
      <w:r w:rsidRPr="00007B7D">
        <w:t xml:space="preserve"> femme </w:t>
      </w:r>
      <w:proofErr w:type="spellStart"/>
      <w:r w:rsidRPr="00007B7D">
        <w:t>détruite</w:t>
      </w:r>
      <w:proofErr w:type="spellEnd"/>
      <w:r w:rsidRPr="00007B7D">
        <w:t xml:space="preserve"> au plan de son </w:t>
      </w:r>
      <w:proofErr w:type="spellStart"/>
      <w:r w:rsidRPr="00007B7D">
        <w:t>équilibre</w:t>
      </w:r>
      <w:proofErr w:type="spellEnd"/>
      <w:r w:rsidRPr="00007B7D">
        <w:t xml:space="preserve"> </w:t>
      </w:r>
      <w:proofErr w:type="spellStart"/>
      <w:r w:rsidRPr="00007B7D">
        <w:t>psychique</w:t>
      </w:r>
      <w:proofErr w:type="spellEnd"/>
      <w:r w:rsidRPr="00007B7D">
        <w:t xml:space="preserve"> », </w:t>
      </w:r>
      <w:proofErr w:type="spellStart"/>
      <w:r w:rsidRPr="00007B7D">
        <w:t>dont</w:t>
      </w:r>
      <w:proofErr w:type="spellEnd"/>
      <w:r w:rsidRPr="00007B7D">
        <w:t xml:space="preserve"> le </w:t>
      </w:r>
      <w:proofErr w:type="spellStart"/>
      <w:r w:rsidRPr="00007B7D">
        <w:t>discours</w:t>
      </w:r>
      <w:proofErr w:type="spellEnd"/>
      <w:r w:rsidRPr="00007B7D">
        <w:t xml:space="preserve"> et la </w:t>
      </w:r>
      <w:proofErr w:type="spellStart"/>
      <w:r w:rsidRPr="00007B7D">
        <w:t>souffrance</w:t>
      </w:r>
      <w:proofErr w:type="spellEnd"/>
      <w:r w:rsidRPr="00007B7D">
        <w:t xml:space="preserve"> morale </w:t>
      </w:r>
      <w:proofErr w:type="spellStart"/>
      <w:r w:rsidRPr="00007B7D">
        <w:t>étaient</w:t>
      </w:r>
      <w:proofErr w:type="spellEnd"/>
      <w:r w:rsidRPr="00007B7D">
        <w:t xml:space="preserve"> </w:t>
      </w:r>
      <w:proofErr w:type="spellStart"/>
      <w:r w:rsidRPr="00007B7D">
        <w:t>caractéristiques</w:t>
      </w:r>
      <w:proofErr w:type="spellEnd"/>
      <w:r w:rsidRPr="00007B7D">
        <w:t xml:space="preserve"> d’un « syndrome de </w:t>
      </w:r>
      <w:proofErr w:type="spellStart"/>
      <w:r w:rsidRPr="00007B7D">
        <w:t>l’otage</w:t>
      </w:r>
      <w:proofErr w:type="spellEnd"/>
      <w:r w:rsidRPr="00007B7D">
        <w:t xml:space="preserve"> ». </w:t>
      </w:r>
      <w:proofErr w:type="spellStart"/>
      <w:r w:rsidRPr="00007B7D">
        <w:t>L’expert</w:t>
      </w:r>
      <w:proofErr w:type="spellEnd"/>
      <w:r w:rsidRPr="00007B7D">
        <w:t xml:space="preserve"> </w:t>
      </w:r>
      <w:proofErr w:type="gramStart"/>
      <w:r w:rsidRPr="00007B7D">
        <w:t>a</w:t>
      </w:r>
      <w:proofErr w:type="gram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outre</w:t>
      </w:r>
      <w:proofErr w:type="spellEnd"/>
      <w:r w:rsidRPr="00007B7D">
        <w:t xml:space="preserve"> </w:t>
      </w:r>
      <w:proofErr w:type="spellStart"/>
      <w:r w:rsidRPr="00007B7D">
        <w:t>considéré</w:t>
      </w:r>
      <w:proofErr w:type="spellEnd"/>
      <w:r w:rsidRPr="00007B7D">
        <w:t xml:space="preserve"> que </w:t>
      </w:r>
      <w:proofErr w:type="spellStart"/>
      <w:r w:rsidRPr="00007B7D">
        <w:t>cette</w:t>
      </w:r>
      <w:proofErr w:type="spellEnd"/>
      <w:r w:rsidRPr="00007B7D">
        <w:t xml:space="preserve"> </w:t>
      </w:r>
      <w:proofErr w:type="spellStart"/>
      <w:r w:rsidRPr="00007B7D">
        <w:t>fragilité</w:t>
      </w:r>
      <w:proofErr w:type="spellEnd"/>
      <w:r w:rsidRPr="00007B7D">
        <w:t xml:space="preserve"> </w:t>
      </w:r>
      <w:proofErr w:type="spellStart"/>
      <w:r w:rsidRPr="00007B7D">
        <w:t>était</w:t>
      </w:r>
      <w:proofErr w:type="spellEnd"/>
      <w:r w:rsidRPr="00007B7D">
        <w:t xml:space="preserve"> </w:t>
      </w:r>
      <w:proofErr w:type="spellStart"/>
      <w:r w:rsidRPr="00007B7D">
        <w:t>connue</w:t>
      </w:r>
      <w:proofErr w:type="spellEnd"/>
      <w:r w:rsidRPr="00007B7D">
        <w:t xml:space="preserve"> de K.B. Pour la </w:t>
      </w:r>
      <w:proofErr w:type="spellStart"/>
      <w:r w:rsidRPr="00007B7D">
        <w:t>Cour</w:t>
      </w:r>
      <w:proofErr w:type="spellEnd"/>
      <w:r w:rsidRPr="00007B7D">
        <w:t xml:space="preserve">, </w:t>
      </w:r>
      <w:proofErr w:type="spellStart"/>
      <w:r w:rsidRPr="00007B7D">
        <w:t>ces</w:t>
      </w:r>
      <w:proofErr w:type="spellEnd"/>
      <w:r w:rsidRPr="00007B7D">
        <w:t xml:space="preserve"> </w:t>
      </w:r>
      <w:proofErr w:type="spellStart"/>
      <w:r w:rsidRPr="00007B7D">
        <w:t>éléments</w:t>
      </w:r>
      <w:proofErr w:type="spellEnd"/>
      <w:r w:rsidRPr="00007B7D">
        <w:t xml:space="preserve"> </w:t>
      </w:r>
      <w:proofErr w:type="spellStart"/>
      <w:r w:rsidRPr="00007B7D">
        <w:t>caractérisent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fragilité</w:t>
      </w:r>
      <w:proofErr w:type="spellEnd"/>
      <w:r w:rsidRPr="00007B7D">
        <w:t xml:space="preserve"> </w:t>
      </w:r>
      <w:proofErr w:type="spellStart"/>
      <w:r w:rsidRPr="00007B7D">
        <w:t>psychique</w:t>
      </w:r>
      <w:proofErr w:type="spellEnd"/>
      <w:r w:rsidRPr="00007B7D">
        <w:t xml:space="preserve"> majeure, qui a </w:t>
      </w:r>
      <w:proofErr w:type="spellStart"/>
      <w:r w:rsidRPr="00007B7D">
        <w:t>rendu</w:t>
      </w:r>
      <w:proofErr w:type="spellEnd"/>
      <w:r w:rsidRPr="00007B7D">
        <w:t xml:space="preserve"> E.A. de plus </w:t>
      </w:r>
      <w:proofErr w:type="spellStart"/>
      <w:r w:rsidRPr="00007B7D">
        <w:t>en</w:t>
      </w:r>
      <w:proofErr w:type="spellEnd"/>
      <w:r w:rsidRPr="00007B7D">
        <w:t xml:space="preserve"> plus </w:t>
      </w:r>
      <w:proofErr w:type="spellStart"/>
      <w:r w:rsidRPr="00007B7D">
        <w:t>vulnérable</w:t>
      </w:r>
      <w:proofErr w:type="spellEnd"/>
      <w:r w:rsidRPr="00007B7D">
        <w:t xml:space="preserve"> au fil du temps.</w:t>
      </w:r>
    </w:p>
    <w:p w14:paraId="169C7452" w14:textId="77777777" w:rsidR="005D5C86" w:rsidRPr="00007B7D" w:rsidRDefault="005D5C86" w:rsidP="005D5C86">
      <w:pPr>
        <w:pStyle w:val="ECHRPara"/>
      </w:pPr>
      <w:r w:rsidRPr="00007B7D">
        <w:lastRenderedPageBreak/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168</w:t>
      </w:r>
      <w:r w:rsidRPr="00007B7D">
        <w:rPr>
          <w:noProof/>
        </w:rPr>
        <w:fldChar w:fldCharType="end"/>
      </w:r>
      <w:r w:rsidRPr="00007B7D">
        <w:t xml:space="preserve">.  Or, la </w:t>
      </w:r>
      <w:proofErr w:type="spellStart"/>
      <w:r w:rsidRPr="00007B7D">
        <w:t>Cour</w:t>
      </w:r>
      <w:proofErr w:type="spellEnd"/>
      <w:r w:rsidRPr="00007B7D">
        <w:t xml:space="preserve"> constate que, dans </w:t>
      </w:r>
      <w:proofErr w:type="spellStart"/>
      <w:r w:rsidRPr="00007B7D">
        <w:t>leur</w:t>
      </w:r>
      <w:proofErr w:type="spellEnd"/>
      <w:r w:rsidRPr="00007B7D">
        <w:t xml:space="preserve"> </w:t>
      </w:r>
      <w:proofErr w:type="spellStart"/>
      <w:r w:rsidRPr="00007B7D">
        <w:t>appréciation</w:t>
      </w:r>
      <w:proofErr w:type="spellEnd"/>
      <w:r w:rsidRPr="00007B7D">
        <w:t xml:space="preserve"> du </w:t>
      </w:r>
      <w:proofErr w:type="spellStart"/>
      <w:r w:rsidRPr="00007B7D">
        <w:t>comportement</w:t>
      </w:r>
      <w:proofErr w:type="spellEnd"/>
      <w:r w:rsidRPr="00007B7D">
        <w:t xml:space="preserve"> et du </w:t>
      </w:r>
      <w:proofErr w:type="spellStart"/>
      <w:r w:rsidRPr="00007B7D">
        <w:t>consentement</w:t>
      </w:r>
      <w:proofErr w:type="spellEnd"/>
      <w:r w:rsidRPr="00007B7D">
        <w:t xml:space="preserve"> de la </w:t>
      </w:r>
      <w:proofErr w:type="spellStart"/>
      <w:r w:rsidRPr="00007B7D">
        <w:t>requérante</w:t>
      </w:r>
      <w:proofErr w:type="spellEnd"/>
      <w:r w:rsidRPr="00007B7D">
        <w:t xml:space="preserve">, les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</w:t>
      </w:r>
      <w:proofErr w:type="spellStart"/>
      <w:r w:rsidRPr="00007B7D">
        <w:t>omis</w:t>
      </w:r>
      <w:proofErr w:type="spellEnd"/>
      <w:r w:rsidRPr="00007B7D">
        <w:t xml:space="preserve"> de </w:t>
      </w:r>
      <w:proofErr w:type="spellStart"/>
      <w:r w:rsidRPr="00007B7D">
        <w:t>procéder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évaluation</w:t>
      </w:r>
      <w:proofErr w:type="spellEnd"/>
      <w:r w:rsidRPr="00007B7D">
        <w:t xml:space="preserve"> </w:t>
      </w:r>
      <w:proofErr w:type="spellStart"/>
      <w:r w:rsidRPr="00007B7D">
        <w:t>contextuelle</w:t>
      </w:r>
      <w:proofErr w:type="spellEnd"/>
      <w:r w:rsidRPr="00007B7D">
        <w:t xml:space="preserve"> tenant </w:t>
      </w:r>
      <w:proofErr w:type="spellStart"/>
      <w:r w:rsidRPr="00007B7D">
        <w:t>compte</w:t>
      </w:r>
      <w:proofErr w:type="spellEnd"/>
      <w:r w:rsidRPr="00007B7D">
        <w:t xml:space="preserve"> de </w:t>
      </w:r>
      <w:proofErr w:type="spellStart"/>
      <w:r w:rsidRPr="00007B7D">
        <w:t>l’ensemble</w:t>
      </w:r>
      <w:proofErr w:type="spellEnd"/>
      <w:r w:rsidRPr="00007B7D">
        <w:t xml:space="preserve"> des </w:t>
      </w:r>
      <w:proofErr w:type="spellStart"/>
      <w:r w:rsidRPr="00007B7D">
        <w:t>circonstances</w:t>
      </w:r>
      <w:proofErr w:type="spellEnd"/>
      <w:r w:rsidRPr="00007B7D">
        <w:t xml:space="preserve"> </w:t>
      </w:r>
      <w:proofErr w:type="spellStart"/>
      <w:r w:rsidRPr="00007B7D">
        <w:t>environnantes</w:t>
      </w:r>
      <w:proofErr w:type="spellEnd"/>
      <w:r w:rsidRPr="00007B7D">
        <w:t xml:space="preserve"> </w:t>
      </w:r>
      <w:proofErr w:type="spellStart"/>
      <w:proofErr w:type="gramStart"/>
      <w:r w:rsidRPr="00007B7D">
        <w:t>précitées</w:t>
      </w:r>
      <w:proofErr w:type="spellEnd"/>
      <w:r w:rsidRPr="00007B7D">
        <w:t> :</w:t>
      </w:r>
      <w:proofErr w:type="gramEnd"/>
      <w:r w:rsidRPr="00007B7D">
        <w:t xml:space="preserve"> </w:t>
      </w:r>
      <w:proofErr w:type="spellStart"/>
      <w:r w:rsidRPr="00007B7D">
        <w:t>elles</w:t>
      </w:r>
      <w:proofErr w:type="spellEnd"/>
      <w:r w:rsidRPr="00007B7D">
        <w:t xml:space="preserve"> </w:t>
      </w:r>
      <w:proofErr w:type="spellStart"/>
      <w:r w:rsidRPr="00007B7D">
        <w:t>n’ont</w:t>
      </w:r>
      <w:proofErr w:type="spellEnd"/>
      <w:r w:rsidRPr="00007B7D">
        <w:t xml:space="preserve"> pris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considération</w:t>
      </w:r>
      <w:proofErr w:type="spellEnd"/>
      <w:r w:rsidRPr="00007B7D">
        <w:t xml:space="preserve"> </w:t>
      </w:r>
      <w:proofErr w:type="spellStart"/>
      <w:r w:rsidRPr="00007B7D">
        <w:t>ni</w:t>
      </w:r>
      <w:proofErr w:type="spellEnd"/>
      <w:r w:rsidRPr="00007B7D">
        <w:t xml:space="preserve"> la situation de </w:t>
      </w:r>
      <w:proofErr w:type="spellStart"/>
      <w:r w:rsidRPr="00007B7D">
        <w:t>vulnérabilité</w:t>
      </w:r>
      <w:proofErr w:type="spellEnd"/>
      <w:r w:rsidRPr="00007B7D">
        <w:t xml:space="preserve"> </w:t>
      </w:r>
      <w:proofErr w:type="spellStart"/>
      <w:r w:rsidRPr="00007B7D">
        <w:t>professionnelle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., </w:t>
      </w:r>
      <w:proofErr w:type="spellStart"/>
      <w:r w:rsidRPr="00007B7D">
        <w:t>ni</w:t>
      </w:r>
      <w:proofErr w:type="spellEnd"/>
      <w:r w:rsidRPr="00007B7D">
        <w:t xml:space="preserve"> le </w:t>
      </w:r>
      <w:proofErr w:type="spellStart"/>
      <w:r w:rsidRPr="00007B7D">
        <w:t>comportement</w:t>
      </w:r>
      <w:proofErr w:type="spellEnd"/>
      <w:r w:rsidRPr="00007B7D">
        <w:t xml:space="preserve"> de </w:t>
      </w:r>
      <w:proofErr w:type="spellStart"/>
      <w:r w:rsidRPr="00007B7D">
        <w:t>contrôle</w:t>
      </w:r>
      <w:proofErr w:type="spellEnd"/>
      <w:r w:rsidRPr="00007B7D">
        <w:t xml:space="preserve"> </w:t>
      </w:r>
      <w:proofErr w:type="spellStart"/>
      <w:r w:rsidRPr="00007B7D">
        <w:t>coercitif</w:t>
      </w:r>
      <w:proofErr w:type="spellEnd"/>
      <w:r w:rsidRPr="00007B7D">
        <w:t xml:space="preserve"> </w:t>
      </w:r>
      <w:proofErr w:type="spellStart"/>
      <w:r w:rsidRPr="00007B7D">
        <w:t>auquel</w:t>
      </w:r>
      <w:proofErr w:type="spellEnd"/>
      <w:r w:rsidRPr="00007B7D">
        <w:t xml:space="preserve">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était</w:t>
      </w:r>
      <w:proofErr w:type="spellEnd"/>
      <w:r w:rsidRPr="00007B7D">
        <w:t xml:space="preserve"> </w:t>
      </w:r>
      <w:proofErr w:type="spellStart"/>
      <w:r w:rsidRPr="00007B7D">
        <w:t>exposée</w:t>
      </w:r>
      <w:proofErr w:type="spellEnd"/>
      <w:r w:rsidRPr="00007B7D">
        <w:t xml:space="preserve"> dans </w:t>
      </w:r>
      <w:proofErr w:type="spellStart"/>
      <w:r w:rsidRPr="00007B7D">
        <w:t>l’intimité</w:t>
      </w:r>
      <w:proofErr w:type="spellEnd"/>
      <w:r w:rsidRPr="00007B7D">
        <w:t xml:space="preserve">, </w:t>
      </w:r>
      <w:proofErr w:type="spellStart"/>
      <w:r w:rsidRPr="00007B7D">
        <w:t>ni</w:t>
      </w:r>
      <w:proofErr w:type="spellEnd"/>
      <w:r w:rsidRPr="00007B7D">
        <w:t xml:space="preserve"> la </w:t>
      </w:r>
      <w:proofErr w:type="spellStart"/>
      <w:r w:rsidRPr="00007B7D">
        <w:t>dégradation</w:t>
      </w:r>
      <w:proofErr w:type="spellEnd"/>
      <w:r w:rsidRPr="00007B7D">
        <w:t xml:space="preserve"> progressive et majeure de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santé</w:t>
      </w:r>
      <w:proofErr w:type="spellEnd"/>
      <w:r w:rsidRPr="00007B7D">
        <w:t xml:space="preserve"> </w:t>
      </w:r>
      <w:proofErr w:type="spellStart"/>
      <w:r w:rsidRPr="00007B7D">
        <w:t>mentale</w:t>
      </w:r>
      <w:proofErr w:type="spellEnd"/>
      <w:r w:rsidRPr="00007B7D">
        <w:t>.</w:t>
      </w:r>
    </w:p>
    <w:p w14:paraId="0B272756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169</w:t>
      </w:r>
      <w:r w:rsidRPr="00007B7D">
        <w:rPr>
          <w:noProof/>
        </w:rPr>
        <w:fldChar w:fldCharType="end"/>
      </w:r>
      <w:r w:rsidRPr="00007B7D">
        <w:t xml:space="preserve">.  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réaffirme</w:t>
      </w:r>
      <w:proofErr w:type="spellEnd"/>
      <w:r w:rsidRPr="00007B7D">
        <w:t xml:space="preserve"> que le </w:t>
      </w:r>
      <w:proofErr w:type="spellStart"/>
      <w:r w:rsidRPr="00007B7D">
        <w:t>consentement</w:t>
      </w:r>
      <w:proofErr w:type="spellEnd"/>
      <w:r w:rsidRPr="00007B7D">
        <w:t xml:space="preserve"> doit </w:t>
      </w:r>
      <w:proofErr w:type="spellStart"/>
      <w:r w:rsidRPr="00007B7D">
        <w:t>traduire</w:t>
      </w:r>
      <w:proofErr w:type="spellEnd"/>
      <w:r w:rsidRPr="00007B7D">
        <w:t xml:space="preserve"> la libre </w:t>
      </w:r>
      <w:proofErr w:type="spellStart"/>
      <w:r w:rsidRPr="00007B7D">
        <w:t>volonté</w:t>
      </w:r>
      <w:proofErr w:type="spellEnd"/>
      <w:r w:rsidRPr="00007B7D">
        <w:t xml:space="preserve"> </w:t>
      </w:r>
      <w:proofErr w:type="spellStart"/>
      <w:r w:rsidRPr="00007B7D">
        <w:t>d’avoir</w:t>
      </w:r>
      <w:proofErr w:type="spellEnd"/>
      <w:r w:rsidRPr="00007B7D">
        <w:t xml:space="preserve"> </w:t>
      </w:r>
      <w:proofErr w:type="spellStart"/>
      <w:r w:rsidRPr="00007B7D">
        <w:t>une</w:t>
      </w:r>
      <w:proofErr w:type="spellEnd"/>
      <w:r w:rsidRPr="00007B7D">
        <w:t xml:space="preserve"> relation </w:t>
      </w:r>
      <w:proofErr w:type="spellStart"/>
      <w:r w:rsidRPr="00007B7D">
        <w:t>sexuelle</w:t>
      </w:r>
      <w:proofErr w:type="spellEnd"/>
      <w:r w:rsidRPr="00007B7D">
        <w:t xml:space="preserve"> </w:t>
      </w:r>
      <w:proofErr w:type="spellStart"/>
      <w:r w:rsidRPr="00007B7D">
        <w:t>déterminée</w:t>
      </w:r>
      <w:proofErr w:type="spellEnd"/>
      <w:r w:rsidRPr="00007B7D">
        <w:t xml:space="preserve">, au moment </w:t>
      </w:r>
      <w:proofErr w:type="spellStart"/>
      <w:r w:rsidRPr="00007B7D">
        <w:t>où</w:t>
      </w:r>
      <w:proofErr w:type="spellEnd"/>
      <w:r w:rsidRPr="00007B7D">
        <w:t xml:space="preserve"> </w:t>
      </w:r>
      <w:proofErr w:type="spellStart"/>
      <w:r w:rsidRPr="00007B7D">
        <w:t>elle</w:t>
      </w:r>
      <w:proofErr w:type="spellEnd"/>
      <w:r w:rsidRPr="00007B7D">
        <w:t xml:space="preserve"> </w:t>
      </w:r>
      <w:proofErr w:type="spellStart"/>
      <w:r w:rsidRPr="00007B7D">
        <w:t>intervient</w:t>
      </w:r>
      <w:proofErr w:type="spellEnd"/>
      <w:r w:rsidRPr="00007B7D">
        <w:t xml:space="preserve"> et </w:t>
      </w:r>
      <w:proofErr w:type="spellStart"/>
      <w:r w:rsidRPr="00007B7D">
        <w:t>en</w:t>
      </w:r>
      <w:proofErr w:type="spellEnd"/>
      <w:r w:rsidRPr="00007B7D">
        <w:t xml:space="preserve"> tenant </w:t>
      </w:r>
      <w:proofErr w:type="spellStart"/>
      <w:r w:rsidRPr="00007B7D">
        <w:t>compte</w:t>
      </w:r>
      <w:proofErr w:type="spellEnd"/>
      <w:r w:rsidRPr="00007B7D">
        <w:t xml:space="preserve"> de </w:t>
      </w:r>
      <w:proofErr w:type="spellStart"/>
      <w:r w:rsidRPr="00007B7D">
        <w:t>ses</w:t>
      </w:r>
      <w:proofErr w:type="spellEnd"/>
      <w:r w:rsidRPr="00007B7D">
        <w:t xml:space="preserve"> </w:t>
      </w:r>
      <w:proofErr w:type="spellStart"/>
      <w:r w:rsidRPr="00007B7D">
        <w:t>circonstances</w:t>
      </w:r>
      <w:proofErr w:type="spellEnd"/>
      <w:r w:rsidRPr="00007B7D">
        <w:t xml:space="preserve"> (</w:t>
      </w:r>
      <w:r w:rsidRPr="00007B7D">
        <w:rPr>
          <w:i/>
          <w:iCs/>
        </w:rPr>
        <w:t>H.W.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91). </w:t>
      </w:r>
      <w:proofErr w:type="spellStart"/>
      <w:r w:rsidRPr="00007B7D">
        <w:t>Dès</w:t>
      </w:r>
      <w:proofErr w:type="spellEnd"/>
      <w:r w:rsidRPr="00007B7D">
        <w:t xml:space="preserve"> </w:t>
      </w:r>
      <w:proofErr w:type="spellStart"/>
      <w:r w:rsidRPr="00007B7D">
        <w:t>lors</w:t>
      </w:r>
      <w:proofErr w:type="spellEnd"/>
      <w:r w:rsidRPr="00007B7D">
        <w:t xml:space="preserve">, </w:t>
      </w:r>
      <w:proofErr w:type="spellStart"/>
      <w:r w:rsidRPr="00007B7D">
        <w:t>aucune</w:t>
      </w:r>
      <w:proofErr w:type="spellEnd"/>
      <w:r w:rsidRPr="00007B7D">
        <w:t xml:space="preserve"> </w:t>
      </w:r>
      <w:proofErr w:type="spellStart"/>
      <w:r w:rsidRPr="00007B7D">
        <w:t>forme</w:t>
      </w:r>
      <w:proofErr w:type="spellEnd"/>
      <w:r w:rsidRPr="00007B7D">
        <w:t xml:space="preserve"> </w:t>
      </w:r>
      <w:proofErr w:type="spellStart"/>
      <w:r w:rsidRPr="00007B7D">
        <w:t>d’engagement</w:t>
      </w:r>
      <w:proofErr w:type="spellEnd"/>
      <w:r w:rsidRPr="00007B7D">
        <w:t xml:space="preserve"> passé – y </w:t>
      </w:r>
      <w:proofErr w:type="spellStart"/>
      <w:r w:rsidRPr="00007B7D">
        <w:t>compris</w:t>
      </w:r>
      <w:proofErr w:type="spellEnd"/>
      <w:r w:rsidRPr="00007B7D">
        <w:t xml:space="preserve"> sous la </w:t>
      </w:r>
      <w:proofErr w:type="spellStart"/>
      <w:r w:rsidRPr="00007B7D">
        <w:t>forme</w:t>
      </w:r>
      <w:proofErr w:type="spellEnd"/>
      <w:r w:rsidRPr="00007B7D">
        <w:t xml:space="preserve"> d’un </w:t>
      </w:r>
      <w:proofErr w:type="spellStart"/>
      <w:r w:rsidRPr="00007B7D">
        <w:t>contrat</w:t>
      </w:r>
      <w:proofErr w:type="spellEnd"/>
      <w:r w:rsidRPr="00007B7D">
        <w:t xml:space="preserve"> </w:t>
      </w:r>
      <w:proofErr w:type="spellStart"/>
      <w:r w:rsidRPr="00007B7D">
        <w:t>écrit</w:t>
      </w:r>
      <w:proofErr w:type="spellEnd"/>
      <w:r w:rsidRPr="00007B7D">
        <w:t xml:space="preserve"> – </w:t>
      </w:r>
      <w:proofErr w:type="spellStart"/>
      <w:r w:rsidRPr="00007B7D">
        <w:t>n’est</w:t>
      </w:r>
      <w:proofErr w:type="spellEnd"/>
      <w:r w:rsidRPr="00007B7D">
        <w:t xml:space="preserve"> susceptible de </w:t>
      </w:r>
      <w:proofErr w:type="spellStart"/>
      <w:r w:rsidRPr="00007B7D">
        <w:t>caractériser</w:t>
      </w:r>
      <w:proofErr w:type="spellEnd"/>
      <w:r w:rsidRPr="00007B7D">
        <w:t xml:space="preserve"> un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actuel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pratique </w:t>
      </w:r>
      <w:proofErr w:type="spellStart"/>
      <w:r w:rsidRPr="00007B7D">
        <w:t>sexuelle</w:t>
      </w:r>
      <w:proofErr w:type="spellEnd"/>
      <w:r w:rsidRPr="00007B7D">
        <w:t xml:space="preserve"> </w:t>
      </w:r>
      <w:proofErr w:type="spellStart"/>
      <w:r w:rsidRPr="00007B7D">
        <w:t>déterminée</w:t>
      </w:r>
      <w:proofErr w:type="spellEnd"/>
      <w:r w:rsidRPr="00007B7D">
        <w:t xml:space="preserve">, le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étant</w:t>
      </w:r>
      <w:proofErr w:type="spellEnd"/>
      <w:r w:rsidRPr="00007B7D">
        <w:t xml:space="preserve"> par nature </w:t>
      </w:r>
      <w:proofErr w:type="spellStart"/>
      <w:r w:rsidRPr="00007B7D">
        <w:t>révocable</w:t>
      </w:r>
      <w:proofErr w:type="spellEnd"/>
      <w:r w:rsidRPr="00007B7D">
        <w:t xml:space="preserve">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d’appel</w:t>
      </w:r>
      <w:proofErr w:type="spellEnd"/>
      <w:r w:rsidRPr="00007B7D">
        <w:t xml:space="preserve"> de Nancy ne </w:t>
      </w:r>
      <w:proofErr w:type="spellStart"/>
      <w:r w:rsidRPr="00007B7D">
        <w:t>pouvait</w:t>
      </w:r>
      <w:proofErr w:type="spellEnd"/>
      <w:r w:rsidRPr="00007B7D">
        <w:t xml:space="preserve"> </w:t>
      </w:r>
      <w:proofErr w:type="spellStart"/>
      <w:r w:rsidRPr="00007B7D">
        <w:t>donc</w:t>
      </w:r>
      <w:proofErr w:type="spellEnd"/>
      <w:r w:rsidRPr="00007B7D">
        <w:t xml:space="preserve"> </w:t>
      </w:r>
      <w:proofErr w:type="spellStart"/>
      <w:r w:rsidRPr="00007B7D">
        <w:t>s’appuyer</w:t>
      </w:r>
      <w:proofErr w:type="spellEnd"/>
      <w:r w:rsidRPr="00007B7D">
        <w:t xml:space="preserve"> sur la signature du « </w:t>
      </w:r>
      <w:proofErr w:type="spellStart"/>
      <w:r w:rsidRPr="00007B7D">
        <w:t>contrat</w:t>
      </w:r>
      <w:proofErr w:type="spellEnd"/>
      <w:r w:rsidRPr="00007B7D">
        <w:t xml:space="preserve"> » </w:t>
      </w:r>
      <w:proofErr w:type="spellStart"/>
      <w:r w:rsidRPr="00007B7D">
        <w:t>établi</w:t>
      </w:r>
      <w:proofErr w:type="spellEnd"/>
      <w:r w:rsidRPr="00007B7D">
        <w:t xml:space="preserve"> entre K.B. et E.A. pour </w:t>
      </w:r>
      <w:proofErr w:type="spellStart"/>
      <w:r w:rsidRPr="00007B7D">
        <w:t>considérer</w:t>
      </w:r>
      <w:proofErr w:type="spellEnd"/>
      <w:r w:rsidRPr="00007B7D">
        <w:t xml:space="preserve"> que </w:t>
      </w:r>
      <w:proofErr w:type="spellStart"/>
      <w:r w:rsidRPr="00007B7D">
        <w:t>celle</w:t>
      </w:r>
      <w:proofErr w:type="spellEnd"/>
      <w:r w:rsidRPr="00007B7D">
        <w:t xml:space="preserve">-ci </w:t>
      </w:r>
      <w:proofErr w:type="spellStart"/>
      <w:r w:rsidRPr="00007B7D">
        <w:t>était</w:t>
      </w:r>
      <w:proofErr w:type="spellEnd"/>
      <w:r w:rsidRPr="00007B7D">
        <w:t xml:space="preserve"> </w:t>
      </w:r>
      <w:proofErr w:type="spellStart"/>
      <w:r w:rsidRPr="00007B7D">
        <w:t>réputée</w:t>
      </w:r>
      <w:proofErr w:type="spellEnd"/>
      <w:r w:rsidRPr="00007B7D">
        <w:t xml:space="preserve"> </w:t>
      </w:r>
      <w:proofErr w:type="spellStart"/>
      <w:r w:rsidRPr="00007B7D">
        <w:t>avoir</w:t>
      </w:r>
      <w:proofErr w:type="spellEnd"/>
      <w:r w:rsidRPr="00007B7D">
        <w:t xml:space="preserve"> </w:t>
      </w:r>
      <w:proofErr w:type="spellStart"/>
      <w:r w:rsidRPr="00007B7D">
        <w:t>consenti</w:t>
      </w:r>
      <w:proofErr w:type="spellEnd"/>
      <w:r w:rsidRPr="00007B7D">
        <w:t xml:space="preserve"> à </w:t>
      </w:r>
      <w:proofErr w:type="spellStart"/>
      <w:r w:rsidRPr="00007B7D">
        <w:t>l’ensemble</w:t>
      </w:r>
      <w:proofErr w:type="spellEnd"/>
      <w:r w:rsidRPr="00007B7D">
        <w:t xml:space="preserve"> des pratiques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violentes</w:t>
      </w:r>
      <w:proofErr w:type="spellEnd"/>
      <w:r w:rsidRPr="00007B7D">
        <w:t xml:space="preserve"> qui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avaient</w:t>
      </w:r>
      <w:proofErr w:type="spellEnd"/>
      <w:r w:rsidRPr="00007B7D">
        <w:t xml:space="preserve"> </w:t>
      </w:r>
      <w:proofErr w:type="spellStart"/>
      <w:r w:rsidRPr="00007B7D">
        <w:t>ultérieurement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infligées</w:t>
      </w:r>
      <w:proofErr w:type="spellEnd"/>
      <w:r w:rsidRPr="00007B7D">
        <w:t xml:space="preserve"> (</w:t>
      </w:r>
      <w:proofErr w:type="spellStart"/>
      <w:r w:rsidRPr="00007B7D">
        <w:t>voir</w:t>
      </w:r>
      <w:proofErr w:type="spellEnd"/>
      <w:r w:rsidRPr="00007B7D">
        <w:t xml:space="preserve">, </w:t>
      </w:r>
      <w:proofErr w:type="spellStart"/>
      <w:r w:rsidRPr="00007B7D">
        <w:t>également</w:t>
      </w:r>
      <w:proofErr w:type="spellEnd"/>
      <w:r w:rsidRPr="00007B7D">
        <w:t xml:space="preserve">, </w:t>
      </w:r>
      <w:r w:rsidRPr="00007B7D">
        <w:rPr>
          <w:i/>
          <w:iCs/>
        </w:rPr>
        <w:t xml:space="preserve">mutatis </w:t>
      </w:r>
      <w:proofErr w:type="spellStart"/>
      <w:r w:rsidRPr="00007B7D">
        <w:rPr>
          <w:i/>
          <w:iCs/>
        </w:rPr>
        <w:t>mutantis</w:t>
      </w:r>
      <w:proofErr w:type="spellEnd"/>
      <w:r w:rsidRPr="00007B7D">
        <w:t xml:space="preserve">, </w:t>
      </w:r>
      <w:r w:rsidRPr="00007B7D">
        <w:rPr>
          <w:i/>
          <w:iCs/>
        </w:rPr>
        <w:t>X c. Chypre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 xml:space="preserve">, § 119). Il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incombait</w:t>
      </w:r>
      <w:proofErr w:type="spellEnd"/>
      <w:r w:rsidRPr="00007B7D">
        <w:t xml:space="preserve"> au contraire, sans </w:t>
      </w:r>
      <w:proofErr w:type="spellStart"/>
      <w:r w:rsidRPr="00007B7D">
        <w:t>tenir</w:t>
      </w:r>
      <w:proofErr w:type="spellEnd"/>
      <w:r w:rsidRPr="00007B7D">
        <w:t xml:space="preserve"> </w:t>
      </w:r>
      <w:proofErr w:type="spellStart"/>
      <w:r w:rsidRPr="00007B7D">
        <w:t>aucun</w:t>
      </w:r>
      <w:proofErr w:type="spellEnd"/>
      <w:r w:rsidRPr="00007B7D">
        <w:t xml:space="preserve"> </w:t>
      </w:r>
      <w:proofErr w:type="spellStart"/>
      <w:r w:rsidRPr="00007B7D">
        <w:t>compte</w:t>
      </w:r>
      <w:proofErr w:type="spellEnd"/>
      <w:r w:rsidRPr="00007B7D">
        <w:t xml:space="preserve"> de </w:t>
      </w:r>
      <w:proofErr w:type="spellStart"/>
      <w:r w:rsidRPr="00007B7D">
        <w:t>ce</w:t>
      </w:r>
      <w:proofErr w:type="spellEnd"/>
      <w:r w:rsidRPr="00007B7D">
        <w:t xml:space="preserve"> document, </w:t>
      </w:r>
      <w:proofErr w:type="spellStart"/>
      <w:r w:rsidRPr="00007B7D">
        <w:t>d’examiner</w:t>
      </w:r>
      <w:proofErr w:type="spellEnd"/>
      <w:r w:rsidRPr="00007B7D">
        <w:t xml:space="preserve"> les </w:t>
      </w:r>
      <w:proofErr w:type="spellStart"/>
      <w:r w:rsidRPr="00007B7D">
        <w:t>allégations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</w:t>
      </w:r>
      <w:proofErr w:type="spellStart"/>
      <w:r w:rsidRPr="00007B7D">
        <w:t>selon</w:t>
      </w:r>
      <w:proofErr w:type="spellEnd"/>
      <w:r w:rsidRPr="00007B7D">
        <w:t xml:space="preserve"> </w:t>
      </w:r>
      <w:proofErr w:type="spellStart"/>
      <w:r w:rsidRPr="00007B7D">
        <w:t>lesquelles</w:t>
      </w:r>
      <w:proofErr w:type="spellEnd"/>
      <w:r w:rsidRPr="00007B7D">
        <w:t xml:space="preserve"> </w:t>
      </w:r>
      <w:proofErr w:type="spellStart"/>
      <w:r w:rsidRPr="00007B7D">
        <w:t>certains</w:t>
      </w:r>
      <w:proofErr w:type="spellEnd"/>
      <w:r w:rsidRPr="00007B7D">
        <w:t xml:space="preserve">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</w:t>
      </w:r>
      <w:proofErr w:type="spellStart"/>
      <w:r w:rsidRPr="00007B7D">
        <w:t>avaient</w:t>
      </w:r>
      <w:proofErr w:type="spellEnd"/>
      <w:r w:rsidRPr="00007B7D">
        <w:t xml:space="preserve"> </w:t>
      </w:r>
      <w:proofErr w:type="spellStart"/>
      <w:r w:rsidRPr="00007B7D">
        <w:t>été</w:t>
      </w:r>
      <w:proofErr w:type="spellEnd"/>
      <w:r w:rsidRPr="00007B7D">
        <w:t xml:space="preserve"> commis </w:t>
      </w:r>
      <w:proofErr w:type="spellStart"/>
      <w:r w:rsidRPr="00007B7D">
        <w:t>contre</w:t>
      </w:r>
      <w:proofErr w:type="spellEnd"/>
      <w:r w:rsidRPr="00007B7D">
        <w:t xml:space="preserve"> son </w:t>
      </w:r>
      <w:proofErr w:type="spellStart"/>
      <w:r w:rsidRPr="00007B7D">
        <w:t>gré</w:t>
      </w:r>
      <w:proofErr w:type="spellEnd"/>
      <w:r w:rsidRPr="00007B7D">
        <w:t xml:space="preserve"> </w:t>
      </w:r>
      <w:proofErr w:type="spellStart"/>
      <w:r w:rsidRPr="00007B7D">
        <w:t>ou</w:t>
      </w:r>
      <w:proofErr w:type="spellEnd"/>
      <w:r w:rsidRPr="00007B7D">
        <w:t xml:space="preserve"> </w:t>
      </w:r>
      <w:proofErr w:type="spellStart"/>
      <w:r w:rsidRPr="00007B7D">
        <w:t>s’étaient</w:t>
      </w:r>
      <w:proofErr w:type="spellEnd"/>
      <w:r w:rsidRPr="00007B7D">
        <w:t xml:space="preserve"> </w:t>
      </w:r>
      <w:proofErr w:type="spellStart"/>
      <w:r w:rsidRPr="00007B7D">
        <w:t>poursuivis</w:t>
      </w:r>
      <w:proofErr w:type="spellEnd"/>
      <w:r w:rsidRPr="00007B7D">
        <w:t xml:space="preserve"> </w:t>
      </w:r>
      <w:proofErr w:type="spellStart"/>
      <w:r w:rsidRPr="00007B7D">
        <w:t>alors</w:t>
      </w:r>
      <w:proofErr w:type="spellEnd"/>
      <w:r w:rsidRPr="00007B7D">
        <w:t xml:space="preserve"> </w:t>
      </w:r>
      <w:proofErr w:type="spellStart"/>
      <w:r w:rsidRPr="00007B7D">
        <w:t>même</w:t>
      </w:r>
      <w:proofErr w:type="spellEnd"/>
      <w:r w:rsidRPr="00007B7D">
        <w:t xml:space="preserve"> </w:t>
      </w:r>
      <w:proofErr w:type="spellStart"/>
      <w:r w:rsidRPr="00007B7D">
        <w:t>qu’elle</w:t>
      </w:r>
      <w:proofErr w:type="spellEnd"/>
      <w:r w:rsidRPr="00007B7D">
        <w:t xml:space="preserve"> </w:t>
      </w:r>
      <w:proofErr w:type="spellStart"/>
      <w:r w:rsidRPr="00007B7D">
        <w:t>avait</w:t>
      </w:r>
      <w:proofErr w:type="spellEnd"/>
      <w:r w:rsidRPr="00007B7D">
        <w:t xml:space="preserve"> </w:t>
      </w:r>
      <w:proofErr w:type="spellStart"/>
      <w:r w:rsidRPr="00007B7D">
        <w:t>supplié</w:t>
      </w:r>
      <w:proofErr w:type="spellEnd"/>
      <w:r w:rsidRPr="00007B7D">
        <w:t xml:space="preserve"> K.B. </w:t>
      </w:r>
      <w:proofErr w:type="spellStart"/>
      <w:r w:rsidRPr="00007B7D">
        <w:t>d’y</w:t>
      </w:r>
      <w:proofErr w:type="spellEnd"/>
      <w:r w:rsidRPr="00007B7D">
        <w:t xml:space="preserve"> </w:t>
      </w:r>
      <w:proofErr w:type="spellStart"/>
      <w:r w:rsidRPr="00007B7D">
        <w:t>mettre</w:t>
      </w:r>
      <w:proofErr w:type="spellEnd"/>
      <w:r w:rsidRPr="00007B7D">
        <w:t xml:space="preserve"> fin.</w:t>
      </w:r>
    </w:p>
    <w:p w14:paraId="781CD4E5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170</w:t>
      </w:r>
      <w:r w:rsidRPr="00007B7D">
        <w:rPr>
          <w:noProof/>
        </w:rPr>
        <w:fldChar w:fldCharType="end"/>
      </w:r>
      <w:r w:rsidRPr="00007B7D">
        <w:t xml:space="preserve">.  Aux </w:t>
      </w:r>
      <w:proofErr w:type="spellStart"/>
      <w:r w:rsidRPr="00007B7D">
        <w:t>yeux</w:t>
      </w:r>
      <w:proofErr w:type="spellEnd"/>
      <w:r w:rsidRPr="00007B7D">
        <w:t xml:space="preserve"> de la </w:t>
      </w:r>
      <w:proofErr w:type="spellStart"/>
      <w:r w:rsidRPr="00007B7D">
        <w:t>Cour</w:t>
      </w:r>
      <w:proofErr w:type="spellEnd"/>
      <w:r w:rsidRPr="00007B7D">
        <w:t>, le « </w:t>
      </w:r>
      <w:proofErr w:type="spellStart"/>
      <w:r w:rsidRPr="00007B7D">
        <w:t>contrat</w:t>
      </w:r>
      <w:proofErr w:type="spellEnd"/>
      <w:r w:rsidRPr="00007B7D">
        <w:t xml:space="preserve"> maître-</w:t>
      </w:r>
      <w:proofErr w:type="spellStart"/>
      <w:r w:rsidRPr="00007B7D">
        <w:t>chienne</w:t>
      </w:r>
      <w:proofErr w:type="spellEnd"/>
      <w:r w:rsidRPr="00007B7D">
        <w:t xml:space="preserve"> » que K.B. </w:t>
      </w:r>
      <w:proofErr w:type="spellStart"/>
      <w:r w:rsidRPr="00007B7D">
        <w:t>est</w:t>
      </w:r>
      <w:proofErr w:type="spellEnd"/>
      <w:r w:rsidRPr="00007B7D">
        <w:t xml:space="preserve"> parvenu à faire signer à E.A., et qui </w:t>
      </w:r>
      <w:proofErr w:type="spellStart"/>
      <w:r w:rsidRPr="00007B7D">
        <w:t>fut</w:t>
      </w:r>
      <w:proofErr w:type="spellEnd"/>
      <w:r w:rsidRPr="00007B7D">
        <w:t xml:space="preserve"> </w:t>
      </w:r>
      <w:proofErr w:type="spellStart"/>
      <w:r w:rsidRPr="00007B7D">
        <w:t>plusieurs</w:t>
      </w:r>
      <w:proofErr w:type="spellEnd"/>
      <w:r w:rsidRPr="00007B7D">
        <w:t xml:space="preserve"> </w:t>
      </w:r>
      <w:proofErr w:type="spellStart"/>
      <w:r w:rsidRPr="00007B7D">
        <w:t>fois</w:t>
      </w:r>
      <w:proofErr w:type="spellEnd"/>
      <w:r w:rsidRPr="00007B7D">
        <w:t xml:space="preserve"> « </w:t>
      </w:r>
      <w:proofErr w:type="spellStart"/>
      <w:r w:rsidRPr="00007B7D">
        <w:t>renégocié</w:t>
      </w:r>
      <w:proofErr w:type="spellEnd"/>
      <w:r w:rsidRPr="00007B7D">
        <w:t> » (</w:t>
      </w:r>
      <w:proofErr w:type="spellStart"/>
      <w:r w:rsidRPr="00007B7D">
        <w:t>paragraphe</w:t>
      </w:r>
      <w:proofErr w:type="spellEnd"/>
      <w:r w:rsidRPr="00007B7D">
        <w:t> </w:t>
      </w:r>
      <w:r w:rsidRPr="00007B7D">
        <w:fldChar w:fldCharType="begin"/>
      </w:r>
      <w:r w:rsidRPr="00007B7D">
        <w:instrText xml:space="preserve"> REF Faits_RevelEA_CourrielsetSMS_production \h </w:instrText>
      </w:r>
      <w:r w:rsidRPr="00007B7D">
        <w:fldChar w:fldCharType="separate"/>
      </w:r>
      <w:r w:rsidRPr="00007B7D">
        <w:rPr>
          <w:noProof/>
        </w:rPr>
        <w:t>11</w:t>
      </w:r>
      <w:r w:rsidRPr="00007B7D">
        <w:fldChar w:fldCharType="end"/>
      </w:r>
      <w:r w:rsidRPr="00007B7D">
        <w:t xml:space="preserve"> ci-dessus), </w:t>
      </w:r>
      <w:proofErr w:type="spellStart"/>
      <w:r w:rsidRPr="00007B7D">
        <w:t>constitue</w:t>
      </w:r>
      <w:proofErr w:type="spellEnd"/>
      <w:r w:rsidRPr="00007B7D">
        <w:t xml:space="preserve"> </w:t>
      </w:r>
      <w:proofErr w:type="spellStart"/>
      <w:r w:rsidRPr="00007B7D">
        <w:t>manifestement</w:t>
      </w:r>
      <w:proofErr w:type="spellEnd"/>
      <w:r w:rsidRPr="00007B7D">
        <w:t xml:space="preserve"> </w:t>
      </w:r>
      <w:proofErr w:type="spellStart"/>
      <w:r w:rsidRPr="00007B7D">
        <w:t>l’un</w:t>
      </w:r>
      <w:proofErr w:type="spellEnd"/>
      <w:r w:rsidRPr="00007B7D">
        <w:t xml:space="preserve"> des instruments du </w:t>
      </w:r>
      <w:proofErr w:type="spellStart"/>
      <w:r w:rsidRPr="00007B7D">
        <w:t>contrôle</w:t>
      </w:r>
      <w:proofErr w:type="spellEnd"/>
      <w:r w:rsidRPr="00007B7D">
        <w:t xml:space="preserve"> </w:t>
      </w:r>
      <w:proofErr w:type="spellStart"/>
      <w:r w:rsidRPr="00007B7D">
        <w:t>coercitif</w:t>
      </w:r>
      <w:proofErr w:type="spellEnd"/>
      <w:r w:rsidRPr="00007B7D">
        <w:t xml:space="preserve"> mis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par </w:t>
      </w:r>
      <w:proofErr w:type="spellStart"/>
      <w:r w:rsidRPr="00007B7D">
        <w:t>ce</w:t>
      </w:r>
      <w:proofErr w:type="spellEnd"/>
      <w:r w:rsidRPr="00007B7D">
        <w:t xml:space="preserve"> dernier. Dans </w:t>
      </w:r>
      <w:proofErr w:type="spellStart"/>
      <w:r w:rsidRPr="00007B7D">
        <w:t>ces</w:t>
      </w:r>
      <w:proofErr w:type="spellEnd"/>
      <w:r w:rsidRPr="00007B7D">
        <w:t xml:space="preserve"> conditions,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que la </w:t>
      </w:r>
      <w:proofErr w:type="spellStart"/>
      <w:r w:rsidRPr="00007B7D">
        <w:t>circonstance</w:t>
      </w:r>
      <w:proofErr w:type="spellEnd"/>
      <w:r w:rsidRPr="00007B7D">
        <w:t xml:space="preserve"> que K.B. ait </w:t>
      </w:r>
      <w:proofErr w:type="spellStart"/>
      <w:r w:rsidRPr="00007B7D">
        <w:t>impliqué</w:t>
      </w:r>
      <w:proofErr w:type="spellEnd"/>
      <w:r w:rsidRPr="00007B7D">
        <w:t xml:space="preserve"> E.A. dans </w:t>
      </w:r>
      <w:proofErr w:type="spellStart"/>
      <w:r w:rsidRPr="00007B7D">
        <w:t>sa</w:t>
      </w:r>
      <w:proofErr w:type="spellEnd"/>
      <w:r w:rsidRPr="00007B7D">
        <w:t xml:space="preserve"> </w:t>
      </w:r>
      <w:proofErr w:type="spellStart"/>
      <w:r w:rsidRPr="00007B7D">
        <w:t>rédaction</w:t>
      </w:r>
      <w:proofErr w:type="spellEnd"/>
      <w:r w:rsidRPr="00007B7D">
        <w:t xml:space="preserve"> </w:t>
      </w:r>
      <w:proofErr w:type="spellStart"/>
      <w:r w:rsidRPr="00007B7D">
        <w:t>est</w:t>
      </w:r>
      <w:proofErr w:type="spellEnd"/>
      <w:r w:rsidRPr="00007B7D">
        <w:t xml:space="preserve"> </w:t>
      </w:r>
      <w:proofErr w:type="spellStart"/>
      <w:r w:rsidRPr="00007B7D">
        <w:t>inopérante</w:t>
      </w:r>
      <w:proofErr w:type="spellEnd"/>
      <w:r w:rsidRPr="00007B7D">
        <w:t xml:space="preserve">. Il </w:t>
      </w:r>
      <w:proofErr w:type="spellStart"/>
      <w:r w:rsidRPr="00007B7D">
        <w:t>s’ensuit</w:t>
      </w:r>
      <w:proofErr w:type="spellEnd"/>
      <w:r w:rsidRPr="00007B7D">
        <w:t xml:space="preserve"> </w:t>
      </w:r>
      <w:proofErr w:type="spellStart"/>
      <w:r w:rsidRPr="00007B7D">
        <w:t>qu’en</w:t>
      </w:r>
      <w:proofErr w:type="spellEnd"/>
      <w:r w:rsidRPr="00007B7D">
        <w:t xml:space="preserve"> opposant à E.A. la signature de </w:t>
      </w:r>
      <w:proofErr w:type="spellStart"/>
      <w:r w:rsidRPr="00007B7D">
        <w:t>ce</w:t>
      </w:r>
      <w:proofErr w:type="spellEnd"/>
      <w:r w:rsidRPr="00007B7D">
        <w:t xml:space="preserve"> document,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d’appel</w:t>
      </w:r>
      <w:proofErr w:type="spellEnd"/>
      <w:r w:rsidRPr="00007B7D">
        <w:t xml:space="preserve"> de Nancy </w:t>
      </w:r>
      <w:proofErr w:type="spellStart"/>
      <w:r w:rsidRPr="00007B7D">
        <w:t>l’a</w:t>
      </w:r>
      <w:proofErr w:type="spellEnd"/>
      <w:r w:rsidRPr="00007B7D">
        <w:t xml:space="preserve"> </w:t>
      </w:r>
      <w:proofErr w:type="spellStart"/>
      <w:r w:rsidRPr="00007B7D">
        <w:t>exposée</w:t>
      </w:r>
      <w:proofErr w:type="spellEnd"/>
      <w:r w:rsidRPr="00007B7D">
        <w:t xml:space="preserve"> à </w:t>
      </w:r>
      <w:proofErr w:type="spellStart"/>
      <w:r w:rsidRPr="00007B7D">
        <w:t>une</w:t>
      </w:r>
      <w:proofErr w:type="spellEnd"/>
      <w:r w:rsidRPr="00007B7D">
        <w:t xml:space="preserve"> </w:t>
      </w:r>
      <w:proofErr w:type="spellStart"/>
      <w:r w:rsidRPr="00007B7D">
        <w:t>forme</w:t>
      </w:r>
      <w:proofErr w:type="spellEnd"/>
      <w:r w:rsidRPr="00007B7D">
        <w:t xml:space="preserve"> de victimisation </w:t>
      </w:r>
      <w:proofErr w:type="spellStart"/>
      <w:r w:rsidRPr="00007B7D">
        <w:t>secondaire</w:t>
      </w:r>
      <w:proofErr w:type="spellEnd"/>
      <w:r w:rsidRPr="00007B7D">
        <w:t xml:space="preserve">, un </w:t>
      </w:r>
      <w:proofErr w:type="spellStart"/>
      <w:r w:rsidRPr="00007B7D">
        <w:t>tel</w:t>
      </w:r>
      <w:proofErr w:type="spellEnd"/>
      <w:r w:rsidRPr="00007B7D">
        <w:t xml:space="preserve"> </w:t>
      </w:r>
      <w:proofErr w:type="spellStart"/>
      <w:r w:rsidRPr="00007B7D">
        <w:t>raisonnement</w:t>
      </w:r>
      <w:proofErr w:type="spellEnd"/>
      <w:r w:rsidRPr="00007B7D">
        <w:t xml:space="preserve"> </w:t>
      </w:r>
      <w:proofErr w:type="spellStart"/>
      <w:r w:rsidRPr="00007B7D">
        <w:t>étant</w:t>
      </w:r>
      <w:proofErr w:type="spellEnd"/>
      <w:r w:rsidRPr="00007B7D">
        <w:t xml:space="preserve"> à la </w:t>
      </w:r>
      <w:proofErr w:type="spellStart"/>
      <w:r w:rsidRPr="00007B7D">
        <w:t>fois</w:t>
      </w:r>
      <w:proofErr w:type="spellEnd"/>
      <w:r w:rsidRPr="00007B7D">
        <w:t xml:space="preserve"> </w:t>
      </w:r>
      <w:proofErr w:type="spellStart"/>
      <w:r w:rsidRPr="00007B7D">
        <w:t>culpabilisant</w:t>
      </w:r>
      <w:proofErr w:type="spellEnd"/>
      <w:r w:rsidRPr="00007B7D">
        <w:t xml:space="preserve">, </w:t>
      </w:r>
      <w:proofErr w:type="spellStart"/>
      <w:r w:rsidRPr="00007B7D">
        <w:t>stigmatisant</w:t>
      </w:r>
      <w:proofErr w:type="spellEnd"/>
      <w:r w:rsidRPr="00007B7D">
        <w:t xml:space="preserve"> et de nature à dissuader les </w:t>
      </w:r>
      <w:proofErr w:type="spellStart"/>
      <w:r w:rsidRPr="00007B7D">
        <w:t>victimes</w:t>
      </w:r>
      <w:proofErr w:type="spellEnd"/>
      <w:r w:rsidRPr="00007B7D">
        <w:t xml:space="preserve"> de </w:t>
      </w:r>
      <w:proofErr w:type="spellStart"/>
      <w:r w:rsidRPr="00007B7D">
        <w:t>violences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de faire </w:t>
      </w:r>
      <w:proofErr w:type="spellStart"/>
      <w:r w:rsidRPr="00007B7D">
        <w:t>valoir</w:t>
      </w:r>
      <w:proofErr w:type="spellEnd"/>
      <w:r w:rsidRPr="00007B7D">
        <w:t xml:space="preserve"> </w:t>
      </w:r>
      <w:proofErr w:type="spellStart"/>
      <w:r w:rsidRPr="00007B7D">
        <w:t>leurs</w:t>
      </w:r>
      <w:proofErr w:type="spellEnd"/>
      <w:r w:rsidRPr="00007B7D">
        <w:t xml:space="preserve"> droits </w:t>
      </w:r>
      <w:proofErr w:type="spellStart"/>
      <w:r w:rsidRPr="00007B7D">
        <w:t>devant</w:t>
      </w:r>
      <w:proofErr w:type="spellEnd"/>
      <w:r w:rsidRPr="00007B7D">
        <w:t xml:space="preserve"> les </w:t>
      </w:r>
      <w:proofErr w:type="spellStart"/>
      <w:r w:rsidRPr="00007B7D">
        <w:t>tribunaux</w:t>
      </w:r>
      <w:proofErr w:type="spellEnd"/>
      <w:r w:rsidRPr="00007B7D">
        <w:t xml:space="preserve">.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conclut</w:t>
      </w:r>
      <w:proofErr w:type="spellEnd"/>
      <w:r w:rsidRPr="00007B7D">
        <w:t xml:space="preserve"> que les </w:t>
      </w:r>
      <w:proofErr w:type="spellStart"/>
      <w:r w:rsidRPr="00007B7D">
        <w:t>autorités</w:t>
      </w:r>
      <w:proofErr w:type="spellEnd"/>
      <w:r w:rsidRPr="00007B7D">
        <w:t xml:space="preserve"> </w:t>
      </w:r>
      <w:proofErr w:type="spellStart"/>
      <w:r w:rsidRPr="00007B7D">
        <w:t>nationales</w:t>
      </w:r>
      <w:proofErr w:type="spellEnd"/>
      <w:r w:rsidRPr="00007B7D">
        <w:t xml:space="preserve"> </w:t>
      </w:r>
      <w:proofErr w:type="spellStart"/>
      <w:r w:rsidRPr="00007B7D">
        <w:t>ont</w:t>
      </w:r>
      <w:proofErr w:type="spellEnd"/>
      <w:r w:rsidRPr="00007B7D">
        <w:t xml:space="preserve"> manqué à </w:t>
      </w:r>
      <w:proofErr w:type="spellStart"/>
      <w:r w:rsidRPr="00007B7D">
        <w:t>leur</w:t>
      </w:r>
      <w:proofErr w:type="spellEnd"/>
      <w:r w:rsidRPr="00007B7D">
        <w:t xml:space="preserve"> obligation de </w:t>
      </w:r>
      <w:proofErr w:type="spellStart"/>
      <w:r w:rsidRPr="00007B7D">
        <w:t>protéger</w:t>
      </w:r>
      <w:proofErr w:type="spellEnd"/>
      <w:r w:rsidRPr="00007B7D">
        <w:t xml:space="preserve"> la </w:t>
      </w:r>
      <w:proofErr w:type="spellStart"/>
      <w:r w:rsidRPr="00007B7D">
        <w:t>dignité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>. (</w:t>
      </w:r>
      <w:r w:rsidRPr="00007B7D">
        <w:rPr>
          <w:i/>
          <w:iCs/>
        </w:rPr>
        <w:t xml:space="preserve">L. et </w:t>
      </w:r>
      <w:proofErr w:type="spellStart"/>
      <w:r w:rsidRPr="00007B7D">
        <w:rPr>
          <w:i/>
          <w:iCs/>
        </w:rPr>
        <w:t>autres</w:t>
      </w:r>
      <w:proofErr w:type="spellEnd"/>
      <w:r w:rsidRPr="00007B7D">
        <w:rPr>
          <w:i/>
          <w:iCs/>
        </w:rPr>
        <w:t xml:space="preserve"> c. France</w:t>
      </w:r>
      <w:r w:rsidRPr="00007B7D">
        <w:t xml:space="preserve">, </w:t>
      </w:r>
      <w:proofErr w:type="spellStart"/>
      <w:r w:rsidRPr="00007B7D">
        <w:t>précité</w:t>
      </w:r>
      <w:proofErr w:type="spellEnd"/>
      <w:r w:rsidRPr="00007B7D">
        <w:t>, § 226).</w:t>
      </w:r>
    </w:p>
    <w:p w14:paraId="05206069" w14:textId="77777777" w:rsidR="005D5C86" w:rsidRPr="00007B7D" w:rsidRDefault="005D5C86" w:rsidP="005D5C86">
      <w:pPr>
        <w:pStyle w:val="ECHRHeading6"/>
        <w:numPr>
          <w:ilvl w:val="0"/>
          <w:numId w:val="21"/>
        </w:numPr>
        <w:ind w:left="1373" w:hanging="335"/>
      </w:pPr>
      <w:r w:rsidRPr="00007B7D">
        <w:t>Conclusion</w:t>
      </w:r>
    </w:p>
    <w:p w14:paraId="461F6281" w14:textId="77777777" w:rsidR="005D5C86" w:rsidRPr="00007B7D" w:rsidRDefault="005D5C86" w:rsidP="005D5C86">
      <w:pPr>
        <w:pStyle w:val="ECHRPara"/>
      </w:pPr>
      <w:r w:rsidRPr="00007B7D">
        <w:fldChar w:fldCharType="begin"/>
      </w:r>
      <w:r>
        <w:instrText xml:space="preserve"> SEQ level0 \*arabic \* MERGEFORMAT </w:instrText>
      </w:r>
      <w:r w:rsidRPr="00007B7D">
        <w:fldChar w:fldCharType="separate"/>
      </w:r>
      <w:r w:rsidRPr="00007B7D">
        <w:rPr>
          <w:noProof/>
        </w:rPr>
        <w:t>171</w:t>
      </w:r>
      <w:r w:rsidRPr="00007B7D">
        <w:rPr>
          <w:noProof/>
        </w:rPr>
        <w:fldChar w:fldCharType="end"/>
      </w:r>
      <w:r w:rsidRPr="00007B7D">
        <w:t>.  </w:t>
      </w:r>
      <w:proofErr w:type="spellStart"/>
      <w:r w:rsidRPr="00007B7D">
        <w:t>Compte</w:t>
      </w:r>
      <w:proofErr w:type="spellEnd"/>
      <w:r w:rsidRPr="00007B7D">
        <w:t xml:space="preserve"> </w:t>
      </w:r>
      <w:proofErr w:type="spellStart"/>
      <w:r w:rsidRPr="00007B7D">
        <w:t>tenu</w:t>
      </w:r>
      <w:proofErr w:type="spellEnd"/>
      <w:r w:rsidRPr="00007B7D">
        <w:t xml:space="preserve">, </w:t>
      </w:r>
      <w:proofErr w:type="spellStart"/>
      <w:r w:rsidRPr="00007B7D">
        <w:t>d’une</w:t>
      </w:r>
      <w:proofErr w:type="spellEnd"/>
      <w:r w:rsidRPr="00007B7D">
        <w:t xml:space="preserve"> part, des lacunes du cadre </w:t>
      </w:r>
      <w:proofErr w:type="spellStart"/>
      <w:r w:rsidRPr="00007B7D">
        <w:t>juridique</w:t>
      </w:r>
      <w:proofErr w:type="spellEnd"/>
      <w:r w:rsidRPr="00007B7D">
        <w:t xml:space="preserve">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vigueur</w:t>
      </w:r>
      <w:proofErr w:type="spellEnd"/>
      <w:r w:rsidRPr="00007B7D">
        <w:t xml:space="preserve"> à la date des faits, et </w:t>
      </w:r>
      <w:proofErr w:type="spellStart"/>
      <w:r w:rsidRPr="00007B7D">
        <w:t>d’autre</w:t>
      </w:r>
      <w:proofErr w:type="spellEnd"/>
      <w:r w:rsidRPr="00007B7D">
        <w:t xml:space="preserve"> part, des </w:t>
      </w:r>
      <w:proofErr w:type="spellStart"/>
      <w:r w:rsidRPr="00007B7D">
        <w:t>défaillances</w:t>
      </w:r>
      <w:proofErr w:type="spellEnd"/>
      <w:r w:rsidRPr="00007B7D">
        <w:t xml:space="preserve"> </w:t>
      </w:r>
      <w:proofErr w:type="spellStart"/>
      <w:r w:rsidRPr="00007B7D">
        <w:t>rencontrées</w:t>
      </w:r>
      <w:proofErr w:type="spellEnd"/>
      <w:r w:rsidRPr="00007B7D">
        <w:t xml:space="preserve"> </w:t>
      </w:r>
      <w:proofErr w:type="spellStart"/>
      <w:r w:rsidRPr="00007B7D">
        <w:t>lors</w:t>
      </w:r>
      <w:proofErr w:type="spellEnd"/>
      <w:r w:rsidRPr="00007B7D">
        <w:t xml:space="preserve"> de </w:t>
      </w:r>
      <w:proofErr w:type="spellStart"/>
      <w:r w:rsidRPr="00007B7D">
        <w:t>sa</w:t>
      </w:r>
      <w:proofErr w:type="spellEnd"/>
      <w:r w:rsidRPr="00007B7D">
        <w:t xml:space="preserve"> mise </w:t>
      </w:r>
      <w:proofErr w:type="spellStart"/>
      <w:r w:rsidRPr="00007B7D">
        <w:t>en</w:t>
      </w:r>
      <w:proofErr w:type="spellEnd"/>
      <w:r w:rsidRPr="00007B7D">
        <w:t xml:space="preserve"> </w:t>
      </w:r>
      <w:proofErr w:type="spellStart"/>
      <w:r w:rsidRPr="00007B7D">
        <w:t>œuvre</w:t>
      </w:r>
      <w:proofErr w:type="spellEnd"/>
      <w:r w:rsidRPr="00007B7D">
        <w:t xml:space="preserve"> – </w:t>
      </w:r>
      <w:proofErr w:type="spellStart"/>
      <w:r w:rsidRPr="00007B7D">
        <w:t>celles</w:t>
      </w:r>
      <w:proofErr w:type="spellEnd"/>
      <w:r w:rsidRPr="00007B7D">
        <w:t xml:space="preserve">-ci tenant à la </w:t>
      </w:r>
      <w:proofErr w:type="spellStart"/>
      <w:r w:rsidRPr="00007B7D">
        <w:t>fois</w:t>
      </w:r>
      <w:proofErr w:type="spellEnd"/>
      <w:r w:rsidRPr="00007B7D">
        <w:t xml:space="preserve"> à </w:t>
      </w:r>
      <w:proofErr w:type="spellStart"/>
      <w:r w:rsidRPr="00007B7D">
        <w:t>l’exclusion</w:t>
      </w:r>
      <w:proofErr w:type="spellEnd"/>
      <w:r w:rsidRPr="00007B7D">
        <w:t xml:space="preserve"> des </w:t>
      </w:r>
      <w:proofErr w:type="spellStart"/>
      <w:r w:rsidRPr="00007B7D">
        <w:t>atteintes</w:t>
      </w:r>
      <w:proofErr w:type="spellEnd"/>
      <w:r w:rsidRPr="00007B7D">
        <w:t xml:space="preserve"> </w:t>
      </w:r>
      <w:proofErr w:type="spellStart"/>
      <w:r w:rsidRPr="00007B7D">
        <w:t>sexuelles</w:t>
      </w:r>
      <w:proofErr w:type="spellEnd"/>
      <w:r w:rsidRPr="00007B7D">
        <w:t xml:space="preserve"> </w:t>
      </w:r>
      <w:proofErr w:type="spellStart"/>
      <w:r w:rsidRPr="00007B7D">
        <w:t>dénoncées</w:t>
      </w:r>
      <w:proofErr w:type="spellEnd"/>
      <w:r w:rsidRPr="00007B7D">
        <w:t xml:space="preserve"> par E.A. du cadre de </w:t>
      </w:r>
      <w:proofErr w:type="spellStart"/>
      <w:r w:rsidRPr="00007B7D">
        <w:t>l’enquête</w:t>
      </w:r>
      <w:proofErr w:type="spellEnd"/>
      <w:r w:rsidRPr="00007B7D">
        <w:t xml:space="preserve">, au </w:t>
      </w:r>
      <w:proofErr w:type="spellStart"/>
      <w:r w:rsidRPr="00007B7D">
        <w:t>caractère</w:t>
      </w:r>
      <w:proofErr w:type="spellEnd"/>
      <w:r w:rsidRPr="00007B7D">
        <w:t xml:space="preserve"> </w:t>
      </w:r>
      <w:proofErr w:type="spellStart"/>
      <w:r w:rsidRPr="00007B7D">
        <w:t>parcellaire</w:t>
      </w:r>
      <w:proofErr w:type="spellEnd"/>
      <w:r w:rsidRPr="00007B7D">
        <w:t xml:space="preserve"> des investigations, à la durée excessive de la </w:t>
      </w:r>
      <w:proofErr w:type="spellStart"/>
      <w:r w:rsidRPr="00007B7D">
        <w:t>procédure</w:t>
      </w:r>
      <w:proofErr w:type="spellEnd"/>
      <w:r w:rsidRPr="00007B7D">
        <w:t xml:space="preserve">, et aux conditions dans </w:t>
      </w:r>
      <w:proofErr w:type="spellStart"/>
      <w:r w:rsidRPr="00007B7D">
        <w:t>lesquelles</w:t>
      </w:r>
      <w:proofErr w:type="spellEnd"/>
      <w:r w:rsidRPr="00007B7D">
        <w:t xml:space="preserve"> le </w:t>
      </w:r>
      <w:proofErr w:type="spellStart"/>
      <w:r w:rsidRPr="00007B7D">
        <w:t>consentement</w:t>
      </w:r>
      <w:proofErr w:type="spellEnd"/>
      <w:r w:rsidRPr="00007B7D">
        <w:t xml:space="preserve"> </w:t>
      </w:r>
      <w:proofErr w:type="spellStart"/>
      <w:r w:rsidRPr="00007B7D">
        <w:t>d’E.A</w:t>
      </w:r>
      <w:proofErr w:type="spellEnd"/>
      <w:r w:rsidRPr="00007B7D">
        <w:t xml:space="preserve">. a </w:t>
      </w:r>
      <w:proofErr w:type="spellStart"/>
      <w:r w:rsidRPr="00007B7D">
        <w:t>été</w:t>
      </w:r>
      <w:proofErr w:type="spellEnd"/>
      <w:r w:rsidRPr="00007B7D">
        <w:t xml:space="preserve"> </w:t>
      </w:r>
      <w:proofErr w:type="spellStart"/>
      <w:r w:rsidRPr="00007B7D">
        <w:t>apprécié</w:t>
      </w:r>
      <w:proofErr w:type="spellEnd"/>
      <w:r w:rsidRPr="00007B7D">
        <w:t xml:space="preserve"> par les </w:t>
      </w:r>
      <w:proofErr w:type="spellStart"/>
      <w:r w:rsidRPr="00007B7D">
        <w:t>juridictions</w:t>
      </w:r>
      <w:proofErr w:type="spellEnd"/>
      <w:r w:rsidRPr="00007B7D">
        <w:t xml:space="preserve"> de </w:t>
      </w:r>
      <w:proofErr w:type="spellStart"/>
      <w:r w:rsidRPr="00007B7D">
        <w:t>jugement</w:t>
      </w:r>
      <w:proofErr w:type="spellEnd"/>
      <w:r w:rsidRPr="00007B7D">
        <w:t xml:space="preserve"> –, la </w:t>
      </w:r>
      <w:proofErr w:type="spellStart"/>
      <w:r w:rsidRPr="00007B7D">
        <w:t>Cour</w:t>
      </w:r>
      <w:proofErr w:type="spellEnd"/>
      <w:r w:rsidRPr="00007B7D">
        <w:t xml:space="preserve"> </w:t>
      </w:r>
      <w:proofErr w:type="spellStart"/>
      <w:r w:rsidRPr="00007B7D">
        <w:t>considère</w:t>
      </w:r>
      <w:proofErr w:type="spellEnd"/>
      <w:r w:rsidRPr="00007B7D">
        <w:t xml:space="preserve"> que </w:t>
      </w:r>
      <w:proofErr w:type="spellStart"/>
      <w:r w:rsidRPr="00007B7D">
        <w:t>l’</w:t>
      </w:r>
      <w:r w:rsidRPr="00007B7D">
        <w:rPr>
          <w:rFonts w:cstheme="minorHAnsi"/>
        </w:rPr>
        <w:t>É</w:t>
      </w:r>
      <w:r w:rsidRPr="00007B7D">
        <w:t>tat</w:t>
      </w:r>
      <w:proofErr w:type="spellEnd"/>
      <w:r w:rsidRPr="00007B7D">
        <w:t xml:space="preserve"> </w:t>
      </w:r>
      <w:proofErr w:type="spellStart"/>
      <w:r w:rsidRPr="00007B7D">
        <w:t>défendeur</w:t>
      </w:r>
      <w:proofErr w:type="spellEnd"/>
      <w:r w:rsidRPr="00007B7D">
        <w:t xml:space="preserve"> a manqué à </w:t>
      </w:r>
      <w:proofErr w:type="spellStart"/>
      <w:r w:rsidRPr="00007B7D">
        <w:t>ses</w:t>
      </w:r>
      <w:proofErr w:type="spellEnd"/>
      <w:r w:rsidRPr="00007B7D">
        <w:t xml:space="preserve"> obligations positives, qui </w:t>
      </w:r>
      <w:proofErr w:type="spellStart"/>
      <w:r w:rsidRPr="00007B7D">
        <w:t>lui</w:t>
      </w:r>
      <w:proofErr w:type="spellEnd"/>
      <w:r w:rsidRPr="00007B7D">
        <w:t xml:space="preserve"> </w:t>
      </w:r>
      <w:proofErr w:type="spellStart"/>
      <w:r w:rsidRPr="00007B7D">
        <w:t>imposaient</w:t>
      </w:r>
      <w:proofErr w:type="spellEnd"/>
      <w:r w:rsidRPr="00007B7D">
        <w:t xml:space="preserve"> </w:t>
      </w:r>
      <w:proofErr w:type="spellStart"/>
      <w:r w:rsidRPr="00007B7D">
        <w:t>d’instaurer</w:t>
      </w:r>
      <w:proofErr w:type="spellEnd"/>
      <w:r w:rsidRPr="00007B7D">
        <w:t xml:space="preserve"> des dispositions </w:t>
      </w:r>
      <w:proofErr w:type="spellStart"/>
      <w:r w:rsidRPr="00007B7D">
        <w:lastRenderedPageBreak/>
        <w:t>incriminant</w:t>
      </w:r>
      <w:proofErr w:type="spellEnd"/>
      <w:r w:rsidRPr="00007B7D">
        <w:t xml:space="preserve"> et </w:t>
      </w:r>
      <w:proofErr w:type="spellStart"/>
      <w:r w:rsidRPr="00007B7D">
        <w:t>réprimant</w:t>
      </w:r>
      <w:proofErr w:type="spellEnd"/>
      <w:r w:rsidRPr="00007B7D">
        <w:t xml:space="preserve"> les </w:t>
      </w:r>
      <w:proofErr w:type="spellStart"/>
      <w:r w:rsidRPr="00007B7D">
        <w:t>actes</w:t>
      </w:r>
      <w:proofErr w:type="spellEnd"/>
      <w:r w:rsidRPr="00007B7D">
        <w:t xml:space="preserve"> </w:t>
      </w:r>
      <w:proofErr w:type="spellStart"/>
      <w:r w:rsidRPr="00007B7D">
        <w:t>sexuels</w:t>
      </w:r>
      <w:proofErr w:type="spellEnd"/>
      <w:r w:rsidRPr="00007B7D">
        <w:t xml:space="preserve"> non </w:t>
      </w:r>
      <w:proofErr w:type="spellStart"/>
      <w:r w:rsidRPr="00007B7D">
        <w:t>consentis</w:t>
      </w:r>
      <w:proofErr w:type="spellEnd"/>
      <w:r w:rsidRPr="00007B7D">
        <w:t xml:space="preserve"> et de les appliquer de </w:t>
      </w:r>
      <w:proofErr w:type="spellStart"/>
      <w:r w:rsidRPr="00007B7D">
        <w:t>façon</w:t>
      </w:r>
      <w:proofErr w:type="spellEnd"/>
      <w:r w:rsidRPr="00007B7D">
        <w:t xml:space="preserve"> effective. </w:t>
      </w:r>
      <w:proofErr w:type="spellStart"/>
      <w:r w:rsidRPr="00007B7D">
        <w:t>Partant</w:t>
      </w:r>
      <w:proofErr w:type="spellEnd"/>
      <w:r w:rsidRPr="00007B7D">
        <w:t xml:space="preserve">, il y a </w:t>
      </w:r>
      <w:proofErr w:type="spellStart"/>
      <w:r w:rsidRPr="00007B7D">
        <w:t>eu</w:t>
      </w:r>
      <w:proofErr w:type="spellEnd"/>
      <w:r w:rsidRPr="00007B7D">
        <w:t xml:space="preserve"> violation des articles 3 et 8 de la Convention.</w:t>
      </w:r>
    </w:p>
    <w:p w14:paraId="06397550" w14:textId="4A8327D0" w:rsidR="005D5C86" w:rsidRDefault="005D5C86">
      <w:pPr>
        <w:jc w:val="left"/>
      </w:pPr>
      <w:r>
        <w:br w:type="page"/>
      </w:r>
    </w:p>
    <w:p w14:paraId="249B2AEF" w14:textId="77777777" w:rsidR="005D5C86" w:rsidRDefault="005D5C86">
      <w:pPr>
        <w:jc w:val="left"/>
      </w:pPr>
    </w:p>
    <w:p w14:paraId="73CA5D14" w14:textId="77777777" w:rsidR="008A7B1D" w:rsidRPr="00B82BDF" w:rsidRDefault="008A7B1D" w:rsidP="008A7B1D"/>
    <w:p w14:paraId="23C0DBAF" w14:textId="77777777" w:rsidR="008A7B1D" w:rsidRPr="00B82BDF" w:rsidRDefault="008A7B1D" w:rsidP="008A7B1D">
      <w:pPr>
        <w:pStyle w:val="DecHTitle"/>
      </w:pPr>
      <w:r w:rsidRPr="00B82BDF">
        <w:t>CINQUIÈME SECTION</w:t>
      </w:r>
    </w:p>
    <w:p w14:paraId="38B87B4D" w14:textId="77777777" w:rsidR="008A7B1D" w:rsidRPr="00B82BDF" w:rsidRDefault="008A7B1D" w:rsidP="008A7B1D">
      <w:pPr>
        <w:pStyle w:val="JuTitle"/>
        <w:spacing w:before="600"/>
      </w:pPr>
      <w:r w:rsidRPr="00B82BDF">
        <w:t>AFFAIRE L. ET AUTRES c. FRANCE</w:t>
      </w:r>
    </w:p>
    <w:p w14:paraId="185F11B1" w14:textId="77777777" w:rsidR="008A7B1D" w:rsidRPr="00B82BDF" w:rsidRDefault="008A7B1D" w:rsidP="008A7B1D">
      <w:pPr>
        <w:pStyle w:val="ECHRCoverTitle4"/>
      </w:pPr>
      <w:r w:rsidRPr="00B82BDF">
        <w:t>(Requête n</w:t>
      </w:r>
      <w:r w:rsidRPr="00B82BDF">
        <w:rPr>
          <w:vertAlign w:val="superscript"/>
        </w:rPr>
        <w:t>o</w:t>
      </w:r>
      <w:r w:rsidRPr="00B82BDF">
        <w:t xml:space="preserve"> 46949/21 et 2 autres –</w:t>
      </w:r>
    </w:p>
    <w:p w14:paraId="1236692D" w14:textId="77777777" w:rsidR="008A7B1D" w:rsidRPr="00B82BDF" w:rsidRDefault="008A7B1D" w:rsidP="008A7B1D">
      <w:pPr>
        <w:pStyle w:val="ECHRCoverTitle4"/>
      </w:pPr>
      <w:proofErr w:type="gramStart"/>
      <w:r w:rsidRPr="00B82BDF">
        <w:t>voir</w:t>
      </w:r>
      <w:proofErr w:type="gramEnd"/>
      <w:r w:rsidRPr="00B82BDF">
        <w:t xml:space="preserve"> liste en annexe)</w:t>
      </w:r>
    </w:p>
    <w:p w14:paraId="4C6DADD3" w14:textId="77777777" w:rsidR="008A7B1D" w:rsidRPr="00B82BDF" w:rsidRDefault="008A7B1D" w:rsidP="008A7B1D">
      <w:pPr>
        <w:pStyle w:val="ECHRTitleCentre2"/>
      </w:pPr>
    </w:p>
    <w:p w14:paraId="26B2669F" w14:textId="77777777" w:rsidR="008A7B1D" w:rsidRPr="00B82BDF" w:rsidRDefault="008A7B1D" w:rsidP="008A7B1D">
      <w:pPr>
        <w:pStyle w:val="ECHRTitleCentre2"/>
      </w:pPr>
      <w:r w:rsidRPr="00B82BDF">
        <w:t>ARRÊT</w:t>
      </w:r>
      <w:r w:rsidRPr="00B82BDF">
        <w:br/>
      </w:r>
    </w:p>
    <w:p w14:paraId="2517BBFA" w14:textId="77777777" w:rsidR="008A7B1D" w:rsidRPr="00B82BDF" w:rsidRDefault="008A7B1D" w:rsidP="008A7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82BDF">
        <w:rPr>
          <w:sz w:val="20"/>
          <w:szCs w:val="20"/>
        </w:rPr>
        <w:t xml:space="preserve">Art 3 et Art 8 (matériel et </w:t>
      </w:r>
      <w:proofErr w:type="spellStart"/>
      <w:r w:rsidRPr="00B82BDF">
        <w:rPr>
          <w:sz w:val="20"/>
          <w:szCs w:val="20"/>
        </w:rPr>
        <w:t>procédural</w:t>
      </w:r>
      <w:proofErr w:type="spellEnd"/>
      <w:r w:rsidRPr="00B82BDF">
        <w:rPr>
          <w:sz w:val="20"/>
          <w:szCs w:val="20"/>
        </w:rPr>
        <w:t xml:space="preserve">) • Obligations positives • État </w:t>
      </w:r>
      <w:proofErr w:type="spellStart"/>
      <w:r w:rsidRPr="00B82BDF">
        <w:rPr>
          <w:sz w:val="20"/>
          <w:szCs w:val="20"/>
        </w:rPr>
        <w:t>défendeur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ayant</w:t>
      </w:r>
      <w:proofErr w:type="spellEnd"/>
      <w:r w:rsidRPr="00B82BDF">
        <w:rPr>
          <w:sz w:val="20"/>
          <w:szCs w:val="20"/>
        </w:rPr>
        <w:t xml:space="preserve"> manqué </w:t>
      </w:r>
      <w:proofErr w:type="spellStart"/>
      <w:r w:rsidRPr="00B82BDF">
        <w:rPr>
          <w:sz w:val="20"/>
          <w:szCs w:val="20"/>
        </w:rPr>
        <w:t>d’appliquer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effectivement</w:t>
      </w:r>
      <w:proofErr w:type="spellEnd"/>
      <w:r w:rsidRPr="00B82BDF">
        <w:rPr>
          <w:sz w:val="20"/>
          <w:szCs w:val="20"/>
        </w:rPr>
        <w:t xml:space="preserve"> un </w:t>
      </w:r>
      <w:proofErr w:type="spellStart"/>
      <w:r w:rsidRPr="00B82BDF">
        <w:rPr>
          <w:sz w:val="20"/>
          <w:szCs w:val="20"/>
        </w:rPr>
        <w:t>système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pénal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apte</w:t>
      </w:r>
      <w:proofErr w:type="spellEnd"/>
      <w:r w:rsidRPr="00B82BDF">
        <w:rPr>
          <w:sz w:val="20"/>
          <w:szCs w:val="20"/>
        </w:rPr>
        <w:t xml:space="preserve"> à </w:t>
      </w:r>
      <w:proofErr w:type="spellStart"/>
      <w:r w:rsidRPr="00B82BDF">
        <w:rPr>
          <w:sz w:val="20"/>
          <w:szCs w:val="20"/>
        </w:rPr>
        <w:t>réprimer</w:t>
      </w:r>
      <w:proofErr w:type="spellEnd"/>
      <w:r w:rsidRPr="00B82BDF">
        <w:rPr>
          <w:sz w:val="20"/>
          <w:szCs w:val="20"/>
        </w:rPr>
        <w:t xml:space="preserve"> les </w:t>
      </w:r>
      <w:proofErr w:type="spellStart"/>
      <w:r w:rsidRPr="00B82BDF">
        <w:rPr>
          <w:sz w:val="20"/>
          <w:szCs w:val="20"/>
        </w:rPr>
        <w:t>actes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sexuels</w:t>
      </w:r>
      <w:proofErr w:type="spellEnd"/>
      <w:r w:rsidRPr="00B82BDF">
        <w:rPr>
          <w:sz w:val="20"/>
          <w:szCs w:val="20"/>
        </w:rPr>
        <w:t xml:space="preserve"> non </w:t>
      </w:r>
      <w:proofErr w:type="spellStart"/>
      <w:r w:rsidRPr="00B82BDF">
        <w:rPr>
          <w:sz w:val="20"/>
          <w:szCs w:val="20"/>
        </w:rPr>
        <w:t>consentis</w:t>
      </w:r>
      <w:proofErr w:type="spellEnd"/>
      <w:r w:rsidRPr="00B82BDF">
        <w:rPr>
          <w:sz w:val="20"/>
          <w:szCs w:val="20"/>
        </w:rPr>
        <w:t xml:space="preserve"> par des </w:t>
      </w:r>
      <w:proofErr w:type="spellStart"/>
      <w:r w:rsidRPr="00B82BDF">
        <w:rPr>
          <w:sz w:val="20"/>
          <w:szCs w:val="20"/>
        </w:rPr>
        <w:t>mineures</w:t>
      </w:r>
      <w:proofErr w:type="spellEnd"/>
      <w:r w:rsidRPr="00B82BDF">
        <w:rPr>
          <w:sz w:val="20"/>
          <w:szCs w:val="20"/>
        </w:rPr>
        <w:t xml:space="preserve"> • Absence de la notion de « </w:t>
      </w:r>
      <w:proofErr w:type="spellStart"/>
      <w:r w:rsidRPr="00B82BDF">
        <w:rPr>
          <w:sz w:val="20"/>
          <w:szCs w:val="20"/>
        </w:rPr>
        <w:t>consentement</w:t>
      </w:r>
      <w:proofErr w:type="spellEnd"/>
      <w:r w:rsidRPr="00B82BDF">
        <w:rPr>
          <w:sz w:val="20"/>
          <w:szCs w:val="20"/>
        </w:rPr>
        <w:t xml:space="preserve"> » dans le droit interne pertinent • </w:t>
      </w:r>
      <w:proofErr w:type="spellStart"/>
      <w:r w:rsidRPr="00B82BDF">
        <w:rPr>
          <w:sz w:val="20"/>
          <w:szCs w:val="20"/>
        </w:rPr>
        <w:t>Juridictions</w:t>
      </w:r>
      <w:proofErr w:type="spellEnd"/>
      <w:r w:rsidRPr="00B82BDF">
        <w:rPr>
          <w:sz w:val="20"/>
          <w:szCs w:val="20"/>
        </w:rPr>
        <w:t xml:space="preserve"> internes </w:t>
      </w:r>
      <w:proofErr w:type="spellStart"/>
      <w:r w:rsidRPr="00B82BDF">
        <w:rPr>
          <w:sz w:val="20"/>
          <w:szCs w:val="20"/>
        </w:rPr>
        <w:t>n’ayant</w:t>
      </w:r>
      <w:proofErr w:type="spellEnd"/>
      <w:r w:rsidRPr="00B82BDF">
        <w:rPr>
          <w:sz w:val="20"/>
          <w:szCs w:val="20"/>
        </w:rPr>
        <w:t xml:space="preserve"> pas </w:t>
      </w:r>
      <w:proofErr w:type="spellStart"/>
      <w:r w:rsidRPr="00B82BDF">
        <w:rPr>
          <w:sz w:val="20"/>
          <w:szCs w:val="20"/>
        </w:rPr>
        <w:t>dûment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analysé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l’effet</w:t>
      </w:r>
      <w:proofErr w:type="spellEnd"/>
      <w:r w:rsidRPr="00B82BDF">
        <w:rPr>
          <w:sz w:val="20"/>
          <w:szCs w:val="20"/>
        </w:rPr>
        <w:t xml:space="preserve"> de </w:t>
      </w:r>
      <w:proofErr w:type="spellStart"/>
      <w:r w:rsidRPr="00B82BDF">
        <w:rPr>
          <w:sz w:val="20"/>
          <w:szCs w:val="20"/>
        </w:rPr>
        <w:t>toutes</w:t>
      </w:r>
      <w:proofErr w:type="spellEnd"/>
      <w:r w:rsidRPr="00B82BDF">
        <w:rPr>
          <w:sz w:val="20"/>
          <w:szCs w:val="20"/>
        </w:rPr>
        <w:t xml:space="preserve"> les </w:t>
      </w:r>
      <w:proofErr w:type="spellStart"/>
      <w:r w:rsidRPr="00B82BDF">
        <w:rPr>
          <w:sz w:val="20"/>
          <w:szCs w:val="20"/>
        </w:rPr>
        <w:t>circonstances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environnantes</w:t>
      </w:r>
      <w:proofErr w:type="spellEnd"/>
      <w:r w:rsidRPr="00B82BDF">
        <w:rPr>
          <w:sz w:val="20"/>
          <w:szCs w:val="20"/>
        </w:rPr>
        <w:t xml:space="preserve"> • </w:t>
      </w:r>
      <w:proofErr w:type="spellStart"/>
      <w:r w:rsidRPr="00B82BDF">
        <w:rPr>
          <w:sz w:val="20"/>
          <w:szCs w:val="20"/>
        </w:rPr>
        <w:t>Juridictions</w:t>
      </w:r>
      <w:proofErr w:type="spellEnd"/>
      <w:r w:rsidRPr="00B82BDF">
        <w:rPr>
          <w:sz w:val="20"/>
          <w:szCs w:val="20"/>
        </w:rPr>
        <w:t xml:space="preserve"> internes </w:t>
      </w:r>
      <w:proofErr w:type="spellStart"/>
      <w:r w:rsidRPr="00B82BDF">
        <w:rPr>
          <w:sz w:val="20"/>
          <w:szCs w:val="20"/>
        </w:rPr>
        <w:t>n’ayant</w:t>
      </w:r>
      <w:proofErr w:type="spellEnd"/>
      <w:r w:rsidRPr="00B82BDF">
        <w:rPr>
          <w:sz w:val="20"/>
          <w:szCs w:val="20"/>
        </w:rPr>
        <w:t xml:space="preserve"> pas </w:t>
      </w:r>
      <w:proofErr w:type="spellStart"/>
      <w:r w:rsidRPr="00B82BDF">
        <w:rPr>
          <w:sz w:val="20"/>
          <w:szCs w:val="20"/>
        </w:rPr>
        <w:t>suffisamment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tenu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compte</w:t>
      </w:r>
      <w:proofErr w:type="spellEnd"/>
      <w:r w:rsidRPr="00B82BDF">
        <w:rPr>
          <w:sz w:val="20"/>
          <w:szCs w:val="20"/>
        </w:rPr>
        <w:t xml:space="preserve">, dans </w:t>
      </w:r>
      <w:proofErr w:type="spellStart"/>
      <w:r w:rsidRPr="00B82BDF">
        <w:rPr>
          <w:sz w:val="20"/>
          <w:szCs w:val="20"/>
        </w:rPr>
        <w:t>leur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appréciation</w:t>
      </w:r>
      <w:proofErr w:type="spellEnd"/>
      <w:r w:rsidRPr="00B82BDF">
        <w:rPr>
          <w:sz w:val="20"/>
          <w:szCs w:val="20"/>
        </w:rPr>
        <w:t xml:space="preserve"> du </w:t>
      </w:r>
      <w:proofErr w:type="spellStart"/>
      <w:r w:rsidRPr="00B82BDF">
        <w:rPr>
          <w:sz w:val="20"/>
          <w:szCs w:val="20"/>
        </w:rPr>
        <w:t>discernement</w:t>
      </w:r>
      <w:proofErr w:type="spellEnd"/>
      <w:r w:rsidRPr="00B82BDF">
        <w:rPr>
          <w:sz w:val="20"/>
          <w:szCs w:val="20"/>
        </w:rPr>
        <w:t xml:space="preserve"> et du </w:t>
      </w:r>
      <w:proofErr w:type="spellStart"/>
      <w:r w:rsidRPr="00B82BDF">
        <w:rPr>
          <w:sz w:val="20"/>
          <w:szCs w:val="20"/>
        </w:rPr>
        <w:t>consentement</w:t>
      </w:r>
      <w:proofErr w:type="spellEnd"/>
      <w:r w:rsidRPr="00B82BDF">
        <w:rPr>
          <w:sz w:val="20"/>
          <w:szCs w:val="20"/>
        </w:rPr>
        <w:t xml:space="preserve"> des </w:t>
      </w:r>
      <w:proofErr w:type="spellStart"/>
      <w:r w:rsidRPr="00B82BDF">
        <w:rPr>
          <w:sz w:val="20"/>
          <w:szCs w:val="20"/>
        </w:rPr>
        <w:t>requérantes</w:t>
      </w:r>
      <w:proofErr w:type="spellEnd"/>
      <w:r w:rsidRPr="00B82BDF">
        <w:rPr>
          <w:sz w:val="20"/>
          <w:szCs w:val="20"/>
        </w:rPr>
        <w:t xml:space="preserve">, de </w:t>
      </w:r>
      <w:proofErr w:type="spellStart"/>
      <w:r w:rsidRPr="00B82BDF">
        <w:rPr>
          <w:sz w:val="20"/>
          <w:szCs w:val="20"/>
        </w:rPr>
        <w:t>leur</w:t>
      </w:r>
      <w:proofErr w:type="spellEnd"/>
      <w:r w:rsidRPr="00B82BDF">
        <w:rPr>
          <w:sz w:val="20"/>
          <w:szCs w:val="20"/>
        </w:rPr>
        <w:t xml:space="preserve"> situation de </w:t>
      </w:r>
      <w:proofErr w:type="spellStart"/>
      <w:r w:rsidRPr="00B82BDF">
        <w:rPr>
          <w:sz w:val="20"/>
          <w:szCs w:val="20"/>
        </w:rPr>
        <w:t>particulière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vulnérabilité</w:t>
      </w:r>
      <w:proofErr w:type="spellEnd"/>
      <w:r w:rsidRPr="00B82BDF">
        <w:rPr>
          <w:sz w:val="20"/>
          <w:szCs w:val="20"/>
        </w:rPr>
        <w:t xml:space="preserve">, </w:t>
      </w:r>
      <w:proofErr w:type="spellStart"/>
      <w:r w:rsidRPr="00B82BDF">
        <w:rPr>
          <w:sz w:val="20"/>
          <w:szCs w:val="20"/>
        </w:rPr>
        <w:t>eu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égard</w:t>
      </w:r>
      <w:proofErr w:type="spellEnd"/>
      <w:r w:rsidRPr="00B82BDF">
        <w:rPr>
          <w:sz w:val="20"/>
          <w:szCs w:val="20"/>
        </w:rPr>
        <w:t xml:space="preserve"> à </w:t>
      </w:r>
      <w:proofErr w:type="spellStart"/>
      <w:r w:rsidRPr="00B82BDF">
        <w:rPr>
          <w:sz w:val="20"/>
          <w:szCs w:val="20"/>
        </w:rPr>
        <w:t>leur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minorité</w:t>
      </w:r>
      <w:proofErr w:type="spellEnd"/>
      <w:r w:rsidRPr="00B82BDF">
        <w:rPr>
          <w:sz w:val="20"/>
          <w:szCs w:val="20"/>
        </w:rPr>
        <w:t xml:space="preserve"> à la date des faits </w:t>
      </w:r>
      <w:proofErr w:type="spellStart"/>
      <w:r w:rsidRPr="00B82BDF">
        <w:rPr>
          <w:sz w:val="20"/>
          <w:szCs w:val="20"/>
        </w:rPr>
        <w:t>litigieux</w:t>
      </w:r>
      <w:proofErr w:type="spellEnd"/>
      <w:r w:rsidRPr="00B82BDF">
        <w:rPr>
          <w:sz w:val="20"/>
          <w:szCs w:val="20"/>
        </w:rPr>
        <w:t xml:space="preserve"> • Absence de </w:t>
      </w:r>
      <w:proofErr w:type="spellStart"/>
      <w:r w:rsidRPr="00B82BDF">
        <w:rPr>
          <w:sz w:val="20"/>
          <w:szCs w:val="20"/>
        </w:rPr>
        <w:t>célérité</w:t>
      </w:r>
      <w:proofErr w:type="spellEnd"/>
      <w:r w:rsidRPr="00B82BDF">
        <w:rPr>
          <w:sz w:val="20"/>
          <w:szCs w:val="20"/>
        </w:rPr>
        <w:t xml:space="preserve"> et de diligence dans la </w:t>
      </w:r>
      <w:proofErr w:type="spellStart"/>
      <w:r w:rsidRPr="00B82BDF">
        <w:rPr>
          <w:sz w:val="20"/>
          <w:szCs w:val="20"/>
        </w:rPr>
        <w:t>conduite</w:t>
      </w:r>
      <w:proofErr w:type="spellEnd"/>
      <w:r w:rsidRPr="00B82BDF">
        <w:rPr>
          <w:sz w:val="20"/>
          <w:szCs w:val="20"/>
        </w:rPr>
        <w:t xml:space="preserve"> de la </w:t>
      </w:r>
      <w:proofErr w:type="spellStart"/>
      <w:r w:rsidRPr="00B82BDF">
        <w:rPr>
          <w:sz w:val="20"/>
          <w:szCs w:val="20"/>
        </w:rPr>
        <w:t>procédure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pénale</w:t>
      </w:r>
      <w:proofErr w:type="spellEnd"/>
      <w:r w:rsidRPr="00B82BDF">
        <w:rPr>
          <w:sz w:val="20"/>
          <w:szCs w:val="20"/>
        </w:rPr>
        <w:t xml:space="preserve"> (</w:t>
      </w:r>
      <w:proofErr w:type="spellStart"/>
      <w:r w:rsidRPr="00B82BDF">
        <w:rPr>
          <w:sz w:val="20"/>
          <w:szCs w:val="20"/>
        </w:rPr>
        <w:t>requêtes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n</w:t>
      </w:r>
      <w:r w:rsidRPr="00B82BDF">
        <w:rPr>
          <w:sz w:val="20"/>
          <w:szCs w:val="20"/>
          <w:vertAlign w:val="superscript"/>
        </w:rPr>
        <w:t>os</w:t>
      </w:r>
      <w:proofErr w:type="spellEnd"/>
      <w:r w:rsidRPr="00B82BDF">
        <w:rPr>
          <w:sz w:val="20"/>
          <w:szCs w:val="20"/>
        </w:rPr>
        <w:t> 46949/21 et 39759/22)</w:t>
      </w:r>
    </w:p>
    <w:p w14:paraId="1A9333F9" w14:textId="77777777" w:rsidR="008A7B1D" w:rsidRPr="00B82BDF" w:rsidRDefault="008A7B1D" w:rsidP="008A7B1D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0"/>
          <w:szCs w:val="20"/>
        </w:rPr>
      </w:pPr>
      <w:r w:rsidRPr="00B82BDF">
        <w:rPr>
          <w:sz w:val="20"/>
          <w:szCs w:val="20"/>
        </w:rPr>
        <w:t xml:space="preserve">Art 14 (+ Art 3 et Art 8) • « Victimisation </w:t>
      </w:r>
      <w:proofErr w:type="spellStart"/>
      <w:r w:rsidRPr="00B82BDF">
        <w:rPr>
          <w:sz w:val="20"/>
          <w:szCs w:val="20"/>
        </w:rPr>
        <w:t>secondaire</w:t>
      </w:r>
      <w:proofErr w:type="spellEnd"/>
      <w:r w:rsidRPr="00B82BDF">
        <w:rPr>
          <w:sz w:val="20"/>
          <w:szCs w:val="20"/>
        </w:rPr>
        <w:t xml:space="preserve"> » de </w:t>
      </w:r>
      <w:proofErr w:type="spellStart"/>
      <w:r w:rsidRPr="00B82BDF">
        <w:rPr>
          <w:sz w:val="20"/>
          <w:szCs w:val="20"/>
        </w:rPr>
        <w:t>l’une</w:t>
      </w:r>
      <w:proofErr w:type="spellEnd"/>
      <w:r w:rsidRPr="00B82BDF">
        <w:rPr>
          <w:sz w:val="20"/>
          <w:szCs w:val="20"/>
        </w:rPr>
        <w:t xml:space="preserve"> des </w:t>
      </w:r>
      <w:proofErr w:type="spellStart"/>
      <w:r w:rsidRPr="00B82BDF">
        <w:rPr>
          <w:sz w:val="20"/>
          <w:szCs w:val="20"/>
        </w:rPr>
        <w:t>mineures</w:t>
      </w:r>
      <w:proofErr w:type="spellEnd"/>
      <w:r w:rsidRPr="00B82BDF">
        <w:rPr>
          <w:sz w:val="20"/>
          <w:szCs w:val="20"/>
        </w:rPr>
        <w:t xml:space="preserve"> du fait de son exposition </w:t>
      </w:r>
      <w:proofErr w:type="spellStart"/>
      <w:proofErr w:type="gramStart"/>
      <w:r w:rsidRPr="00B82BDF">
        <w:rPr>
          <w:sz w:val="20"/>
          <w:szCs w:val="20"/>
        </w:rPr>
        <w:t>par</w:t>
      </w:r>
      <w:proofErr w:type="spellEnd"/>
      <w:proofErr w:type="gramEnd"/>
      <w:r w:rsidRPr="00B82BDF">
        <w:rPr>
          <w:sz w:val="20"/>
          <w:szCs w:val="20"/>
        </w:rPr>
        <w:t xml:space="preserve"> les </w:t>
      </w:r>
      <w:proofErr w:type="spellStart"/>
      <w:r w:rsidRPr="00B82BDF">
        <w:rPr>
          <w:sz w:val="20"/>
          <w:szCs w:val="20"/>
        </w:rPr>
        <w:t>autorités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nationales</w:t>
      </w:r>
      <w:proofErr w:type="spellEnd"/>
      <w:r w:rsidRPr="00B82BDF">
        <w:rPr>
          <w:sz w:val="20"/>
          <w:szCs w:val="20"/>
        </w:rPr>
        <w:t xml:space="preserve"> à des </w:t>
      </w:r>
      <w:proofErr w:type="spellStart"/>
      <w:r w:rsidRPr="00B82BDF">
        <w:rPr>
          <w:sz w:val="20"/>
          <w:szCs w:val="20"/>
        </w:rPr>
        <w:t>propos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culpabilisants</w:t>
      </w:r>
      <w:proofErr w:type="spellEnd"/>
      <w:r w:rsidRPr="00B82BDF">
        <w:rPr>
          <w:sz w:val="20"/>
          <w:szCs w:val="20"/>
        </w:rPr>
        <w:t xml:space="preserve">, </w:t>
      </w:r>
      <w:proofErr w:type="spellStart"/>
      <w:r w:rsidRPr="00B82BDF">
        <w:rPr>
          <w:sz w:val="20"/>
          <w:szCs w:val="20"/>
        </w:rPr>
        <w:t>moralisateurs</w:t>
      </w:r>
      <w:proofErr w:type="spellEnd"/>
      <w:r w:rsidRPr="00B82BDF">
        <w:rPr>
          <w:sz w:val="20"/>
          <w:szCs w:val="20"/>
        </w:rPr>
        <w:t xml:space="preserve"> et </w:t>
      </w:r>
      <w:proofErr w:type="spellStart"/>
      <w:r w:rsidRPr="00B82BDF">
        <w:rPr>
          <w:sz w:val="20"/>
          <w:szCs w:val="20"/>
        </w:rPr>
        <w:t>véhiculant</w:t>
      </w:r>
      <w:proofErr w:type="spellEnd"/>
      <w:r w:rsidRPr="00B82BDF">
        <w:rPr>
          <w:sz w:val="20"/>
          <w:szCs w:val="20"/>
        </w:rPr>
        <w:t xml:space="preserve"> des </w:t>
      </w:r>
      <w:proofErr w:type="spellStart"/>
      <w:r w:rsidRPr="00B82BDF">
        <w:rPr>
          <w:sz w:val="20"/>
          <w:szCs w:val="20"/>
        </w:rPr>
        <w:t>stéréotypes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sexistes</w:t>
      </w:r>
      <w:proofErr w:type="spellEnd"/>
      <w:r w:rsidRPr="00B82BDF">
        <w:rPr>
          <w:sz w:val="20"/>
          <w:szCs w:val="20"/>
        </w:rPr>
        <w:t xml:space="preserve"> (</w:t>
      </w:r>
      <w:proofErr w:type="spellStart"/>
      <w:r w:rsidRPr="00B82BDF">
        <w:rPr>
          <w:sz w:val="20"/>
          <w:szCs w:val="20"/>
        </w:rPr>
        <w:t>requête</w:t>
      </w:r>
      <w:proofErr w:type="spellEnd"/>
      <w:r w:rsidRPr="00B82BDF">
        <w:rPr>
          <w:sz w:val="20"/>
          <w:szCs w:val="20"/>
        </w:rPr>
        <w:t xml:space="preserve"> n</w:t>
      </w:r>
      <w:r w:rsidRPr="00B82BDF">
        <w:rPr>
          <w:sz w:val="20"/>
          <w:szCs w:val="20"/>
          <w:vertAlign w:val="superscript"/>
        </w:rPr>
        <w:t>o</w:t>
      </w:r>
      <w:r w:rsidRPr="00B82BDF">
        <w:rPr>
          <w:sz w:val="20"/>
          <w:szCs w:val="20"/>
        </w:rPr>
        <w:t> 46949/21)</w:t>
      </w:r>
      <w:r w:rsidRPr="00B82BDF">
        <w:rPr>
          <w:i/>
          <w:iCs/>
          <w:sz w:val="20"/>
          <w:szCs w:val="20"/>
        </w:rPr>
        <w:t xml:space="preserve"> </w:t>
      </w:r>
      <w:r w:rsidRPr="00B82BDF">
        <w:rPr>
          <w:sz w:val="20"/>
          <w:szCs w:val="20"/>
        </w:rPr>
        <w:t xml:space="preserve">• Motifs de </w:t>
      </w:r>
      <w:proofErr w:type="spellStart"/>
      <w:r w:rsidRPr="00B82BDF">
        <w:rPr>
          <w:sz w:val="20"/>
          <w:szCs w:val="20"/>
        </w:rPr>
        <w:t>l’arrêt</w:t>
      </w:r>
      <w:proofErr w:type="spellEnd"/>
      <w:r w:rsidRPr="00B82BDF">
        <w:rPr>
          <w:sz w:val="20"/>
          <w:szCs w:val="20"/>
        </w:rPr>
        <w:t xml:space="preserve"> de la chambre de </w:t>
      </w:r>
      <w:proofErr w:type="spellStart"/>
      <w:r w:rsidRPr="00B82BDF">
        <w:rPr>
          <w:sz w:val="20"/>
          <w:szCs w:val="20"/>
        </w:rPr>
        <w:t>l’instruction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empreints</w:t>
      </w:r>
      <w:proofErr w:type="spellEnd"/>
      <w:r w:rsidRPr="00B82BDF">
        <w:rPr>
          <w:sz w:val="20"/>
          <w:szCs w:val="20"/>
        </w:rPr>
        <w:t xml:space="preserve"> </w:t>
      </w:r>
      <w:proofErr w:type="spellStart"/>
      <w:r w:rsidRPr="00B82BDF">
        <w:rPr>
          <w:sz w:val="20"/>
          <w:szCs w:val="20"/>
        </w:rPr>
        <w:t>d’une</w:t>
      </w:r>
      <w:proofErr w:type="spellEnd"/>
      <w:r w:rsidRPr="00B82BDF">
        <w:rPr>
          <w:sz w:val="20"/>
          <w:szCs w:val="20"/>
        </w:rPr>
        <w:t xml:space="preserve"> discrimination </w:t>
      </w:r>
      <w:proofErr w:type="spellStart"/>
      <w:r w:rsidRPr="00B82BDF">
        <w:rPr>
          <w:sz w:val="20"/>
          <w:szCs w:val="20"/>
        </w:rPr>
        <w:t>fondée</w:t>
      </w:r>
      <w:proofErr w:type="spellEnd"/>
      <w:r w:rsidRPr="00B82BDF">
        <w:rPr>
          <w:sz w:val="20"/>
          <w:szCs w:val="20"/>
        </w:rPr>
        <w:t xml:space="preserve"> sur le </w:t>
      </w:r>
      <w:proofErr w:type="spellStart"/>
      <w:r w:rsidRPr="00B82BDF">
        <w:rPr>
          <w:sz w:val="20"/>
          <w:szCs w:val="20"/>
        </w:rPr>
        <w:t>sexe</w:t>
      </w:r>
      <w:proofErr w:type="spellEnd"/>
      <w:r w:rsidRPr="00B82BDF">
        <w:rPr>
          <w:sz w:val="20"/>
          <w:szCs w:val="20"/>
        </w:rPr>
        <w:t xml:space="preserve"> • </w:t>
      </w:r>
      <w:proofErr w:type="spellStart"/>
      <w:r w:rsidRPr="00B82BDF">
        <w:rPr>
          <w:sz w:val="20"/>
          <w:szCs w:val="20"/>
        </w:rPr>
        <w:t>Stéréotypes</w:t>
      </w:r>
      <w:proofErr w:type="spellEnd"/>
      <w:r w:rsidRPr="00B82BDF">
        <w:rPr>
          <w:sz w:val="20"/>
          <w:szCs w:val="20"/>
        </w:rPr>
        <w:t xml:space="preserve"> de genre </w:t>
      </w:r>
      <w:proofErr w:type="spellStart"/>
      <w:r w:rsidRPr="00B82BDF">
        <w:rPr>
          <w:sz w:val="20"/>
          <w:szCs w:val="20"/>
        </w:rPr>
        <w:t>inopérants</w:t>
      </w:r>
      <w:proofErr w:type="spellEnd"/>
      <w:r w:rsidRPr="00B82BDF">
        <w:rPr>
          <w:sz w:val="20"/>
          <w:szCs w:val="20"/>
        </w:rPr>
        <w:t xml:space="preserve"> et </w:t>
      </w:r>
      <w:proofErr w:type="spellStart"/>
      <w:r w:rsidRPr="00B82BDF">
        <w:rPr>
          <w:sz w:val="20"/>
          <w:szCs w:val="20"/>
        </w:rPr>
        <w:t>attentatoires</w:t>
      </w:r>
      <w:proofErr w:type="spellEnd"/>
      <w:r w:rsidRPr="00B82BDF">
        <w:rPr>
          <w:sz w:val="20"/>
          <w:szCs w:val="20"/>
        </w:rPr>
        <w:t xml:space="preserve"> à la </w:t>
      </w:r>
      <w:proofErr w:type="spellStart"/>
      <w:r w:rsidRPr="00B82BDF">
        <w:rPr>
          <w:sz w:val="20"/>
          <w:szCs w:val="20"/>
        </w:rPr>
        <w:t>dignité</w:t>
      </w:r>
      <w:proofErr w:type="spellEnd"/>
      <w:r w:rsidRPr="00B82BDF">
        <w:rPr>
          <w:sz w:val="20"/>
          <w:szCs w:val="20"/>
        </w:rPr>
        <w:t xml:space="preserve"> de la </w:t>
      </w:r>
      <w:proofErr w:type="spellStart"/>
      <w:r w:rsidRPr="00B82BDF">
        <w:rPr>
          <w:sz w:val="20"/>
          <w:szCs w:val="20"/>
        </w:rPr>
        <w:t>requérante</w:t>
      </w:r>
      <w:proofErr w:type="spellEnd"/>
    </w:p>
    <w:p w14:paraId="1C3D9C3E" w14:textId="77777777" w:rsidR="008A7B1D" w:rsidRPr="00B82BDF" w:rsidRDefault="008A7B1D" w:rsidP="008A7B1D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29FC6A0" w14:textId="77777777" w:rsidR="008A7B1D" w:rsidRPr="00B82BDF" w:rsidRDefault="008A7B1D" w:rsidP="008A7B1D">
      <w:pPr>
        <w:pStyle w:val="ECHR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proofErr w:type="spellStart"/>
      <w:r w:rsidRPr="00B82BDF">
        <w:rPr>
          <w:rFonts w:ascii="Times New Roman" w:hAnsi="Times New Roman" w:cs="Times New Roman"/>
          <w:color w:val="000000"/>
          <w:sz w:val="16"/>
          <w:szCs w:val="16"/>
        </w:rPr>
        <w:t>Préparé</w:t>
      </w:r>
      <w:proofErr w:type="spellEnd"/>
      <w:r w:rsidRPr="00B82BDF">
        <w:rPr>
          <w:rFonts w:ascii="Times New Roman" w:hAnsi="Times New Roman" w:cs="Times New Roman"/>
          <w:color w:val="000000"/>
          <w:sz w:val="16"/>
          <w:szCs w:val="16"/>
        </w:rPr>
        <w:t xml:space="preserve"> par le </w:t>
      </w:r>
      <w:proofErr w:type="spellStart"/>
      <w:r w:rsidRPr="00B82BDF">
        <w:rPr>
          <w:rFonts w:ascii="Times New Roman" w:hAnsi="Times New Roman" w:cs="Times New Roman"/>
          <w:color w:val="000000"/>
          <w:sz w:val="16"/>
          <w:szCs w:val="16"/>
        </w:rPr>
        <w:t>Greffe</w:t>
      </w:r>
      <w:proofErr w:type="spellEnd"/>
      <w:r w:rsidRPr="00B82BDF">
        <w:rPr>
          <w:rFonts w:ascii="Times New Roman" w:hAnsi="Times New Roman" w:cs="Times New Roman"/>
          <w:color w:val="000000"/>
          <w:sz w:val="16"/>
          <w:szCs w:val="16"/>
        </w:rPr>
        <w:t xml:space="preserve">. Ne lie pas la </w:t>
      </w:r>
      <w:proofErr w:type="spellStart"/>
      <w:r w:rsidRPr="00B82BDF">
        <w:rPr>
          <w:rFonts w:ascii="Times New Roman" w:hAnsi="Times New Roman" w:cs="Times New Roman"/>
          <w:color w:val="000000"/>
          <w:sz w:val="16"/>
          <w:szCs w:val="16"/>
        </w:rPr>
        <w:t>Cour</w:t>
      </w:r>
      <w:proofErr w:type="spellEnd"/>
      <w:r w:rsidRPr="00B82BDF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4693A245" w14:textId="77777777" w:rsidR="008A7B1D" w:rsidRPr="00B82BDF" w:rsidRDefault="008A7B1D" w:rsidP="008A7B1D">
      <w:pPr>
        <w:pStyle w:val="ECHRTitleCentre2"/>
        <w:spacing w:after="120"/>
      </w:pPr>
    </w:p>
    <w:p w14:paraId="28C5091C" w14:textId="77777777" w:rsidR="008A7B1D" w:rsidRPr="00B82BDF" w:rsidRDefault="008A7B1D" w:rsidP="008A7B1D">
      <w:pPr>
        <w:pStyle w:val="ECHRTitleCentre2"/>
      </w:pPr>
      <w:r w:rsidRPr="00B82BDF">
        <w:t>STRASBOURG</w:t>
      </w:r>
    </w:p>
    <w:p w14:paraId="29FB5210" w14:textId="77777777" w:rsidR="008A7B1D" w:rsidRPr="00B82BDF" w:rsidRDefault="008A7B1D" w:rsidP="008A7B1D">
      <w:pPr>
        <w:pStyle w:val="ECHRTitleCentre2"/>
        <w:spacing w:after="0"/>
      </w:pPr>
      <w:r w:rsidRPr="00B82BDF">
        <w:t xml:space="preserve">24 </w:t>
      </w:r>
      <w:proofErr w:type="spellStart"/>
      <w:r w:rsidRPr="00B82BDF">
        <w:t>avril</w:t>
      </w:r>
      <w:proofErr w:type="spellEnd"/>
      <w:r w:rsidRPr="00B82BDF">
        <w:t xml:space="preserve"> 2025</w:t>
      </w:r>
    </w:p>
    <w:p w14:paraId="2987EFF4" w14:textId="77777777" w:rsidR="008A7B1D" w:rsidRPr="00B82BDF" w:rsidRDefault="008A7B1D" w:rsidP="008A7B1D">
      <w:pPr>
        <w:pStyle w:val="ECHRTitleCentre2"/>
      </w:pPr>
    </w:p>
    <w:p w14:paraId="5F0D29B2" w14:textId="77777777" w:rsidR="008A7B1D" w:rsidRDefault="008A7B1D" w:rsidP="008A7B1D">
      <w:pPr>
        <w:pStyle w:val="jucase0"/>
        <w:ind w:firstLine="0"/>
        <w:jc w:val="center"/>
        <w:rPr>
          <w:color w:val="FF0000"/>
          <w:sz w:val="28"/>
          <w:szCs w:val="28"/>
          <w:u w:val="single"/>
          <w:lang w:val="fr-FR"/>
        </w:rPr>
      </w:pPr>
      <w:bookmarkStart w:id="14" w:name="_Hlk172909186"/>
      <w:bookmarkStart w:id="15" w:name="_Hlk174111181"/>
      <w:r w:rsidRPr="00261F46">
        <w:rPr>
          <w:color w:val="FF0000"/>
          <w:sz w:val="28"/>
          <w:szCs w:val="28"/>
          <w:u w:val="single"/>
          <w:lang w:val="fr-FR"/>
        </w:rPr>
        <w:t>DÉFINITIF</w:t>
      </w:r>
    </w:p>
    <w:p w14:paraId="17058B80" w14:textId="77777777" w:rsidR="008A7B1D" w:rsidRPr="006D760C" w:rsidRDefault="008A7B1D" w:rsidP="008A7B1D">
      <w:pPr>
        <w:pStyle w:val="jucase0"/>
        <w:ind w:firstLine="0"/>
        <w:jc w:val="center"/>
        <w:rPr>
          <w:b w:val="0"/>
          <w:bCs w:val="0"/>
          <w:color w:val="FF0000"/>
          <w:u w:val="single"/>
          <w:lang w:val="fr-FR"/>
        </w:rPr>
      </w:pPr>
    </w:p>
    <w:p w14:paraId="4AC56E50" w14:textId="77777777" w:rsidR="008A7B1D" w:rsidRPr="00FA0AFC" w:rsidRDefault="008A7B1D" w:rsidP="008A7B1D">
      <w:pPr>
        <w:pStyle w:val="jucase0"/>
        <w:ind w:firstLine="0"/>
        <w:jc w:val="center"/>
        <w:rPr>
          <w:b w:val="0"/>
          <w:color w:val="FF0000"/>
          <w:sz w:val="28"/>
          <w:szCs w:val="28"/>
          <w:lang w:val="fr-FR"/>
        </w:rPr>
      </w:pPr>
      <w:r>
        <w:rPr>
          <w:b w:val="0"/>
          <w:color w:val="FF0000"/>
          <w:sz w:val="28"/>
          <w:szCs w:val="28"/>
          <w:lang w:val="fr-FR"/>
        </w:rPr>
        <w:t>24/07/2025</w:t>
      </w:r>
    </w:p>
    <w:p w14:paraId="1325D17A" w14:textId="77777777" w:rsidR="008A7B1D" w:rsidRPr="00261F46" w:rsidRDefault="008A7B1D" w:rsidP="008A7B1D">
      <w:pPr>
        <w:pStyle w:val="jupara"/>
        <w:ind w:firstLine="0"/>
        <w:jc w:val="center"/>
        <w:rPr>
          <w:u w:val="single"/>
          <w:lang w:val="fr-FR"/>
        </w:rPr>
      </w:pPr>
    </w:p>
    <w:p w14:paraId="2CE1E3B4" w14:textId="77777777" w:rsidR="008A7B1D" w:rsidRPr="00B82BDF" w:rsidRDefault="008A7B1D" w:rsidP="008A7B1D">
      <w:pPr>
        <w:jc w:val="center"/>
        <w:rPr>
          <w:rFonts w:ascii="Times New Roman" w:hAnsi="Times New Roman" w:cs="Times New Roman"/>
          <w:i/>
          <w:sz w:val="22"/>
        </w:rPr>
        <w:sectPr w:rsidR="008A7B1D" w:rsidRPr="00B82BDF" w:rsidSect="008A7B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  <w:docGrid w:linePitch="326"/>
        </w:sectPr>
      </w:pPr>
      <w:proofErr w:type="spellStart"/>
      <w:r w:rsidRPr="00261F46">
        <w:rPr>
          <w:i/>
          <w:iCs/>
          <w:sz w:val="22"/>
        </w:rPr>
        <w:t>Cet</w:t>
      </w:r>
      <w:proofErr w:type="spellEnd"/>
      <w:r w:rsidRPr="00261F46">
        <w:rPr>
          <w:i/>
          <w:iCs/>
          <w:sz w:val="22"/>
        </w:rPr>
        <w:t xml:space="preserve"> </w:t>
      </w:r>
      <w:proofErr w:type="spellStart"/>
      <w:r w:rsidRPr="00261F46">
        <w:rPr>
          <w:i/>
          <w:iCs/>
          <w:sz w:val="22"/>
        </w:rPr>
        <w:t>arrêt</w:t>
      </w:r>
      <w:proofErr w:type="spellEnd"/>
      <w:r w:rsidRPr="00261F46">
        <w:rPr>
          <w:i/>
          <w:iCs/>
          <w:sz w:val="22"/>
        </w:rPr>
        <w:t xml:space="preserve"> </w:t>
      </w:r>
      <w:proofErr w:type="spellStart"/>
      <w:r w:rsidRPr="00261F46">
        <w:rPr>
          <w:i/>
          <w:iCs/>
          <w:sz w:val="22"/>
        </w:rPr>
        <w:t>est</w:t>
      </w:r>
      <w:proofErr w:type="spellEnd"/>
      <w:r w:rsidRPr="00261F46">
        <w:rPr>
          <w:i/>
          <w:iCs/>
          <w:sz w:val="22"/>
        </w:rPr>
        <w:t xml:space="preserve"> </w:t>
      </w:r>
      <w:proofErr w:type="spellStart"/>
      <w:r w:rsidRPr="00261F46">
        <w:rPr>
          <w:i/>
          <w:iCs/>
          <w:sz w:val="22"/>
        </w:rPr>
        <w:t>devenu</w:t>
      </w:r>
      <w:proofErr w:type="spellEnd"/>
      <w:r w:rsidRPr="00261F46">
        <w:rPr>
          <w:i/>
          <w:iCs/>
          <w:sz w:val="22"/>
        </w:rPr>
        <w:t xml:space="preserve"> </w:t>
      </w:r>
      <w:proofErr w:type="spellStart"/>
      <w:r w:rsidRPr="00261F46">
        <w:rPr>
          <w:i/>
          <w:iCs/>
          <w:sz w:val="22"/>
        </w:rPr>
        <w:t>définitif</w:t>
      </w:r>
      <w:proofErr w:type="spellEnd"/>
      <w:r w:rsidRPr="00261F46">
        <w:rPr>
          <w:i/>
          <w:iCs/>
          <w:sz w:val="22"/>
        </w:rPr>
        <w:t xml:space="preserve"> </w:t>
      </w:r>
      <w:proofErr w:type="spellStart"/>
      <w:r w:rsidRPr="00261F46">
        <w:rPr>
          <w:i/>
          <w:iCs/>
          <w:sz w:val="22"/>
        </w:rPr>
        <w:t>en</w:t>
      </w:r>
      <w:proofErr w:type="spellEnd"/>
      <w:r w:rsidRPr="00261F46">
        <w:rPr>
          <w:i/>
          <w:iCs/>
          <w:sz w:val="22"/>
        </w:rPr>
        <w:t xml:space="preserve"> vertu de </w:t>
      </w:r>
      <w:proofErr w:type="spellStart"/>
      <w:r w:rsidRPr="00261F46">
        <w:rPr>
          <w:i/>
          <w:iCs/>
          <w:sz w:val="22"/>
        </w:rPr>
        <w:t>l’article</w:t>
      </w:r>
      <w:proofErr w:type="spellEnd"/>
      <w:r w:rsidRPr="00261F46">
        <w:rPr>
          <w:i/>
          <w:iCs/>
          <w:sz w:val="22"/>
        </w:rPr>
        <w:t xml:space="preserve"> 44 § 2 de la Convention. </w:t>
      </w:r>
      <w:r>
        <w:rPr>
          <w:i/>
          <w:iCs/>
          <w:sz w:val="22"/>
        </w:rPr>
        <w:br/>
      </w:r>
      <w:r w:rsidRPr="00E361A6">
        <w:rPr>
          <w:i/>
          <w:iCs/>
          <w:sz w:val="22"/>
        </w:rPr>
        <w:t xml:space="preserve">Il </w:t>
      </w:r>
      <w:proofErr w:type="spellStart"/>
      <w:r w:rsidRPr="00E361A6">
        <w:rPr>
          <w:i/>
          <w:iCs/>
          <w:sz w:val="22"/>
        </w:rPr>
        <w:t>peut</w:t>
      </w:r>
      <w:proofErr w:type="spellEnd"/>
      <w:r w:rsidRPr="00E361A6">
        <w:rPr>
          <w:i/>
          <w:iCs/>
          <w:sz w:val="22"/>
        </w:rPr>
        <w:t xml:space="preserve"> </w:t>
      </w:r>
      <w:proofErr w:type="spellStart"/>
      <w:r w:rsidRPr="00E361A6">
        <w:rPr>
          <w:i/>
          <w:iCs/>
          <w:sz w:val="22"/>
        </w:rPr>
        <w:t>subir</w:t>
      </w:r>
      <w:proofErr w:type="spellEnd"/>
      <w:r w:rsidRPr="00E361A6">
        <w:rPr>
          <w:i/>
          <w:iCs/>
          <w:sz w:val="22"/>
        </w:rPr>
        <w:t xml:space="preserve"> des retouches de </w:t>
      </w:r>
      <w:proofErr w:type="spellStart"/>
      <w:r w:rsidRPr="00E361A6">
        <w:rPr>
          <w:i/>
          <w:iCs/>
          <w:sz w:val="22"/>
        </w:rPr>
        <w:t>forme</w:t>
      </w:r>
      <w:proofErr w:type="spellEnd"/>
      <w:r w:rsidRPr="00E361A6">
        <w:rPr>
          <w:i/>
          <w:iCs/>
          <w:sz w:val="22"/>
        </w:rPr>
        <w:t>.</w:t>
      </w:r>
      <w:bookmarkEnd w:id="14"/>
      <w:bookmarkEnd w:id="15"/>
      <w:r w:rsidRPr="00B82BDF">
        <w:rPr>
          <w:rFonts w:ascii="Times New Roman" w:hAnsi="Times New Roman" w:cs="Times New Roman"/>
          <w:i/>
          <w:sz w:val="22"/>
        </w:rPr>
        <w:t xml:space="preserve"> </w:t>
      </w:r>
    </w:p>
    <w:sdt>
      <w:sdtPr>
        <w:rPr>
          <w:rFonts w:asciiTheme="minorHAnsi" w:hAnsiTheme="minorHAnsi"/>
          <w:b w:val="0"/>
          <w:color w:val="auto"/>
          <w:sz w:val="24"/>
        </w:rPr>
        <w:id w:val="-1556607210"/>
        <w:docPartObj>
          <w:docPartGallery w:val="Table of Contents"/>
          <w:docPartUnique/>
        </w:docPartObj>
      </w:sdtPr>
      <w:sdtEndPr>
        <w:rPr>
          <w:rFonts w:eastAsiaTheme="minorEastAsia"/>
          <w:bCs/>
          <w:noProof/>
        </w:rPr>
      </w:sdtEndPr>
      <w:sdtContent>
        <w:p w14:paraId="70E93493" w14:textId="77777777" w:rsidR="008A7B1D" w:rsidRPr="00B82BDF" w:rsidRDefault="008A7B1D" w:rsidP="008A7B1D">
          <w:pPr>
            <w:pStyle w:val="En-ttedetabledesmatires"/>
          </w:pPr>
          <w:r w:rsidRPr="00B82BDF">
            <w:t>Table des matières</w:t>
          </w:r>
        </w:p>
        <w:p w14:paraId="3D92D07B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r w:rsidRPr="00B82BDF">
            <w:fldChar w:fldCharType="begin"/>
          </w:r>
          <w:r w:rsidRPr="00B82BDF">
            <w:instrText xml:space="preserve"> TOC \o "1-3" \h \z \u </w:instrText>
          </w:r>
          <w:r w:rsidRPr="00B82BDF">
            <w:fldChar w:fldCharType="separate"/>
          </w:r>
          <w:hyperlink w:anchor="_Toc194995819" w:history="1">
            <w:r w:rsidRPr="00B82BDF">
              <w:rPr>
                <w:rStyle w:val="Lienhypertexte"/>
                <w:noProof/>
              </w:rPr>
              <w:t>INTRODUCTION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_Toc194995819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3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4454D9DF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hyperlink w:anchor="_Toc194995820" w:history="1">
            <w:r w:rsidRPr="00B82BDF">
              <w:rPr>
                <w:rStyle w:val="Lienhypertexte"/>
                <w:noProof/>
              </w:rPr>
              <w:t>EN FAIT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_Toc194995820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06371C07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21" w:history="1">
            <w:r w:rsidRPr="00B82BDF">
              <w:rPr>
                <w:rStyle w:val="Lienhypertexte"/>
                <w:noProof/>
              </w:rPr>
              <w:t>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Requête L. c. France n</w:t>
            </w:r>
            <w:r w:rsidRPr="00B82BDF">
              <w:rPr>
                <w:rStyle w:val="Lienhypertexte"/>
                <w:noProof/>
                <w:vertAlign w:val="superscript"/>
              </w:rPr>
              <w:t>o</w:t>
            </w:r>
            <w:r w:rsidRPr="00B82BDF">
              <w:rPr>
                <w:rStyle w:val="Lienhypertexte"/>
                <w:noProof/>
              </w:rPr>
              <w:t> 46949/21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_Toc194995821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0B3AEE1F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2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plainte pénale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_Toc194995822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ECDC9DD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3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L’ouverture d’une information judiciaire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_Toc194995823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7C622BC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4" w:history="1">
            <w:r w:rsidRPr="00B82BDF">
              <w:rPr>
                <w:rStyle w:val="Lienhypertexte"/>
                <w:noProof/>
              </w:rPr>
              <w:t>C.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renvoi en jugement des mis en examen pour atteintes sexuelles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_Toc194995824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10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72F8573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5" w:history="1">
            <w:r w:rsidRPr="00B82BDF">
              <w:rPr>
                <w:rStyle w:val="Lienhypertexte"/>
                <w:noProof/>
              </w:rPr>
              <w:t>D.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plainte avec constitution de partie civile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_Toc194995825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16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51F6FFC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26" w:history="1">
            <w:r w:rsidRPr="00B82BDF">
              <w:rPr>
                <w:rStyle w:val="Lienhypertexte"/>
                <w:noProof/>
              </w:rPr>
              <w:t>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Requête H.B. c. France n</w:t>
            </w:r>
            <w:r w:rsidRPr="00B82BDF">
              <w:rPr>
                <w:rStyle w:val="Lienhypertexte"/>
                <w:noProof/>
                <w:vertAlign w:val="superscript"/>
              </w:rPr>
              <w:t>o</w:t>
            </w:r>
            <w:r w:rsidRPr="00B82BDF">
              <w:rPr>
                <w:rStyle w:val="Lienhypertexte"/>
                <w:noProof/>
              </w:rPr>
              <w:t> 24989/22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_Toc194995826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17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1217DCE8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7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plainte pénale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_Toc194995827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17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8827943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28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procédure de jugement des prévenus pour atteintes sexuelles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_Toc194995828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18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0072D609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29" w:history="1">
            <w:r w:rsidRPr="00B82BDF">
              <w:rPr>
                <w:rStyle w:val="Lienhypertexte"/>
                <w:noProof/>
              </w:rPr>
              <w:t>III.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Requête M.L. c. France n</w:t>
            </w:r>
            <w:r w:rsidRPr="00B82BDF">
              <w:rPr>
                <w:rStyle w:val="Lienhypertexte"/>
                <w:noProof/>
                <w:vertAlign w:val="superscript"/>
              </w:rPr>
              <w:t>o</w:t>
            </w:r>
            <w:r w:rsidRPr="00B82BDF">
              <w:rPr>
                <w:rStyle w:val="Lienhypertexte"/>
                <w:noProof/>
              </w:rPr>
              <w:t> 39759/22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_Toc194995829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27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5089D0D0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0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première plainte pénale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_Toc194995830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27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521CA895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1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plainte avec constitution de partie civile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_Toc194995831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30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07C4C73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hyperlink w:anchor="_Toc194995832" w:history="1">
            <w:r w:rsidRPr="00B82BDF">
              <w:rPr>
                <w:rStyle w:val="Lienhypertexte"/>
                <w:noProof/>
              </w:rPr>
              <w:t>LE CADRE JURIDIQUE ET LA PRATIQUE PERTINENTS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_Toc194995832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36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2B8D95F8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33" w:history="1">
            <w:r w:rsidRPr="00B82BDF">
              <w:rPr>
                <w:rStyle w:val="Lienhypertexte"/>
                <w:noProof/>
              </w:rPr>
              <w:t>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DROIT ET LA PRATIQUE INTERNES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_Toc194995833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36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71BF1BCA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4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Les dispositions du code pénal (CP)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_Toc194995834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36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4B9A0646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5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La jurisprudence de la Cour de cassation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_Toc194995835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41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EEF88DD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6" w:history="1">
            <w:r w:rsidRPr="00B82BDF">
              <w:rPr>
                <w:rStyle w:val="Lienhypertexte"/>
                <w:noProof/>
              </w:rPr>
              <w:t>C.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Autres documents relatifs à la législation et au traitement judiciaire des violences sexuelles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_Toc194995836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42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76627387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37" w:history="1">
            <w:r w:rsidRPr="00B82BDF">
              <w:rPr>
                <w:rStyle w:val="Lienhypertexte"/>
                <w:noProof/>
              </w:rPr>
              <w:t>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DROIT ET LA PRATIQUE INTERNATIONAUX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_Toc194995837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9F6FBF4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8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Les Nations unies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_Toc194995838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532C877F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39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Conseil de l’Europe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_Toc194995839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47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E56F464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40" w:history="1">
            <w:r w:rsidRPr="00B82BDF">
              <w:rPr>
                <w:rStyle w:val="Lienhypertexte"/>
                <w:noProof/>
              </w:rPr>
              <w:t>III.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DROIT DE L’UNION EUROPÉENNE (« UE »)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_Toc194995840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53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18EA97B1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41" w:history="1">
            <w:r w:rsidRPr="00B82BDF">
              <w:rPr>
                <w:rStyle w:val="Lienhypertexte"/>
                <w:noProof/>
              </w:rPr>
              <w:t>IV.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 DROIT COMPARE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_Toc194995841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7ACA2269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42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Les États parties à la Convention d’Istanbul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_Toc194995842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797106E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43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Les États membres de l’UE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_Toc194995843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95E1039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hyperlink w:anchor="_Toc194995844" w:history="1">
            <w:r w:rsidRPr="00B82BDF">
              <w:rPr>
                <w:rStyle w:val="Lienhypertexte"/>
                <w:noProof/>
              </w:rPr>
              <w:t>EN DROIT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_Toc194995844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8A12063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45" w:history="1">
            <w:r w:rsidRPr="00B82BDF">
              <w:rPr>
                <w:rStyle w:val="Lienhypertexte"/>
                <w:noProof/>
              </w:rPr>
              <w:t>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JONCTION DES REQUÊTES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_Toc194995845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08647353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46" w:history="1">
            <w:r w:rsidRPr="00B82BDF">
              <w:rPr>
                <w:rStyle w:val="Lienhypertexte"/>
                <w:noProof/>
              </w:rPr>
              <w:t>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SUR LA VIOLATION ALLÉGUÉE DES ARTICLES 3, 8 ET 14 DE LA CONVENTION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_Toc194995846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56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10A8E636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47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Sur la recevabilité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_Toc194995847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57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3A945BCA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48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Sur le fond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_Toc194995848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62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8923ABC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49" w:history="1">
            <w:r w:rsidRPr="00B82BDF">
              <w:rPr>
                <w:rStyle w:val="Lienhypertexte"/>
                <w:noProof/>
              </w:rPr>
              <w:t>III.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SUR LA VIOLATION ALLÉGUÉE DE L’ARTICLE 6 § 1 DE LA CONVENTION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_Toc194995849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83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4CE41CC8" w14:textId="77777777" w:rsidR="008A7B1D" w:rsidRPr="00B82BDF" w:rsidRDefault="008A7B1D" w:rsidP="008A7B1D">
          <w:pPr>
            <w:pStyle w:val="TM2"/>
            <w:rPr>
              <w:noProof/>
              <w:kern w:val="2"/>
              <w:lang w:eastAsia="fr-FR"/>
              <w14:ligatures w14:val="standardContextual"/>
            </w:rPr>
          </w:pPr>
          <w:hyperlink w:anchor="_Toc194995850" w:history="1">
            <w:r w:rsidRPr="00B82BDF">
              <w:rPr>
                <w:rStyle w:val="Lienhypertexte"/>
                <w:noProof/>
              </w:rPr>
              <w:t>IV.</w:t>
            </w:r>
            <w:r w:rsidRPr="00B82BDF">
              <w:rPr>
                <w:noProof/>
                <w:kern w:val="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SUR L’APPLICATION DE L’ARTICLE 41 DE LA CONVENTION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_Toc194995850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6631005E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  <w:hyperlink w:anchor="_Toc194995851" w:history="1">
            <w:r w:rsidRPr="00B82BDF">
              <w:rPr>
                <w:rStyle w:val="Lienhypertexte"/>
                <w:noProof/>
              </w:rPr>
              <w:t>A.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Dommage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_Toc194995851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84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00E7FC94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</w:rPr>
          </w:pPr>
          <w:hyperlink w:anchor="_Toc194995852" w:history="1">
            <w:r w:rsidRPr="00B82BDF">
              <w:rPr>
                <w:rStyle w:val="Lienhypertexte"/>
                <w:noProof/>
              </w:rPr>
              <w:t>B.</w:t>
            </w:r>
            <w:r w:rsidRPr="00B82BDF">
              <w:rPr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B82BDF">
              <w:rPr>
                <w:rStyle w:val="Lienhypertexte"/>
                <w:noProof/>
              </w:rPr>
              <w:t>Frais et dépens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_Toc194995852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5ED178DB" w14:textId="77777777" w:rsidR="008A7B1D" w:rsidRPr="00B82BDF" w:rsidRDefault="008A7B1D" w:rsidP="008A7B1D">
          <w:pPr>
            <w:rPr>
              <w:noProof/>
              <w:sz w:val="20"/>
            </w:rPr>
          </w:pPr>
        </w:p>
        <w:p w14:paraId="25164127" w14:textId="77777777" w:rsidR="008A7B1D" w:rsidRPr="00B82BDF" w:rsidRDefault="008A7B1D" w:rsidP="008A7B1D">
          <w:pPr>
            <w:pStyle w:val="TM3"/>
            <w:tabs>
              <w:tab w:val="left" w:pos="1361"/>
            </w:tabs>
            <w:rPr>
              <w:noProof/>
              <w:kern w:val="2"/>
              <w:sz w:val="22"/>
              <w:lang w:eastAsia="fr-FR"/>
              <w14:ligatures w14:val="standardContextual"/>
            </w:rPr>
          </w:pPr>
        </w:p>
        <w:p w14:paraId="61CE4112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hyperlink w:anchor="_Toc194995853" w:history="1">
            <w:r w:rsidRPr="00B82BDF">
              <w:rPr>
                <w:rStyle w:val="Lienhypertexte"/>
                <w:noProof/>
              </w:rPr>
              <w:t>DISPOSITIF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_Toc194995853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85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40A32974" w14:textId="77777777" w:rsidR="008A7B1D" w:rsidRPr="00B82BDF" w:rsidRDefault="008A7B1D" w:rsidP="008A7B1D">
          <w:pPr>
            <w:pStyle w:val="TM1"/>
            <w:rPr>
              <w:noProof/>
              <w:kern w:val="2"/>
              <w:lang w:eastAsia="fr-FR"/>
              <w14:ligatures w14:val="standardContextual"/>
            </w:rPr>
          </w:pPr>
          <w:hyperlink w:anchor="_Toc194995854" w:history="1">
            <w:r w:rsidRPr="00B82BDF">
              <w:rPr>
                <w:rStyle w:val="Lienhypertexte"/>
                <w:caps/>
                <w:noProof/>
              </w:rPr>
              <w:t xml:space="preserve">ANNEXE - </w:t>
            </w:r>
            <w:r w:rsidRPr="00B82BDF">
              <w:rPr>
                <w:rStyle w:val="Lienhypertexte"/>
                <w:noProof/>
              </w:rPr>
              <w:t>Liste des requêtes</w:t>
            </w:r>
            <w:r w:rsidRPr="00B82BDF">
              <w:rPr>
                <w:noProof/>
                <w:webHidden/>
              </w:rPr>
              <w:tab/>
            </w:r>
            <w:r w:rsidRPr="00B82BDF">
              <w:rPr>
                <w:noProof/>
                <w:webHidden/>
              </w:rPr>
              <w:fldChar w:fldCharType="begin"/>
            </w:r>
            <w:r w:rsidRPr="00B82BDF">
              <w:rPr>
                <w:noProof/>
                <w:webHidden/>
              </w:rPr>
              <w:instrText xml:space="preserve"> PAGEREF _Toc194995854 \h </w:instrText>
            </w:r>
            <w:r w:rsidRPr="00B82BDF">
              <w:rPr>
                <w:noProof/>
                <w:webHidden/>
              </w:rPr>
            </w:r>
            <w:r w:rsidRPr="00B82BDF">
              <w:rPr>
                <w:noProof/>
                <w:webHidden/>
              </w:rPr>
              <w:fldChar w:fldCharType="separate"/>
            </w:r>
            <w:r w:rsidRPr="00B82BDF">
              <w:rPr>
                <w:noProof/>
                <w:webHidden/>
              </w:rPr>
              <w:t>87</w:t>
            </w:r>
            <w:r w:rsidRPr="00B82BDF">
              <w:rPr>
                <w:noProof/>
                <w:webHidden/>
              </w:rPr>
              <w:fldChar w:fldCharType="end"/>
            </w:r>
          </w:hyperlink>
        </w:p>
        <w:p w14:paraId="4E7A1FC8" w14:textId="77777777" w:rsidR="008A7B1D" w:rsidRPr="00B82BDF" w:rsidRDefault="008A7B1D" w:rsidP="008A7B1D">
          <w:pPr>
            <w:rPr>
              <w:bCs/>
              <w:noProof/>
            </w:rPr>
          </w:pPr>
          <w:r w:rsidRPr="00B82BDF">
            <w:rPr>
              <w:b/>
              <w:bCs/>
              <w:noProof/>
            </w:rPr>
            <w:fldChar w:fldCharType="end"/>
          </w:r>
        </w:p>
      </w:sdtContent>
    </w:sdt>
    <w:p w14:paraId="3E2210ED" w14:textId="77777777" w:rsidR="008A7B1D" w:rsidRPr="00B82BDF" w:rsidRDefault="008A7B1D" w:rsidP="008A7B1D">
      <w:r w:rsidRPr="00B82BDF">
        <w:br w:type="page"/>
      </w:r>
    </w:p>
    <w:p w14:paraId="3BF022B3" w14:textId="77777777" w:rsidR="008A7B1D" w:rsidRPr="00B82BDF" w:rsidRDefault="008A7B1D" w:rsidP="008A7B1D">
      <w:pPr>
        <w:ind w:firstLine="284"/>
        <w:rPr>
          <w:b/>
          <w:bCs/>
        </w:rPr>
      </w:pPr>
      <w:proofErr w:type="spellStart"/>
      <w:r w:rsidRPr="00B82BDF">
        <w:rPr>
          <w:b/>
          <w:bCs/>
        </w:rPr>
        <w:lastRenderedPageBreak/>
        <w:t>En</w:t>
      </w:r>
      <w:proofErr w:type="spellEnd"/>
      <w:r w:rsidRPr="00B82BDF">
        <w:rPr>
          <w:b/>
          <w:bCs/>
        </w:rPr>
        <w:t xml:space="preserve"> </w:t>
      </w:r>
      <w:proofErr w:type="spellStart"/>
      <w:r w:rsidRPr="00B82BDF">
        <w:rPr>
          <w:b/>
          <w:bCs/>
        </w:rPr>
        <w:t>l’affaire</w:t>
      </w:r>
      <w:proofErr w:type="spellEnd"/>
      <w:r w:rsidRPr="00B82BDF">
        <w:rPr>
          <w:b/>
          <w:bCs/>
        </w:rPr>
        <w:t xml:space="preserve"> L. et </w:t>
      </w:r>
      <w:proofErr w:type="spellStart"/>
      <w:r w:rsidRPr="00B82BDF">
        <w:rPr>
          <w:b/>
          <w:bCs/>
        </w:rPr>
        <w:t>autres</w:t>
      </w:r>
      <w:proofErr w:type="spellEnd"/>
      <w:r w:rsidRPr="00B82BDF">
        <w:rPr>
          <w:b/>
          <w:bCs/>
        </w:rPr>
        <w:t xml:space="preserve"> c. France,</w:t>
      </w:r>
    </w:p>
    <w:p w14:paraId="1097655D" w14:textId="77777777" w:rsidR="008A7B1D" w:rsidRPr="00B82BDF" w:rsidRDefault="008A7B1D" w:rsidP="008A7B1D">
      <w:pPr>
        <w:pStyle w:val="ECHRTitle1"/>
        <w:numPr>
          <w:ilvl w:val="0"/>
          <w:numId w:val="21"/>
        </w:numPr>
        <w:spacing w:before="100" w:beforeAutospacing="1"/>
      </w:pPr>
      <w:bookmarkStart w:id="16" w:name="_Toc193460597"/>
      <w:bookmarkStart w:id="17" w:name="_Toc194571303"/>
      <w:bookmarkStart w:id="18" w:name="_Toc194995844"/>
      <w:r w:rsidRPr="00B82BDF">
        <w:t>EN DROIT</w:t>
      </w:r>
      <w:bookmarkEnd w:id="16"/>
      <w:bookmarkEnd w:id="17"/>
      <w:bookmarkEnd w:id="18"/>
    </w:p>
    <w:p w14:paraId="1B18693E" w14:textId="77777777" w:rsidR="008A7B1D" w:rsidRPr="00B82BDF" w:rsidRDefault="008A7B1D" w:rsidP="008A7B1D">
      <w:pPr>
        <w:pStyle w:val="ECHRHeading1"/>
        <w:numPr>
          <w:ilvl w:val="0"/>
          <w:numId w:val="21"/>
        </w:numPr>
        <w:ind w:left="357" w:hanging="357"/>
      </w:pPr>
      <w:bookmarkStart w:id="19" w:name="_Toc193460598"/>
      <w:bookmarkStart w:id="20" w:name="_Toc194571304"/>
      <w:bookmarkStart w:id="21" w:name="_Toc194995845"/>
      <w:r w:rsidRPr="00B82BDF">
        <w:t>JONCTION DES REQUÊTES</w:t>
      </w:r>
      <w:bookmarkEnd w:id="19"/>
      <w:bookmarkEnd w:id="20"/>
      <w:bookmarkEnd w:id="21"/>
    </w:p>
    <w:p w14:paraId="128A3BCE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148</w:t>
      </w:r>
      <w:r w:rsidRPr="00B82BDF">
        <w:rPr>
          <w:noProof/>
        </w:rPr>
        <w:fldChar w:fldCharType="end"/>
      </w:r>
      <w:r w:rsidRPr="00B82BDF">
        <w:t xml:space="preserve">.  Eu </w:t>
      </w:r>
      <w:proofErr w:type="spellStart"/>
      <w:r w:rsidRPr="00B82BDF">
        <w:t>égard</w:t>
      </w:r>
      <w:proofErr w:type="spellEnd"/>
      <w:r w:rsidRPr="00B82BDF">
        <w:t xml:space="preserve"> à la </w:t>
      </w:r>
      <w:proofErr w:type="spellStart"/>
      <w:r w:rsidRPr="00B82BDF">
        <w:t>similarité</w:t>
      </w:r>
      <w:proofErr w:type="spellEnd"/>
      <w:r w:rsidRPr="00B82BDF">
        <w:t xml:space="preserve"> de </w:t>
      </w:r>
      <w:proofErr w:type="spellStart"/>
      <w:r w:rsidRPr="00B82BDF">
        <w:t>l’objet</w:t>
      </w:r>
      <w:proofErr w:type="spellEnd"/>
      <w:r w:rsidRPr="00B82BDF">
        <w:t xml:space="preserve"> des </w:t>
      </w:r>
      <w:proofErr w:type="spellStart"/>
      <w:r w:rsidRPr="00B82BDF">
        <w:t>requêtes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juge</w:t>
      </w:r>
      <w:proofErr w:type="spellEnd"/>
      <w:r w:rsidRPr="00B82BDF">
        <w:t xml:space="preserve"> </w:t>
      </w:r>
      <w:proofErr w:type="spellStart"/>
      <w:r w:rsidRPr="00B82BDF">
        <w:t>opportun</w:t>
      </w:r>
      <w:proofErr w:type="spellEnd"/>
      <w:r w:rsidRPr="00B82BDF">
        <w:t xml:space="preserve"> de les examiner ensemble dans un </w:t>
      </w:r>
      <w:proofErr w:type="spellStart"/>
      <w:r w:rsidRPr="00B82BDF">
        <w:t>arrêt</w:t>
      </w:r>
      <w:proofErr w:type="spellEnd"/>
      <w:r w:rsidRPr="00B82BDF">
        <w:t xml:space="preserve"> unique.</w:t>
      </w:r>
    </w:p>
    <w:p w14:paraId="5C24FDDD" w14:textId="77777777" w:rsidR="008A7B1D" w:rsidRPr="00B82BDF" w:rsidRDefault="008A7B1D" w:rsidP="008A7B1D">
      <w:pPr>
        <w:pStyle w:val="ECHRHeading1"/>
        <w:numPr>
          <w:ilvl w:val="0"/>
          <w:numId w:val="21"/>
        </w:numPr>
        <w:ind w:left="357" w:hanging="357"/>
      </w:pPr>
      <w:bookmarkStart w:id="22" w:name="_Toc193460599"/>
      <w:bookmarkStart w:id="23" w:name="_Toc194571305"/>
      <w:bookmarkStart w:id="24" w:name="_Toc194995846"/>
      <w:r w:rsidRPr="00B82BDF">
        <w:t>SUR LA VIOLATION ALLÉGUÉE DES ARTICLES 3, 8 ET 14 DE LA CONVENTION</w:t>
      </w:r>
      <w:bookmarkEnd w:id="22"/>
      <w:bookmarkEnd w:id="23"/>
      <w:bookmarkEnd w:id="24"/>
    </w:p>
    <w:bookmarkStart w:id="25" w:name="paragraph00149"/>
    <w:p w14:paraId="122BF1B0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</w:instrText>
      </w:r>
      <w:r w:rsidRPr="00B82BDF">
        <w:fldChar w:fldCharType="separate"/>
      </w:r>
      <w:r w:rsidRPr="00B82BDF">
        <w:rPr>
          <w:noProof/>
        </w:rPr>
        <w:t>149</w:t>
      </w:r>
      <w:r w:rsidRPr="00B82BDF">
        <w:fldChar w:fldCharType="end"/>
      </w:r>
      <w:bookmarkEnd w:id="25"/>
      <w:r w:rsidRPr="00B82BDF">
        <w:t xml:space="preserve">.  Les </w:t>
      </w:r>
      <w:proofErr w:type="spellStart"/>
      <w:r w:rsidRPr="00B82BDF">
        <w:t>requérantes</w:t>
      </w:r>
      <w:proofErr w:type="spellEnd"/>
      <w:r w:rsidRPr="00B82BDF">
        <w:t xml:space="preserve"> se </w:t>
      </w:r>
      <w:proofErr w:type="spellStart"/>
      <w:r w:rsidRPr="00B82BDF">
        <w:t>plaignent</w:t>
      </w:r>
      <w:proofErr w:type="spellEnd"/>
      <w:r w:rsidRPr="00B82BDF">
        <w:t xml:space="preserve"> du fait que le droit et la pratique </w:t>
      </w:r>
      <w:proofErr w:type="spellStart"/>
      <w:r w:rsidRPr="00B82BDF">
        <w:t>français</w:t>
      </w:r>
      <w:proofErr w:type="spellEnd"/>
      <w:r w:rsidRPr="00B82BDF">
        <w:t xml:space="preserve"> </w:t>
      </w:r>
      <w:proofErr w:type="spellStart"/>
      <w:r w:rsidRPr="00B82BDF">
        <w:t>n’assurent</w:t>
      </w:r>
      <w:proofErr w:type="spellEnd"/>
      <w:r w:rsidRPr="00B82BDF">
        <w:t xml:space="preserve"> pas </w:t>
      </w:r>
      <w:proofErr w:type="spellStart"/>
      <w:r w:rsidRPr="00B82BDF">
        <w:t>une</w:t>
      </w:r>
      <w:proofErr w:type="spellEnd"/>
      <w:r w:rsidRPr="00B82BDF">
        <w:t xml:space="preserve"> protection effective </w:t>
      </w:r>
      <w:proofErr w:type="spellStart"/>
      <w:r w:rsidRPr="00B82BDF">
        <w:t>contre</w:t>
      </w:r>
      <w:proofErr w:type="spellEnd"/>
      <w:r w:rsidRPr="00B82BDF">
        <w:t xml:space="preserve"> le viol et que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qualité</w:t>
      </w:r>
      <w:proofErr w:type="spellEnd"/>
      <w:r w:rsidRPr="00B82BDF">
        <w:t xml:space="preserve"> de </w:t>
      </w:r>
      <w:proofErr w:type="spellStart"/>
      <w:r w:rsidRPr="00B82BDF">
        <w:t>mineures</w:t>
      </w:r>
      <w:proofErr w:type="spellEnd"/>
      <w:r w:rsidRPr="00B82BDF">
        <w:t xml:space="preserve"> et </w:t>
      </w:r>
      <w:proofErr w:type="spellStart"/>
      <w:r w:rsidRPr="00B82BDF">
        <w:t>leur</w:t>
      </w:r>
      <w:proofErr w:type="spellEnd"/>
      <w:r w:rsidRPr="00B82BDF">
        <w:t xml:space="preserve"> situation de </w:t>
      </w:r>
      <w:proofErr w:type="spellStart"/>
      <w:r w:rsidRPr="00B82BDF">
        <w:t>vulnérabilité</w:t>
      </w:r>
      <w:proofErr w:type="spellEnd"/>
      <w:r w:rsidRPr="00B82BDF">
        <w:t xml:space="preserve"> au moment des faits </w:t>
      </w:r>
      <w:proofErr w:type="spellStart"/>
      <w:r w:rsidRPr="00B82BDF">
        <w:t>n’ont</w:t>
      </w:r>
      <w:proofErr w:type="spellEnd"/>
      <w:r w:rsidRPr="00B82BDF">
        <w:t xml:space="preserve"> pas </w:t>
      </w:r>
      <w:proofErr w:type="spellStart"/>
      <w:r w:rsidRPr="00B82BDF">
        <w:t>été</w:t>
      </w:r>
      <w:proofErr w:type="spellEnd"/>
      <w:r w:rsidRPr="00B82BDF">
        <w:t xml:space="preserve"> prises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considération</w:t>
      </w:r>
      <w:proofErr w:type="spellEnd"/>
      <w:r w:rsidRPr="00B82BDF">
        <w:t xml:space="preserve"> de manière </w:t>
      </w:r>
      <w:proofErr w:type="spellStart"/>
      <w:r w:rsidRPr="00B82BDF">
        <w:t>adéquate</w:t>
      </w:r>
      <w:proofErr w:type="spellEnd"/>
      <w:r w:rsidRPr="00B82BDF">
        <w:t xml:space="preserve">. Les première et </w:t>
      </w:r>
      <w:proofErr w:type="spellStart"/>
      <w:r w:rsidRPr="00B82BDF">
        <w:t>troisième</w:t>
      </w:r>
      <w:proofErr w:type="spellEnd"/>
      <w:r w:rsidRPr="00B82BDF">
        <w:t xml:space="preserve"> </w:t>
      </w:r>
      <w:proofErr w:type="spellStart"/>
      <w:r w:rsidRPr="00B82BDF">
        <w:t>requérantes</w:t>
      </w:r>
      <w:proofErr w:type="spellEnd"/>
      <w:r w:rsidRPr="00B82BDF">
        <w:t xml:space="preserve"> (M</w:t>
      </w:r>
      <w:r w:rsidRPr="00B82BDF">
        <w:rPr>
          <w:vertAlign w:val="superscript"/>
        </w:rPr>
        <w:t>mes</w:t>
      </w:r>
      <w:r w:rsidRPr="00B82BDF">
        <w:t xml:space="preserve"> L. et M.L.) </w:t>
      </w:r>
      <w:proofErr w:type="spellStart"/>
      <w:r w:rsidRPr="00B82BDF">
        <w:t>soutiennent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outre</w:t>
      </w:r>
      <w:proofErr w:type="spellEnd"/>
      <w:r w:rsidRPr="00B82BDF">
        <w:t xml:space="preserve"> que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n’ont</w:t>
      </w:r>
      <w:proofErr w:type="spellEnd"/>
      <w:r w:rsidRPr="00B82BDF">
        <w:t xml:space="preserve"> pas </w:t>
      </w:r>
      <w:proofErr w:type="spellStart"/>
      <w:r w:rsidRPr="00B82BDF">
        <w:t>promptement</w:t>
      </w:r>
      <w:proofErr w:type="spellEnd"/>
      <w:r w:rsidRPr="00B82BDF">
        <w:t xml:space="preserve"> </w:t>
      </w:r>
      <w:proofErr w:type="spellStart"/>
      <w:r w:rsidRPr="00B82BDF">
        <w:t>satisfait</w:t>
      </w:r>
      <w:proofErr w:type="spellEnd"/>
      <w:r w:rsidRPr="00B82BDF">
        <w:t xml:space="preserve"> à </w:t>
      </w:r>
      <w:proofErr w:type="spellStart"/>
      <w:r w:rsidRPr="00B82BDF">
        <w:t>leur</w:t>
      </w:r>
      <w:proofErr w:type="spellEnd"/>
      <w:r w:rsidRPr="00B82BDF">
        <w:t xml:space="preserve"> obligation </w:t>
      </w:r>
      <w:proofErr w:type="spellStart"/>
      <w:r w:rsidRPr="00B82BDF">
        <w:t>d’enquêter</w:t>
      </w:r>
      <w:proofErr w:type="spellEnd"/>
      <w:r w:rsidRPr="00B82BDF">
        <w:t xml:space="preserve"> et de </w:t>
      </w:r>
      <w:proofErr w:type="spellStart"/>
      <w:r w:rsidRPr="00B82BDF">
        <w:t>sanctionner</w:t>
      </w:r>
      <w:proofErr w:type="spellEnd"/>
      <w:r w:rsidRPr="00B82BDF">
        <w:t xml:space="preserve"> les auteurs des infractions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dénoncées</w:t>
      </w:r>
      <w:proofErr w:type="spellEnd"/>
      <w:r w:rsidRPr="00B82BDF">
        <w:t xml:space="preserve">. La première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soutient</w:t>
      </w:r>
      <w:proofErr w:type="spellEnd"/>
      <w:r w:rsidRPr="00B82BDF">
        <w:t xml:space="preserve"> </w:t>
      </w:r>
      <w:proofErr w:type="spellStart"/>
      <w:r w:rsidRPr="00B82BDF">
        <w:t>enfin</w:t>
      </w:r>
      <w:proofErr w:type="spellEnd"/>
      <w:r w:rsidRPr="00B82BDF">
        <w:t xml:space="preserve"> </w:t>
      </w:r>
      <w:proofErr w:type="spellStart"/>
      <w:r w:rsidRPr="00B82BDF">
        <w:t>qu’elle</w:t>
      </w:r>
      <w:proofErr w:type="spellEnd"/>
      <w:r w:rsidRPr="00B82BDF">
        <w:t xml:space="preserve">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exposée</w:t>
      </w:r>
      <w:proofErr w:type="spellEnd"/>
      <w:r w:rsidRPr="00B82BDF">
        <w:t xml:space="preserve"> à </w:t>
      </w:r>
      <w:proofErr w:type="spellStart"/>
      <w:r w:rsidRPr="00B82BDF">
        <w:t>une</w:t>
      </w:r>
      <w:proofErr w:type="spellEnd"/>
      <w:r w:rsidRPr="00B82BDF">
        <w:t xml:space="preserve"> victimisation </w:t>
      </w:r>
      <w:proofErr w:type="spellStart"/>
      <w:r w:rsidRPr="00B82BDF">
        <w:t>secondaire</w:t>
      </w:r>
      <w:proofErr w:type="spellEnd"/>
      <w:r w:rsidRPr="00B82BDF">
        <w:t xml:space="preserve"> et à un </w:t>
      </w:r>
      <w:proofErr w:type="spellStart"/>
      <w:r w:rsidRPr="00B82BDF">
        <w:t>traitement</w:t>
      </w:r>
      <w:proofErr w:type="spellEnd"/>
      <w:r w:rsidRPr="00B82BDF">
        <w:t xml:space="preserve"> </w:t>
      </w:r>
      <w:proofErr w:type="spellStart"/>
      <w:r w:rsidRPr="00B82BDF">
        <w:t>discriminatoire</w:t>
      </w:r>
      <w:proofErr w:type="spellEnd"/>
      <w:r w:rsidRPr="00B82BDF">
        <w:t xml:space="preserve"> au </w:t>
      </w:r>
      <w:proofErr w:type="spellStart"/>
      <w:r w:rsidRPr="00B82BDF">
        <w:t>cours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. </w:t>
      </w:r>
      <w:proofErr w:type="spellStart"/>
      <w:r w:rsidRPr="00B82BDF">
        <w:t>Elles</w:t>
      </w:r>
      <w:proofErr w:type="spellEnd"/>
      <w:r w:rsidRPr="00B82BDF">
        <w:t xml:space="preserve"> </w:t>
      </w:r>
      <w:proofErr w:type="spellStart"/>
      <w:r w:rsidRPr="00B82BDF">
        <w:t>invoquent</w:t>
      </w:r>
      <w:proofErr w:type="spellEnd"/>
      <w:r w:rsidRPr="00B82BDF">
        <w:t xml:space="preserve"> les articles 3, 8 et (</w:t>
      </w:r>
      <w:proofErr w:type="spellStart"/>
      <w:r w:rsidRPr="00B82BDF">
        <w:t>s’agissant</w:t>
      </w:r>
      <w:proofErr w:type="spellEnd"/>
      <w:r w:rsidRPr="00B82BDF">
        <w:t xml:space="preserve"> de la première </w:t>
      </w:r>
      <w:proofErr w:type="spellStart"/>
      <w:r w:rsidRPr="00B82BDF">
        <w:t>requérante</w:t>
      </w:r>
      <w:proofErr w:type="spellEnd"/>
      <w:r w:rsidRPr="00B82BDF">
        <w:t xml:space="preserve">) 14 de la Convention </w:t>
      </w:r>
      <w:proofErr w:type="spellStart"/>
      <w:r w:rsidRPr="00B82BDF">
        <w:t>combiné</w:t>
      </w:r>
      <w:proofErr w:type="spellEnd"/>
      <w:r w:rsidRPr="00B82BDF">
        <w:t xml:space="preserve"> avec les articles 3 et 8, aux </w:t>
      </w:r>
      <w:proofErr w:type="spellStart"/>
      <w:r w:rsidRPr="00B82BDF">
        <w:t>termes</w:t>
      </w:r>
      <w:proofErr w:type="spellEnd"/>
      <w:r w:rsidRPr="00B82BDF">
        <w:t xml:space="preserve"> </w:t>
      </w:r>
      <w:proofErr w:type="spellStart"/>
      <w:proofErr w:type="gramStart"/>
      <w:r w:rsidRPr="00B82BDF">
        <w:t>desquels</w:t>
      </w:r>
      <w:proofErr w:type="spellEnd"/>
      <w:r w:rsidRPr="00B82BDF">
        <w:t> :</w:t>
      </w:r>
      <w:proofErr w:type="gramEnd"/>
    </w:p>
    <w:p w14:paraId="3AE39DB7" w14:textId="77777777" w:rsidR="008A7B1D" w:rsidRPr="00B82BDF" w:rsidRDefault="008A7B1D" w:rsidP="008A7B1D">
      <w:pPr>
        <w:pStyle w:val="ECHRTitleCentre3"/>
      </w:pPr>
      <w:r w:rsidRPr="00B82BDF">
        <w:t>Article 3</w:t>
      </w:r>
    </w:p>
    <w:p w14:paraId="492658D6" w14:textId="77777777" w:rsidR="008A7B1D" w:rsidRPr="00B82BDF" w:rsidRDefault="008A7B1D" w:rsidP="008A7B1D">
      <w:pPr>
        <w:pStyle w:val="ECHRParaQuote"/>
      </w:pPr>
      <w:r w:rsidRPr="00B82BDF">
        <w:t>« </w:t>
      </w:r>
      <w:proofErr w:type="spellStart"/>
      <w:r w:rsidRPr="00B82BDF">
        <w:t>Nul</w:t>
      </w:r>
      <w:proofErr w:type="spellEnd"/>
      <w:r w:rsidRPr="00B82BDF">
        <w:t xml:space="preserve"> ne </w:t>
      </w:r>
      <w:proofErr w:type="spellStart"/>
      <w:r w:rsidRPr="00B82BDF">
        <w:t>peut</w:t>
      </w:r>
      <w:proofErr w:type="spellEnd"/>
      <w:r w:rsidRPr="00B82BDF">
        <w:t xml:space="preserve">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soumis</w:t>
      </w:r>
      <w:proofErr w:type="spellEnd"/>
      <w:r w:rsidRPr="00B82BDF">
        <w:t xml:space="preserve"> à la torture </w:t>
      </w:r>
      <w:proofErr w:type="spellStart"/>
      <w:r w:rsidRPr="00B82BDF">
        <w:t>ni</w:t>
      </w:r>
      <w:proofErr w:type="spellEnd"/>
      <w:r w:rsidRPr="00B82BDF">
        <w:t xml:space="preserve"> à des </w:t>
      </w:r>
      <w:proofErr w:type="spellStart"/>
      <w:r w:rsidRPr="00B82BDF">
        <w:t>peines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traitements</w:t>
      </w:r>
      <w:proofErr w:type="spellEnd"/>
      <w:r w:rsidRPr="00B82BDF">
        <w:t xml:space="preserve"> </w:t>
      </w:r>
      <w:proofErr w:type="spellStart"/>
      <w:r w:rsidRPr="00B82BDF">
        <w:t>inhumains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dégradants</w:t>
      </w:r>
      <w:proofErr w:type="spellEnd"/>
      <w:r w:rsidRPr="00B82BDF">
        <w:t>. »</w:t>
      </w:r>
    </w:p>
    <w:p w14:paraId="5F2ADE09" w14:textId="77777777" w:rsidR="008A7B1D" w:rsidRPr="00B82BDF" w:rsidRDefault="008A7B1D" w:rsidP="008A7B1D">
      <w:pPr>
        <w:pStyle w:val="ECHRTitleCentre3"/>
      </w:pPr>
      <w:r w:rsidRPr="00B82BDF">
        <w:t>Article 8</w:t>
      </w:r>
    </w:p>
    <w:p w14:paraId="0A94E660" w14:textId="77777777" w:rsidR="008A7B1D" w:rsidRPr="00B82BDF" w:rsidRDefault="008A7B1D" w:rsidP="008A7B1D">
      <w:pPr>
        <w:pStyle w:val="ECHRParaQuote"/>
      </w:pPr>
      <w:r w:rsidRPr="00B82BDF">
        <w:t>« 1.  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personne</w:t>
      </w:r>
      <w:proofErr w:type="spellEnd"/>
      <w:r w:rsidRPr="00B82BDF">
        <w:t xml:space="preserve"> a droit au respect de </w:t>
      </w:r>
      <w:proofErr w:type="spellStart"/>
      <w:r w:rsidRPr="00B82BDF">
        <w:t>sa</w:t>
      </w:r>
      <w:proofErr w:type="spellEnd"/>
      <w:r w:rsidRPr="00B82BDF">
        <w:t xml:space="preserve"> vie </w:t>
      </w:r>
      <w:proofErr w:type="spellStart"/>
      <w:r w:rsidRPr="00B82BDF">
        <w:t>privée</w:t>
      </w:r>
      <w:proofErr w:type="spellEnd"/>
      <w:r w:rsidRPr="00B82BDF">
        <w:t xml:space="preserve"> (...) »</w:t>
      </w:r>
    </w:p>
    <w:p w14:paraId="0D56A1F5" w14:textId="77777777" w:rsidR="008A7B1D" w:rsidRPr="00B82BDF" w:rsidRDefault="008A7B1D" w:rsidP="008A7B1D">
      <w:pPr>
        <w:pStyle w:val="ECHRTitleCentre3"/>
      </w:pPr>
      <w:r w:rsidRPr="00B82BDF">
        <w:t>Article 14</w:t>
      </w:r>
    </w:p>
    <w:p w14:paraId="4F8FE681" w14:textId="77777777" w:rsidR="008A7B1D" w:rsidRPr="00B82BDF" w:rsidRDefault="008A7B1D" w:rsidP="008A7B1D">
      <w:pPr>
        <w:pStyle w:val="ECHRParaQuote"/>
      </w:pPr>
      <w:r w:rsidRPr="00B82BDF">
        <w:t xml:space="preserve">« La jouissance des droits et </w:t>
      </w:r>
      <w:proofErr w:type="spellStart"/>
      <w:r w:rsidRPr="00B82BDF">
        <w:t>libertés</w:t>
      </w:r>
      <w:proofErr w:type="spellEnd"/>
      <w:r w:rsidRPr="00B82BDF">
        <w:t xml:space="preserve"> </w:t>
      </w:r>
      <w:proofErr w:type="spellStart"/>
      <w:r w:rsidRPr="00B82BDF">
        <w:t>reconnus</w:t>
      </w:r>
      <w:proofErr w:type="spellEnd"/>
      <w:r w:rsidRPr="00B82BDF">
        <w:t xml:space="preserve"> dans la (...) Convention doit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assurée</w:t>
      </w:r>
      <w:proofErr w:type="spellEnd"/>
      <w:r w:rsidRPr="00B82BDF">
        <w:t xml:space="preserve">, sans distinction </w:t>
      </w:r>
      <w:proofErr w:type="spellStart"/>
      <w:r w:rsidRPr="00B82BDF">
        <w:t>aucune</w:t>
      </w:r>
      <w:proofErr w:type="spellEnd"/>
      <w:r w:rsidRPr="00B82BDF">
        <w:t xml:space="preserve">, </w:t>
      </w:r>
      <w:proofErr w:type="spellStart"/>
      <w:r w:rsidRPr="00B82BDF">
        <w:t>fondée</w:t>
      </w:r>
      <w:proofErr w:type="spellEnd"/>
      <w:r w:rsidRPr="00B82BDF">
        <w:t xml:space="preserve"> </w:t>
      </w:r>
      <w:proofErr w:type="spellStart"/>
      <w:r w:rsidRPr="00B82BDF">
        <w:t>notamment</w:t>
      </w:r>
      <w:proofErr w:type="spellEnd"/>
      <w:r w:rsidRPr="00B82BDF">
        <w:t xml:space="preserve"> sur le </w:t>
      </w:r>
      <w:proofErr w:type="spellStart"/>
      <w:r w:rsidRPr="00B82BDF">
        <w:t>sexe</w:t>
      </w:r>
      <w:proofErr w:type="spellEnd"/>
      <w:r w:rsidRPr="00B82BDF">
        <w:t xml:space="preserve"> (...). »</w:t>
      </w:r>
    </w:p>
    <w:p w14:paraId="0079157F" w14:textId="77777777" w:rsidR="008A7B1D" w:rsidRPr="00B82BDF" w:rsidRDefault="008A7B1D" w:rsidP="008A7B1D">
      <w:pPr>
        <w:pStyle w:val="ECHRHeading4"/>
        <w:numPr>
          <w:ilvl w:val="0"/>
          <w:numId w:val="21"/>
        </w:numPr>
        <w:ind w:left="975" w:hanging="340"/>
      </w:pPr>
      <w:bookmarkStart w:id="26" w:name="_Toc193288204"/>
      <w:bookmarkStart w:id="27" w:name="_Toc193288205"/>
      <w:bookmarkEnd w:id="26"/>
      <w:bookmarkEnd w:id="27"/>
      <w:proofErr w:type="spellStart"/>
      <w:r w:rsidRPr="00B82BDF">
        <w:t>Principes</w:t>
      </w:r>
      <w:proofErr w:type="spellEnd"/>
      <w:r w:rsidRPr="00B82BDF">
        <w:t xml:space="preserve"> </w:t>
      </w:r>
      <w:proofErr w:type="spellStart"/>
      <w:r w:rsidRPr="00B82BDF">
        <w:t>applicables</w:t>
      </w:r>
      <w:proofErr w:type="spellEnd"/>
    </w:p>
    <w:p w14:paraId="403A581E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  <w:color w:val="000000"/>
        </w:rPr>
      </w:pPr>
      <w:r w:rsidRPr="00B82BDF">
        <w:rPr>
          <w:rFonts w:ascii="Times New Roman" w:hAnsi="Times New Roman" w:cs="Times New Roman"/>
        </w:rPr>
        <w:fldChar w:fldCharType="begin"/>
      </w:r>
      <w:r w:rsidRPr="00B82BDF">
        <w:rPr>
          <w:rFonts w:ascii="Times New Roman" w:hAnsi="Times New Roman" w:cs="Times New Roman"/>
        </w:rPr>
        <w:instrText xml:space="preserve"> SEQ level0 \*arabic \* MERGEFORMAT </w:instrText>
      </w:r>
      <w:r w:rsidRPr="00B82BDF">
        <w:rPr>
          <w:rFonts w:ascii="Times New Roman" w:hAnsi="Times New Roman" w:cs="Times New Roman"/>
        </w:rPr>
        <w:fldChar w:fldCharType="separate"/>
      </w:r>
      <w:r w:rsidRPr="00B82BDF">
        <w:rPr>
          <w:rFonts w:ascii="Times New Roman" w:hAnsi="Times New Roman" w:cs="Times New Roman"/>
          <w:noProof/>
        </w:rPr>
        <w:t>192</w:t>
      </w:r>
      <w:r w:rsidRPr="00B82BDF">
        <w:rPr>
          <w:rFonts w:ascii="Times New Roman" w:hAnsi="Times New Roman" w:cs="Times New Roman"/>
        </w:rPr>
        <w:fldChar w:fldCharType="end"/>
      </w:r>
      <w:r w:rsidRPr="00B82BDF">
        <w:rPr>
          <w:rFonts w:ascii="Times New Roman" w:hAnsi="Times New Roman" w:cs="Times New Roman"/>
        </w:rPr>
        <w:t xml:space="preserve">.  La </w:t>
      </w:r>
      <w:proofErr w:type="spellStart"/>
      <w:r w:rsidRPr="00B82BDF">
        <w:rPr>
          <w:rFonts w:ascii="Times New Roman" w:hAnsi="Times New Roman" w:cs="Times New Roman"/>
        </w:rPr>
        <w:t>Cour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t>rappelle</w:t>
      </w:r>
      <w:proofErr w:type="spellEnd"/>
      <w:r w:rsidRPr="00B82BDF">
        <w:t xml:space="preserve">, tout </w:t>
      </w:r>
      <w:proofErr w:type="spellStart"/>
      <w:r w:rsidRPr="00B82BDF">
        <w:t>d’abord</w:t>
      </w:r>
      <w:proofErr w:type="spellEnd"/>
      <w:r w:rsidRPr="00B82BDF">
        <w:t xml:space="preserve">, que le viol et les </w:t>
      </w:r>
      <w:proofErr w:type="spellStart"/>
      <w:r w:rsidRPr="00B82BDF">
        <w:t>agressions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 graves </w:t>
      </w:r>
      <w:proofErr w:type="spellStart"/>
      <w:r w:rsidRPr="00B82BDF">
        <w:t>s’analysent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des </w:t>
      </w:r>
      <w:proofErr w:type="spellStart"/>
      <w:r w:rsidRPr="00B82BDF">
        <w:t>traitements</w:t>
      </w:r>
      <w:proofErr w:type="spellEnd"/>
      <w:r w:rsidRPr="00B82BDF">
        <w:t xml:space="preserve"> qui </w:t>
      </w:r>
      <w:proofErr w:type="spellStart"/>
      <w:r w:rsidRPr="00B82BDF">
        <w:t>tombent</w:t>
      </w:r>
      <w:proofErr w:type="spellEnd"/>
      <w:r w:rsidRPr="00B82BDF">
        <w:t xml:space="preserve"> sous </w:t>
      </w:r>
      <w:proofErr w:type="spellStart"/>
      <w:r w:rsidRPr="00B82BDF">
        <w:t>l’empire</w:t>
      </w:r>
      <w:proofErr w:type="spellEnd"/>
      <w:r w:rsidRPr="00B82BDF">
        <w:t xml:space="preserve"> de </w:t>
      </w:r>
      <w:proofErr w:type="spellStart"/>
      <w:r w:rsidRPr="00B82BDF">
        <w:t>l’article</w:t>
      </w:r>
      <w:proofErr w:type="spellEnd"/>
      <w:r w:rsidRPr="00B82BDF">
        <w:t xml:space="preserve"> 3 de la Convention et </w:t>
      </w:r>
      <w:proofErr w:type="spellStart"/>
      <w:r w:rsidRPr="00B82BDF">
        <w:t>mettent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jeu des </w:t>
      </w:r>
      <w:proofErr w:type="spellStart"/>
      <w:r w:rsidRPr="00B82BDF">
        <w:t>valeurs</w:t>
      </w:r>
      <w:proofErr w:type="spellEnd"/>
      <w:r w:rsidRPr="00B82BDF">
        <w:t xml:space="preserve"> </w:t>
      </w:r>
      <w:proofErr w:type="spellStart"/>
      <w:r w:rsidRPr="00B82BDF">
        <w:t>fondamentales</w:t>
      </w:r>
      <w:proofErr w:type="spellEnd"/>
      <w:r w:rsidRPr="00B82BDF">
        <w:t xml:space="preserve"> et des aspects </w:t>
      </w:r>
      <w:proofErr w:type="spellStart"/>
      <w:r w:rsidRPr="00B82BDF">
        <w:t>essentiels</w:t>
      </w:r>
      <w:proofErr w:type="spellEnd"/>
      <w:r w:rsidRPr="00B82BDF">
        <w:t xml:space="preserve"> de la « vie </w:t>
      </w:r>
      <w:proofErr w:type="spellStart"/>
      <w:r w:rsidRPr="00B82BDF">
        <w:t>privée</w:t>
      </w:r>
      <w:proofErr w:type="spellEnd"/>
      <w:r w:rsidRPr="00B82BDF">
        <w:t xml:space="preserve"> » au </w:t>
      </w:r>
      <w:proofErr w:type="spellStart"/>
      <w:r w:rsidRPr="00B82BDF">
        <w:t>sens</w:t>
      </w:r>
      <w:proofErr w:type="spellEnd"/>
      <w:r w:rsidRPr="00B82BDF">
        <w:t xml:space="preserve"> de </w:t>
      </w:r>
      <w:proofErr w:type="spellStart"/>
      <w:r w:rsidRPr="00B82BDF">
        <w:t>l’article</w:t>
      </w:r>
      <w:proofErr w:type="spellEnd"/>
      <w:r w:rsidRPr="00B82BDF">
        <w:t> 8 (</w:t>
      </w:r>
      <w:bookmarkStart w:id="28" w:name="File3375"/>
      <w:bookmarkStart w:id="29" w:name="_cl43934"/>
      <w:proofErr w:type="spellStart"/>
      <w:r w:rsidRPr="00B82BDF">
        <w:t>voir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, </w:t>
      </w:r>
      <w:r w:rsidRPr="00B82BDF">
        <w:rPr>
          <w:i/>
          <w:iCs/>
        </w:rPr>
        <w:t>Y</w:t>
      </w:r>
      <w:bookmarkEnd w:id="28"/>
      <w:r w:rsidRPr="00B82BDF">
        <w:rPr>
          <w:i/>
          <w:iCs/>
        </w:rPr>
        <w:t>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> 41990/18, §§ 63-65, 20 </w:t>
      </w:r>
      <w:proofErr w:type="spellStart"/>
      <w:r w:rsidRPr="00B82BDF">
        <w:t>février</w:t>
      </w:r>
      <w:proofErr w:type="spellEnd"/>
      <w:r w:rsidRPr="00B82BDF">
        <w:t xml:space="preserve"> 2020 et les affaires qui y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citées</w:t>
      </w:r>
      <w:proofErr w:type="spellEnd"/>
      <w:r w:rsidRPr="00B82BDF">
        <w:t xml:space="preserve">, </w:t>
      </w:r>
      <w:proofErr w:type="spellStart"/>
      <w:r w:rsidRPr="00B82BDF">
        <w:rPr>
          <w:i/>
          <w:iCs/>
        </w:rPr>
        <w:t>Vučković</w:t>
      </w:r>
      <w:bookmarkEnd w:id="29"/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49, et </w:t>
      </w:r>
      <w:bookmarkStart w:id="30" w:name="_cl44035ENDROIT"/>
      <w:r w:rsidRPr="00B82BDF">
        <w:rPr>
          <w:i/>
          <w:iCs/>
        </w:rPr>
        <w:t>X c. </w:t>
      </w:r>
      <w:proofErr w:type="spellStart"/>
      <w:r w:rsidRPr="00B82BDF">
        <w:rPr>
          <w:i/>
          <w:iCs/>
        </w:rPr>
        <w:t>Grèce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> 38588/21, §§ 65-66, 13 </w:t>
      </w:r>
      <w:proofErr w:type="spellStart"/>
      <w:r w:rsidRPr="00B82BDF">
        <w:t>février</w:t>
      </w:r>
      <w:proofErr w:type="spellEnd"/>
      <w:r w:rsidRPr="00B82BDF">
        <w:t xml:space="preserve"> 2024</w:t>
      </w:r>
      <w:bookmarkEnd w:id="30"/>
      <w:r w:rsidRPr="00B82BDF">
        <w:t>).</w:t>
      </w:r>
    </w:p>
    <w:p w14:paraId="19534C78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</w:rPr>
      </w:pPr>
      <w:r w:rsidRPr="00B82BDF">
        <w:rPr>
          <w:rFonts w:cstheme="minorHAnsi"/>
          <w:color w:val="000000"/>
        </w:rPr>
        <w:lastRenderedPageBreak/>
        <w:fldChar w:fldCharType="begin"/>
      </w:r>
      <w:r w:rsidRPr="00B82BDF">
        <w:rPr>
          <w:rFonts w:cstheme="minorHAnsi"/>
          <w:color w:val="000000"/>
        </w:rPr>
        <w:instrText xml:space="preserve"> SEQ level0 \*arabic \* MERGEFORMAT </w:instrText>
      </w:r>
      <w:r w:rsidRPr="00B82BDF">
        <w:rPr>
          <w:rFonts w:cstheme="minorHAnsi"/>
          <w:color w:val="000000"/>
        </w:rPr>
        <w:fldChar w:fldCharType="separate"/>
      </w:r>
      <w:r w:rsidRPr="00B82BDF">
        <w:rPr>
          <w:rFonts w:cstheme="minorHAnsi"/>
          <w:noProof/>
          <w:color w:val="000000"/>
        </w:rPr>
        <w:t>193</w:t>
      </w:r>
      <w:r w:rsidRPr="00B82BDF">
        <w:rPr>
          <w:rFonts w:cstheme="minorHAnsi"/>
          <w:color w:val="000000"/>
        </w:rPr>
        <w:fldChar w:fldCharType="end"/>
      </w:r>
      <w:r w:rsidRPr="00B82BDF">
        <w:rPr>
          <w:rFonts w:cstheme="minorHAnsi"/>
          <w:color w:val="000000"/>
        </w:rPr>
        <w:t xml:space="preserve">.  La </w:t>
      </w:r>
      <w:proofErr w:type="spellStart"/>
      <w:r w:rsidRPr="00B82BDF">
        <w:rPr>
          <w:rFonts w:cstheme="minorHAnsi"/>
          <w:color w:val="000000"/>
        </w:rPr>
        <w:t>Cour</w:t>
      </w:r>
      <w:proofErr w:type="spellEnd"/>
      <w:r w:rsidRPr="00B82BDF">
        <w:rPr>
          <w:rFonts w:cstheme="minorHAnsi"/>
          <w:color w:val="000000"/>
        </w:rPr>
        <w:t xml:space="preserve"> note </w:t>
      </w:r>
      <w:proofErr w:type="spellStart"/>
      <w:r w:rsidRPr="00B82BDF">
        <w:rPr>
          <w:rFonts w:cstheme="minorHAnsi"/>
          <w:color w:val="000000"/>
        </w:rPr>
        <w:t>ensuite</w:t>
      </w:r>
      <w:proofErr w:type="spellEnd"/>
      <w:r w:rsidRPr="00B82BDF">
        <w:rPr>
          <w:rFonts w:cstheme="minorHAnsi"/>
          <w:color w:val="000000"/>
        </w:rPr>
        <w:t xml:space="preserve"> que les </w:t>
      </w:r>
      <w:proofErr w:type="spellStart"/>
      <w:r w:rsidRPr="00B82BDF">
        <w:rPr>
          <w:rFonts w:cstheme="minorHAnsi"/>
          <w:color w:val="000000"/>
        </w:rPr>
        <w:t>principes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généraux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applicables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en</w:t>
      </w:r>
      <w:proofErr w:type="spellEnd"/>
      <w:r w:rsidRPr="00B82BDF">
        <w:rPr>
          <w:rFonts w:cstheme="minorHAnsi"/>
          <w:color w:val="000000"/>
        </w:rPr>
        <w:t xml:space="preserve"> la matière </w:t>
      </w:r>
      <w:proofErr w:type="spellStart"/>
      <w:r w:rsidRPr="00B82BDF">
        <w:rPr>
          <w:rFonts w:cstheme="minorHAnsi"/>
          <w:color w:val="000000"/>
        </w:rPr>
        <w:t>ont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été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énoncés</w:t>
      </w:r>
      <w:proofErr w:type="spellEnd"/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en</w:t>
      </w:r>
      <w:proofErr w:type="spellEnd"/>
      <w:r w:rsidRPr="00B82BDF">
        <w:rPr>
          <w:rFonts w:cstheme="minorHAnsi"/>
          <w:color w:val="000000"/>
        </w:rPr>
        <w:t xml:space="preserve"> particulier, dans </w:t>
      </w:r>
      <w:proofErr w:type="spellStart"/>
      <w:r w:rsidRPr="00B82BDF">
        <w:rPr>
          <w:rFonts w:cstheme="minorHAnsi"/>
          <w:color w:val="000000"/>
        </w:rPr>
        <w:t>l’affaire</w:t>
      </w:r>
      <w:proofErr w:type="spellEnd"/>
      <w:r w:rsidRPr="00B82BDF">
        <w:rPr>
          <w:rFonts w:cstheme="minorHAnsi"/>
          <w:color w:val="000000"/>
        </w:rPr>
        <w:t xml:space="preserve"> </w:t>
      </w:r>
      <w:r w:rsidRPr="00B82BDF">
        <w:rPr>
          <w:rFonts w:cstheme="minorHAnsi"/>
          <w:i/>
          <w:iCs/>
          <w:color w:val="000000"/>
        </w:rPr>
        <w:t>M.C. c. </w:t>
      </w:r>
      <w:proofErr w:type="spellStart"/>
      <w:r w:rsidRPr="00B82BDF">
        <w:rPr>
          <w:rFonts w:cstheme="minorHAnsi"/>
          <w:i/>
          <w:iCs/>
          <w:color w:val="000000"/>
        </w:rPr>
        <w:t>Bulgarie</w:t>
      </w:r>
      <w:proofErr w:type="spellEnd"/>
      <w:r w:rsidRPr="00B82BDF">
        <w:rPr>
          <w:rFonts w:cstheme="minorHAnsi"/>
          <w:color w:val="000000"/>
        </w:rPr>
        <w:t xml:space="preserve"> (</w:t>
      </w:r>
      <w:proofErr w:type="spellStart"/>
      <w:r w:rsidRPr="00B82BDF">
        <w:rPr>
          <w:rFonts w:cstheme="minorHAnsi"/>
          <w:color w:val="000000"/>
        </w:rPr>
        <w:t>précité</w:t>
      </w:r>
      <w:proofErr w:type="spellEnd"/>
      <w:r w:rsidRPr="00B82BDF">
        <w:rPr>
          <w:rFonts w:cstheme="minorHAnsi"/>
          <w:color w:val="000000"/>
        </w:rPr>
        <w:t xml:space="preserve">, §§ 149-152). Elle </w:t>
      </w:r>
      <w:proofErr w:type="spellStart"/>
      <w:r w:rsidRPr="00B82BDF">
        <w:rPr>
          <w:rFonts w:cstheme="minorHAnsi"/>
          <w:color w:val="000000"/>
        </w:rPr>
        <w:t>rappelle</w:t>
      </w:r>
      <w:proofErr w:type="spellEnd"/>
      <w:r w:rsidRPr="00B82BDF">
        <w:rPr>
          <w:rFonts w:cstheme="minorHAnsi"/>
          <w:color w:val="000000"/>
        </w:rPr>
        <w:t xml:space="preserve"> que les obligations positives qui </w:t>
      </w:r>
      <w:proofErr w:type="spellStart"/>
      <w:r w:rsidRPr="00B82BDF">
        <w:rPr>
          <w:rFonts w:cstheme="minorHAnsi"/>
          <w:color w:val="000000"/>
        </w:rPr>
        <w:t>pèsent</w:t>
      </w:r>
      <w:proofErr w:type="spellEnd"/>
      <w:r w:rsidRPr="00B82BDF">
        <w:rPr>
          <w:rFonts w:cstheme="minorHAnsi"/>
          <w:color w:val="000000"/>
        </w:rPr>
        <w:t xml:space="preserve"> sur les </w:t>
      </w:r>
      <w:proofErr w:type="spellStart"/>
      <w:r w:rsidRPr="00B82BDF">
        <w:rPr>
          <w:rFonts w:cstheme="minorHAnsi"/>
          <w:color w:val="000000"/>
        </w:rPr>
        <w:t>États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en</w:t>
      </w:r>
      <w:proofErr w:type="spellEnd"/>
      <w:r w:rsidRPr="00B82BDF">
        <w:rPr>
          <w:rFonts w:cstheme="minorHAnsi"/>
          <w:color w:val="000000"/>
        </w:rPr>
        <w:t xml:space="preserve"> vertu des articles 3 et 8 de la Convention </w:t>
      </w:r>
      <w:proofErr w:type="spellStart"/>
      <w:r w:rsidRPr="00B82BDF">
        <w:rPr>
          <w:rFonts w:cstheme="minorHAnsi"/>
          <w:color w:val="000000"/>
        </w:rPr>
        <w:t>comportent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l’obligation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d’adopter</w:t>
      </w:r>
      <w:proofErr w:type="spellEnd"/>
      <w:r w:rsidRPr="00B82BDF">
        <w:rPr>
          <w:rFonts w:cstheme="minorHAnsi"/>
          <w:color w:val="000000"/>
        </w:rPr>
        <w:t xml:space="preserve"> des dispositions </w:t>
      </w:r>
      <w:proofErr w:type="spellStart"/>
      <w:r w:rsidRPr="00B82BDF">
        <w:rPr>
          <w:rFonts w:cstheme="minorHAnsi"/>
          <w:color w:val="000000"/>
        </w:rPr>
        <w:t>pénales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incriminant</w:t>
      </w:r>
      <w:proofErr w:type="spellEnd"/>
      <w:r w:rsidRPr="00B82BDF">
        <w:rPr>
          <w:rFonts w:cstheme="minorHAnsi"/>
          <w:color w:val="000000"/>
        </w:rPr>
        <w:t xml:space="preserve"> et </w:t>
      </w:r>
      <w:proofErr w:type="spellStart"/>
      <w:r w:rsidRPr="00B82BDF">
        <w:rPr>
          <w:rFonts w:cstheme="minorHAnsi"/>
          <w:color w:val="000000"/>
        </w:rPr>
        <w:t>réprimant</w:t>
      </w:r>
      <w:proofErr w:type="spellEnd"/>
      <w:r w:rsidRPr="00B82BDF">
        <w:rPr>
          <w:rFonts w:cstheme="minorHAnsi"/>
          <w:color w:val="000000"/>
        </w:rPr>
        <w:t xml:space="preserve"> de manière effective tout </w:t>
      </w:r>
      <w:proofErr w:type="spellStart"/>
      <w:r w:rsidRPr="00B82BDF">
        <w:rPr>
          <w:rFonts w:cstheme="minorHAnsi"/>
          <w:color w:val="000000"/>
        </w:rPr>
        <w:t>acte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sexuel</w:t>
      </w:r>
      <w:proofErr w:type="spellEnd"/>
      <w:r w:rsidRPr="00B82BDF">
        <w:rPr>
          <w:rFonts w:cstheme="minorHAnsi"/>
          <w:color w:val="000000"/>
        </w:rPr>
        <w:t xml:space="preserve"> non </w:t>
      </w:r>
      <w:proofErr w:type="spellStart"/>
      <w:r w:rsidRPr="00B82BDF">
        <w:rPr>
          <w:rFonts w:cstheme="minorHAnsi"/>
          <w:color w:val="000000"/>
        </w:rPr>
        <w:t>consenti</w:t>
      </w:r>
      <w:proofErr w:type="spellEnd"/>
      <w:r w:rsidRPr="00B82BDF">
        <w:rPr>
          <w:rFonts w:cstheme="minorHAnsi"/>
          <w:color w:val="000000"/>
        </w:rPr>
        <w:t xml:space="preserve"> (</w:t>
      </w:r>
      <w:r w:rsidRPr="00B82BDF">
        <w:rPr>
          <w:rFonts w:cstheme="minorHAnsi"/>
          <w:i/>
          <w:iCs/>
          <w:color w:val="000000"/>
        </w:rPr>
        <w:t>M.G.C.</w:t>
      </w:r>
      <w:r w:rsidRPr="00B82BDF">
        <w:rPr>
          <w:rFonts w:cstheme="minorHAnsi"/>
          <w:color w:val="000000"/>
        </w:rPr>
        <w:t xml:space="preserve"> </w:t>
      </w:r>
      <w:r w:rsidRPr="00B82BDF">
        <w:rPr>
          <w:rFonts w:cstheme="minorHAnsi"/>
          <w:i/>
          <w:iCs/>
          <w:color w:val="000000"/>
        </w:rPr>
        <w:t>c. </w:t>
      </w:r>
      <w:proofErr w:type="spellStart"/>
      <w:r w:rsidRPr="00B82BDF">
        <w:rPr>
          <w:rFonts w:cstheme="minorHAnsi"/>
          <w:i/>
          <w:iCs/>
          <w:color w:val="000000"/>
        </w:rPr>
        <w:t>Roumanie</w:t>
      </w:r>
      <w:proofErr w:type="spellEnd"/>
      <w:r w:rsidRPr="00B82BDF">
        <w:rPr>
          <w:rFonts w:cstheme="minorHAnsi"/>
          <w:color w:val="000000"/>
        </w:rPr>
        <w:t>, n</w:t>
      </w:r>
      <w:r w:rsidRPr="00B82BDF">
        <w:rPr>
          <w:rFonts w:cstheme="minorHAnsi"/>
          <w:color w:val="000000"/>
          <w:vertAlign w:val="superscript"/>
        </w:rPr>
        <w:t>o</w:t>
      </w:r>
      <w:r w:rsidRPr="00B82BDF">
        <w:rPr>
          <w:rFonts w:cstheme="minorHAnsi"/>
          <w:color w:val="000000"/>
        </w:rPr>
        <w:t xml:space="preserve"> 61495/11, § 59, 15 mars 2016, </w:t>
      </w:r>
      <w:r w:rsidRPr="00B82BDF">
        <w:rPr>
          <w:rFonts w:cstheme="minorHAnsi"/>
          <w:i/>
          <w:iCs/>
          <w:color w:val="000000"/>
        </w:rPr>
        <w:t>Z c. </w:t>
      </w:r>
      <w:proofErr w:type="spellStart"/>
      <w:r w:rsidRPr="00B82BDF">
        <w:rPr>
          <w:rFonts w:cstheme="minorHAnsi"/>
          <w:i/>
          <w:iCs/>
          <w:color w:val="000000"/>
        </w:rPr>
        <w:t>Bulgarie</w:t>
      </w:r>
      <w:proofErr w:type="spellEnd"/>
      <w:r w:rsidRPr="00B82BDF">
        <w:rPr>
          <w:rFonts w:cstheme="minorHAnsi"/>
          <w:color w:val="000000"/>
        </w:rPr>
        <w:t>, n</w:t>
      </w:r>
      <w:r w:rsidRPr="00B82BDF">
        <w:rPr>
          <w:rFonts w:cstheme="minorHAnsi"/>
          <w:color w:val="000000"/>
          <w:vertAlign w:val="superscript"/>
        </w:rPr>
        <w:t>o</w:t>
      </w:r>
      <w:r w:rsidRPr="00B82BDF">
        <w:rPr>
          <w:rFonts w:cstheme="minorHAnsi"/>
          <w:color w:val="000000"/>
        </w:rPr>
        <w:t> 39257/17, § 67, 28 </w:t>
      </w:r>
      <w:proofErr w:type="spellStart"/>
      <w:r w:rsidRPr="00B82BDF">
        <w:rPr>
          <w:rFonts w:cstheme="minorHAnsi"/>
          <w:color w:val="000000"/>
        </w:rPr>
        <w:t>mai</w:t>
      </w:r>
      <w:proofErr w:type="spellEnd"/>
      <w:r w:rsidRPr="00B82BDF">
        <w:rPr>
          <w:rFonts w:cstheme="minorHAnsi"/>
          <w:color w:val="000000"/>
        </w:rPr>
        <w:t xml:space="preserve"> 2020, et </w:t>
      </w:r>
      <w:r w:rsidRPr="00B82BDF">
        <w:rPr>
          <w:rFonts w:cstheme="minorHAnsi"/>
          <w:i/>
          <w:iCs/>
          <w:color w:val="000000"/>
        </w:rPr>
        <w:t>J.L. c. Italie</w:t>
      </w:r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précité</w:t>
      </w:r>
      <w:proofErr w:type="spellEnd"/>
      <w:r w:rsidRPr="00B82BDF">
        <w:rPr>
          <w:rFonts w:cstheme="minorHAnsi"/>
          <w:color w:val="000000"/>
        </w:rPr>
        <w:t xml:space="preserve">, § 117), et </w:t>
      </w:r>
      <w:proofErr w:type="spellStart"/>
      <w:r w:rsidRPr="00B82BDF">
        <w:rPr>
          <w:rFonts w:cstheme="minorHAnsi"/>
          <w:color w:val="000000"/>
        </w:rPr>
        <w:t>d’appliquer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ces</w:t>
      </w:r>
      <w:proofErr w:type="spellEnd"/>
      <w:r w:rsidRPr="00B82BDF">
        <w:rPr>
          <w:rFonts w:cstheme="minorHAnsi"/>
          <w:color w:val="000000"/>
        </w:rPr>
        <w:t xml:space="preserve"> dispositions au travers </w:t>
      </w:r>
      <w:proofErr w:type="spellStart"/>
      <w:r w:rsidRPr="00B82BDF">
        <w:rPr>
          <w:rFonts w:cstheme="minorHAnsi"/>
          <w:color w:val="000000"/>
        </w:rPr>
        <w:t>d’enquêtes</w:t>
      </w:r>
      <w:proofErr w:type="spellEnd"/>
      <w:r w:rsidRPr="00B82BDF">
        <w:rPr>
          <w:rFonts w:cstheme="minorHAnsi"/>
          <w:color w:val="000000"/>
        </w:rPr>
        <w:t xml:space="preserve"> et de </w:t>
      </w:r>
      <w:proofErr w:type="spellStart"/>
      <w:r w:rsidRPr="00B82BDF">
        <w:rPr>
          <w:rFonts w:cstheme="minorHAnsi"/>
          <w:color w:val="000000"/>
        </w:rPr>
        <w:t>poursuites</w:t>
      </w:r>
      <w:proofErr w:type="spellEnd"/>
      <w:r w:rsidRPr="00B82BDF">
        <w:rPr>
          <w:rFonts w:cstheme="minorHAnsi"/>
          <w:color w:val="000000"/>
        </w:rPr>
        <w:t xml:space="preserve"> effectives (</w:t>
      </w:r>
      <w:r w:rsidRPr="00B82BDF">
        <w:rPr>
          <w:rFonts w:cstheme="minorHAnsi"/>
          <w:i/>
          <w:iCs/>
          <w:color w:val="000000"/>
        </w:rPr>
        <w:t>M.C. c. </w:t>
      </w:r>
      <w:proofErr w:type="spellStart"/>
      <w:r w:rsidRPr="00B82BDF">
        <w:rPr>
          <w:rFonts w:cstheme="minorHAnsi"/>
          <w:i/>
          <w:iCs/>
          <w:color w:val="000000"/>
        </w:rPr>
        <w:t>Bulgarie</w:t>
      </w:r>
      <w:proofErr w:type="spellEnd"/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précité</w:t>
      </w:r>
      <w:proofErr w:type="spellEnd"/>
      <w:r w:rsidRPr="00B82BDF">
        <w:rPr>
          <w:rFonts w:cstheme="minorHAnsi"/>
          <w:color w:val="000000"/>
        </w:rPr>
        <w:t xml:space="preserve">, §§ 153 et 166, et </w:t>
      </w:r>
      <w:r w:rsidRPr="00B82BDF">
        <w:rPr>
          <w:rFonts w:cstheme="minorHAnsi"/>
          <w:i/>
          <w:iCs/>
          <w:color w:val="000000"/>
        </w:rPr>
        <w:t>B.V. c. Belgique</w:t>
      </w:r>
      <w:r w:rsidRPr="00B82BDF">
        <w:rPr>
          <w:rFonts w:cstheme="minorHAnsi"/>
          <w:color w:val="000000"/>
        </w:rPr>
        <w:t>, n</w:t>
      </w:r>
      <w:r w:rsidRPr="00B82BDF">
        <w:rPr>
          <w:rFonts w:cstheme="minorHAnsi"/>
          <w:color w:val="000000"/>
          <w:vertAlign w:val="superscript"/>
        </w:rPr>
        <w:t>o</w:t>
      </w:r>
      <w:r w:rsidRPr="00B82BDF">
        <w:rPr>
          <w:rFonts w:cstheme="minorHAnsi"/>
          <w:color w:val="000000"/>
        </w:rPr>
        <w:t xml:space="preserve"> 61030/08, § 55, 2 </w:t>
      </w:r>
      <w:proofErr w:type="spellStart"/>
      <w:r w:rsidRPr="00B82BDF">
        <w:rPr>
          <w:rFonts w:cstheme="minorHAnsi"/>
          <w:color w:val="000000"/>
        </w:rPr>
        <w:t>mai</w:t>
      </w:r>
      <w:proofErr w:type="spellEnd"/>
      <w:r w:rsidRPr="00B82BDF">
        <w:rPr>
          <w:rFonts w:cstheme="minorHAnsi"/>
          <w:color w:val="000000"/>
        </w:rPr>
        <w:t xml:space="preserve"> 2017). </w:t>
      </w:r>
      <w:proofErr w:type="spellStart"/>
      <w:r w:rsidRPr="00B82BDF">
        <w:rPr>
          <w:rFonts w:cstheme="minorHAnsi"/>
          <w:color w:val="000000"/>
        </w:rPr>
        <w:t>Ces</w:t>
      </w:r>
      <w:proofErr w:type="spellEnd"/>
      <w:r w:rsidRPr="00B82BDF">
        <w:rPr>
          <w:rFonts w:cstheme="minorHAnsi"/>
          <w:color w:val="000000"/>
        </w:rPr>
        <w:t xml:space="preserve"> obligations positives </w:t>
      </w:r>
      <w:proofErr w:type="spellStart"/>
      <w:r w:rsidRPr="00B82BDF">
        <w:rPr>
          <w:rFonts w:cstheme="minorHAnsi"/>
          <w:color w:val="000000"/>
        </w:rPr>
        <w:t>doivent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être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interprétées</w:t>
      </w:r>
      <w:proofErr w:type="spellEnd"/>
      <w:r w:rsidRPr="00B82BDF">
        <w:rPr>
          <w:rFonts w:cstheme="minorHAnsi"/>
          <w:color w:val="000000"/>
        </w:rPr>
        <w:t xml:space="preserve"> à la lumière des instruments </w:t>
      </w:r>
      <w:proofErr w:type="spellStart"/>
      <w:r w:rsidRPr="00B82BDF">
        <w:rPr>
          <w:rFonts w:cstheme="minorHAnsi"/>
          <w:color w:val="000000"/>
        </w:rPr>
        <w:t>internationaux</w:t>
      </w:r>
      <w:proofErr w:type="spellEnd"/>
      <w:r w:rsidRPr="00B82BDF">
        <w:rPr>
          <w:rFonts w:cstheme="minorHAnsi"/>
          <w:color w:val="000000"/>
        </w:rPr>
        <w:t xml:space="preserve"> </w:t>
      </w:r>
      <w:proofErr w:type="spellStart"/>
      <w:r w:rsidRPr="00B82BDF">
        <w:rPr>
          <w:rFonts w:cstheme="minorHAnsi"/>
          <w:color w:val="000000"/>
        </w:rPr>
        <w:t>pertinents</w:t>
      </w:r>
      <w:proofErr w:type="spellEnd"/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en</w:t>
      </w:r>
      <w:proofErr w:type="spellEnd"/>
      <w:r w:rsidRPr="00B82BDF">
        <w:rPr>
          <w:rFonts w:cstheme="minorHAnsi"/>
          <w:color w:val="000000"/>
        </w:rPr>
        <w:t xml:space="preserve"> particulier la Convention </w:t>
      </w:r>
      <w:proofErr w:type="spellStart"/>
      <w:r w:rsidRPr="00B82BDF">
        <w:rPr>
          <w:rFonts w:cstheme="minorHAnsi"/>
          <w:color w:val="000000"/>
        </w:rPr>
        <w:t>d’Istanbul</w:t>
      </w:r>
      <w:proofErr w:type="spellEnd"/>
      <w:r w:rsidRPr="00B82BDF">
        <w:rPr>
          <w:rFonts w:cstheme="minorHAnsi"/>
          <w:color w:val="000000"/>
        </w:rPr>
        <w:t xml:space="preserve"> qui </w:t>
      </w:r>
      <w:proofErr w:type="spellStart"/>
      <w:r w:rsidRPr="00B82BDF">
        <w:rPr>
          <w:rFonts w:cstheme="minorHAnsi"/>
          <w:color w:val="000000"/>
        </w:rPr>
        <w:t>fournit</w:t>
      </w:r>
      <w:proofErr w:type="spellEnd"/>
      <w:r w:rsidRPr="00B82BDF">
        <w:rPr>
          <w:rFonts w:cstheme="minorHAnsi"/>
          <w:color w:val="000000"/>
        </w:rPr>
        <w:t xml:space="preserve"> un cadre global pour </w:t>
      </w:r>
      <w:proofErr w:type="spellStart"/>
      <w:r w:rsidRPr="00B82BDF">
        <w:rPr>
          <w:rFonts w:cstheme="minorHAnsi"/>
          <w:color w:val="000000"/>
        </w:rPr>
        <w:t>prévenir</w:t>
      </w:r>
      <w:proofErr w:type="spellEnd"/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poursuivre</w:t>
      </w:r>
      <w:proofErr w:type="spellEnd"/>
      <w:r w:rsidRPr="00B82BDF">
        <w:rPr>
          <w:rFonts w:cstheme="minorHAnsi"/>
          <w:color w:val="000000"/>
        </w:rPr>
        <w:t xml:space="preserve"> et </w:t>
      </w:r>
      <w:proofErr w:type="spellStart"/>
      <w:r w:rsidRPr="00B82BDF">
        <w:rPr>
          <w:rFonts w:cstheme="minorHAnsi"/>
          <w:color w:val="000000"/>
        </w:rPr>
        <w:t>éliminer</w:t>
      </w:r>
      <w:proofErr w:type="spellEnd"/>
      <w:r w:rsidRPr="00B82BDF">
        <w:rPr>
          <w:rFonts w:cstheme="minorHAnsi"/>
          <w:color w:val="000000"/>
        </w:rPr>
        <w:t xml:space="preserve"> la violence à </w:t>
      </w:r>
      <w:proofErr w:type="spellStart"/>
      <w:r w:rsidRPr="00B82BDF">
        <w:rPr>
          <w:rFonts w:cstheme="minorHAnsi"/>
          <w:color w:val="000000"/>
        </w:rPr>
        <w:t>l’égard</w:t>
      </w:r>
      <w:proofErr w:type="spellEnd"/>
      <w:r w:rsidRPr="00B82BDF">
        <w:rPr>
          <w:rFonts w:cstheme="minorHAnsi"/>
          <w:color w:val="000000"/>
        </w:rPr>
        <w:t xml:space="preserve"> des femmes et </w:t>
      </w:r>
      <w:proofErr w:type="spellStart"/>
      <w:r w:rsidRPr="00B82BDF">
        <w:rPr>
          <w:rFonts w:cstheme="minorHAnsi"/>
          <w:color w:val="000000"/>
        </w:rPr>
        <w:t>protéger</w:t>
      </w:r>
      <w:proofErr w:type="spellEnd"/>
      <w:r w:rsidRPr="00B82BDF">
        <w:rPr>
          <w:rFonts w:cstheme="minorHAnsi"/>
          <w:color w:val="000000"/>
        </w:rPr>
        <w:t xml:space="preserve"> les </w:t>
      </w:r>
      <w:proofErr w:type="spellStart"/>
      <w:r w:rsidRPr="00B82BDF">
        <w:rPr>
          <w:rFonts w:cstheme="minorHAnsi"/>
          <w:color w:val="000000"/>
        </w:rPr>
        <w:t>victimes</w:t>
      </w:r>
      <w:proofErr w:type="spellEnd"/>
      <w:r w:rsidRPr="00B82BDF">
        <w:rPr>
          <w:rFonts w:cstheme="minorHAnsi"/>
          <w:color w:val="000000"/>
        </w:rPr>
        <w:t xml:space="preserve"> (</w:t>
      </w:r>
      <w:r w:rsidRPr="00B82BDF">
        <w:rPr>
          <w:rFonts w:cstheme="minorHAnsi"/>
          <w:i/>
          <w:iCs/>
          <w:color w:val="000000"/>
        </w:rPr>
        <w:t>J.L. c. Italie</w:t>
      </w:r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précité</w:t>
      </w:r>
      <w:proofErr w:type="spellEnd"/>
      <w:r w:rsidRPr="00B82BDF">
        <w:rPr>
          <w:rFonts w:cstheme="minorHAnsi"/>
          <w:color w:val="000000"/>
        </w:rPr>
        <w:t xml:space="preserve">, § 120, et </w:t>
      </w:r>
      <w:proofErr w:type="spellStart"/>
      <w:r w:rsidRPr="00B82BDF">
        <w:rPr>
          <w:rFonts w:cstheme="minorHAnsi"/>
          <w:i/>
          <w:iCs/>
          <w:color w:val="000000"/>
        </w:rPr>
        <w:t>Vučković</w:t>
      </w:r>
      <w:proofErr w:type="spellEnd"/>
      <w:r w:rsidRPr="00B82BDF">
        <w:rPr>
          <w:rFonts w:cstheme="minorHAnsi"/>
          <w:color w:val="000000"/>
        </w:rPr>
        <w:t xml:space="preserve">, </w:t>
      </w:r>
      <w:proofErr w:type="spellStart"/>
      <w:r w:rsidRPr="00B82BDF">
        <w:rPr>
          <w:rFonts w:cstheme="minorHAnsi"/>
          <w:color w:val="000000"/>
        </w:rPr>
        <w:t>précité</w:t>
      </w:r>
      <w:proofErr w:type="spellEnd"/>
      <w:r w:rsidRPr="00B82BDF">
        <w:rPr>
          <w:rFonts w:cstheme="minorHAnsi"/>
          <w:color w:val="000000"/>
        </w:rPr>
        <w:t>, § 57).</w:t>
      </w:r>
    </w:p>
    <w:bookmarkStart w:id="31" w:name="paragraph00194"/>
    <w:p w14:paraId="2BA9672B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194</w:t>
      </w:r>
      <w:r w:rsidRPr="00B82BDF">
        <w:fldChar w:fldCharType="end"/>
      </w:r>
      <w:bookmarkEnd w:id="31"/>
      <w:r w:rsidRPr="00B82BDF">
        <w:t xml:space="preserve">.  Les obligations positives </w:t>
      </w:r>
      <w:proofErr w:type="spellStart"/>
      <w:r w:rsidRPr="00B82BDF">
        <w:t>inhérentes</w:t>
      </w:r>
      <w:proofErr w:type="spellEnd"/>
      <w:r w:rsidRPr="00B82BDF">
        <w:t xml:space="preserve"> aux articles 3 et 8 </w:t>
      </w:r>
      <w:proofErr w:type="spellStart"/>
      <w:r w:rsidRPr="00B82BDF">
        <w:t>commandent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premier lieu </w:t>
      </w:r>
      <w:proofErr w:type="spellStart"/>
      <w:r w:rsidRPr="00B82BDF">
        <w:t>l’instauration</w:t>
      </w:r>
      <w:proofErr w:type="spellEnd"/>
      <w:r w:rsidRPr="00B82BDF">
        <w:t xml:space="preserve"> d’un cadre </w:t>
      </w:r>
      <w:proofErr w:type="spellStart"/>
      <w:r w:rsidRPr="00B82BDF">
        <w:t>législatif</w:t>
      </w:r>
      <w:proofErr w:type="spellEnd"/>
      <w:r w:rsidRPr="00B82BDF">
        <w:t xml:space="preserve"> et </w:t>
      </w:r>
      <w:proofErr w:type="spellStart"/>
      <w:r w:rsidRPr="00B82BDF">
        <w:t>réglementaire</w:t>
      </w:r>
      <w:proofErr w:type="spellEnd"/>
      <w:r w:rsidRPr="00B82BDF">
        <w:t xml:space="preserve"> </w:t>
      </w:r>
      <w:proofErr w:type="spellStart"/>
      <w:r w:rsidRPr="00B82BDF">
        <w:t>permettant</w:t>
      </w:r>
      <w:proofErr w:type="spellEnd"/>
      <w:r w:rsidRPr="00B82BDF">
        <w:t xml:space="preserve"> de </w:t>
      </w:r>
      <w:proofErr w:type="spellStart"/>
      <w:r w:rsidRPr="00B82BDF">
        <w:t>protéger</w:t>
      </w:r>
      <w:proofErr w:type="spellEnd"/>
      <w:r w:rsidRPr="00B82BDF">
        <w:t xml:space="preserve"> </w:t>
      </w:r>
      <w:proofErr w:type="spellStart"/>
      <w:r w:rsidRPr="00B82BDF">
        <w:t>adéquatement</w:t>
      </w:r>
      <w:proofErr w:type="spellEnd"/>
      <w:r w:rsidRPr="00B82BDF">
        <w:t xml:space="preserve"> les </w:t>
      </w:r>
      <w:proofErr w:type="spellStart"/>
      <w:r w:rsidRPr="00B82BDF">
        <w:t>individus</w:t>
      </w:r>
      <w:proofErr w:type="spellEnd"/>
      <w:r w:rsidRPr="00B82BDF">
        <w:t xml:space="preserve"> </w:t>
      </w:r>
      <w:proofErr w:type="spellStart"/>
      <w:r w:rsidRPr="00B82BDF">
        <w:t>contre</w:t>
      </w:r>
      <w:proofErr w:type="spellEnd"/>
      <w:r w:rsidRPr="00B82BDF">
        <w:t xml:space="preserve"> les </w:t>
      </w:r>
      <w:proofErr w:type="spellStart"/>
      <w:r w:rsidRPr="00B82BDF">
        <w:t>atteintes</w:t>
      </w:r>
      <w:proofErr w:type="spellEnd"/>
      <w:r w:rsidRPr="00B82BDF">
        <w:t xml:space="preserve"> à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intégrité</w:t>
      </w:r>
      <w:proofErr w:type="spellEnd"/>
      <w:r w:rsidRPr="00B82BDF">
        <w:t xml:space="preserve"> physique et morale, </w:t>
      </w:r>
      <w:proofErr w:type="spellStart"/>
      <w:r w:rsidRPr="00B82BDF">
        <w:t>notamment</w:t>
      </w:r>
      <w:proofErr w:type="spellEnd"/>
      <w:r w:rsidRPr="00B82BDF">
        <w:t xml:space="preserve"> les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aussi</w:t>
      </w:r>
      <w:proofErr w:type="spellEnd"/>
      <w:r w:rsidRPr="00B82BDF">
        <w:t xml:space="preserve"> graves que le viol (</w:t>
      </w:r>
      <w:r w:rsidRPr="00B82BDF">
        <w:rPr>
          <w:i/>
          <w:iCs/>
        </w:rPr>
        <w:t>M.C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150, et </w:t>
      </w:r>
      <w:r w:rsidRPr="00B82BDF">
        <w:rPr>
          <w:i/>
          <w:iCs/>
        </w:rPr>
        <w:t>J.L. c. Italie</w:t>
      </w:r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118).</w:t>
      </w:r>
    </w:p>
    <w:bookmarkStart w:id="32" w:name="paragraph00195"/>
    <w:p w14:paraId="1CE7B2B7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195</w:t>
      </w:r>
      <w:r w:rsidRPr="00B82BDF">
        <w:fldChar w:fldCharType="end"/>
      </w:r>
      <w:bookmarkEnd w:id="32"/>
      <w:r w:rsidRPr="00B82BDF">
        <w:t>.  </w:t>
      </w:r>
      <w:proofErr w:type="spellStart"/>
      <w:r w:rsidRPr="00B82BDF">
        <w:t>S’agissant</w:t>
      </w:r>
      <w:proofErr w:type="spellEnd"/>
      <w:r w:rsidRPr="00B82BDF">
        <w:t xml:space="preserve"> de </w:t>
      </w:r>
      <w:proofErr w:type="spellStart"/>
      <w:r w:rsidRPr="00B82BDF">
        <w:t>cette</w:t>
      </w:r>
      <w:proofErr w:type="spellEnd"/>
      <w:r w:rsidRPr="00B82BDF">
        <w:t xml:space="preserve"> obligation </w:t>
      </w:r>
      <w:proofErr w:type="spellStart"/>
      <w:r w:rsidRPr="00B82BDF">
        <w:t>matérielle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a admis dans son </w:t>
      </w:r>
      <w:proofErr w:type="spellStart"/>
      <w:r w:rsidRPr="00B82BDF">
        <w:t>arrêt</w:t>
      </w:r>
      <w:proofErr w:type="spellEnd"/>
      <w:r w:rsidRPr="00B82BDF">
        <w:t> </w:t>
      </w:r>
      <w:r w:rsidRPr="00B82BDF">
        <w:rPr>
          <w:i/>
          <w:iCs/>
        </w:rPr>
        <w:t>M.C. 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rPr>
          <w:i/>
          <w:iCs/>
        </w:rPr>
        <w:t xml:space="preserve"> </w:t>
      </w:r>
      <w:r w:rsidRPr="00B82BDF">
        <w:t>(</w:t>
      </w:r>
      <w:proofErr w:type="spellStart"/>
      <w:r w:rsidRPr="00B82BDF">
        <w:t>précité</w:t>
      </w:r>
      <w:proofErr w:type="spellEnd"/>
      <w:r w:rsidRPr="00B82BDF">
        <w:t xml:space="preserve">, § 154) que les </w:t>
      </w:r>
      <w:proofErr w:type="spellStart"/>
      <w:r w:rsidRPr="00B82BDF">
        <w:t>États</w:t>
      </w:r>
      <w:proofErr w:type="spellEnd"/>
      <w:r w:rsidRPr="00B82BDF">
        <w:t xml:space="preserve"> </w:t>
      </w:r>
      <w:proofErr w:type="spellStart"/>
      <w:r w:rsidRPr="00B82BDF">
        <w:t>jouissent</w:t>
      </w:r>
      <w:proofErr w:type="spellEnd"/>
      <w:r w:rsidRPr="00B82BDF">
        <w:t xml:space="preserve"> </w:t>
      </w:r>
      <w:proofErr w:type="spellStart"/>
      <w:r w:rsidRPr="00B82BDF">
        <w:t>d’une</w:t>
      </w:r>
      <w:proofErr w:type="spellEnd"/>
      <w:r w:rsidRPr="00B82BDF">
        <w:t xml:space="preserve"> large marge </w:t>
      </w:r>
      <w:proofErr w:type="spellStart"/>
      <w:r w:rsidRPr="00B82BDF">
        <w:t>d’appréciation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qui </w:t>
      </w:r>
      <w:proofErr w:type="spellStart"/>
      <w:r w:rsidRPr="00B82BDF">
        <w:t>concerne</w:t>
      </w:r>
      <w:proofErr w:type="spellEnd"/>
      <w:r w:rsidRPr="00B82BDF">
        <w:t xml:space="preserve"> les </w:t>
      </w:r>
      <w:proofErr w:type="spellStart"/>
      <w:r w:rsidRPr="00B82BDF">
        <w:t>moyens</w:t>
      </w:r>
      <w:proofErr w:type="spellEnd"/>
      <w:r w:rsidRPr="00B82BDF">
        <w:t xml:space="preserve"> de </w:t>
      </w:r>
      <w:proofErr w:type="spellStart"/>
      <w:r w:rsidRPr="00B82BDF">
        <w:t>garantir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protection </w:t>
      </w:r>
      <w:proofErr w:type="spellStart"/>
      <w:r w:rsidRPr="00B82BDF">
        <w:t>adéquate</w:t>
      </w:r>
      <w:proofErr w:type="spellEnd"/>
      <w:r w:rsidRPr="00B82BDF">
        <w:t xml:space="preserve"> </w:t>
      </w:r>
      <w:proofErr w:type="spellStart"/>
      <w:r w:rsidRPr="00B82BDF">
        <w:t>contre</w:t>
      </w:r>
      <w:proofErr w:type="spellEnd"/>
      <w:r w:rsidRPr="00B82BDF">
        <w:t xml:space="preserve"> le viol. Elle a </w:t>
      </w:r>
      <w:proofErr w:type="spellStart"/>
      <w:r w:rsidRPr="00B82BDF">
        <w:t>constaté</w:t>
      </w:r>
      <w:proofErr w:type="spellEnd"/>
      <w:r w:rsidRPr="00B82BDF">
        <w:t xml:space="preserve"> dans </w:t>
      </w:r>
      <w:proofErr w:type="spellStart"/>
      <w:r w:rsidRPr="00B82BDF">
        <w:t>ce</w:t>
      </w:r>
      <w:proofErr w:type="spellEnd"/>
      <w:r w:rsidRPr="00B82BDF">
        <w:t xml:space="preserve"> </w:t>
      </w:r>
      <w:proofErr w:type="spellStart"/>
      <w:r w:rsidRPr="00B82BDF">
        <w:t>contexte</w:t>
      </w:r>
      <w:proofErr w:type="spellEnd"/>
      <w:r w:rsidRPr="00B82BDF">
        <w:t xml:space="preserve"> que </w:t>
      </w:r>
      <w:proofErr w:type="spellStart"/>
      <w:r w:rsidRPr="00B82BDF">
        <w:t>l’exigence</w:t>
      </w:r>
      <w:proofErr w:type="spellEnd"/>
      <w:r w:rsidRPr="00B82BDF">
        <w:t xml:space="preserve"> </w:t>
      </w:r>
      <w:proofErr w:type="spellStart"/>
      <w:r w:rsidRPr="00B82BDF">
        <w:t>selon</w:t>
      </w:r>
      <w:proofErr w:type="spellEnd"/>
      <w:r w:rsidRPr="00B82BDF">
        <w:t xml:space="preserve"> </w:t>
      </w:r>
      <w:proofErr w:type="spellStart"/>
      <w:r w:rsidRPr="00B82BDF">
        <w:t>laquelle</w:t>
      </w:r>
      <w:proofErr w:type="spellEnd"/>
      <w:r w:rsidRPr="00B82BDF">
        <w:t xml:space="preserve"> la </w:t>
      </w:r>
      <w:proofErr w:type="spellStart"/>
      <w:r w:rsidRPr="00B82BDF">
        <w:t>victime</w:t>
      </w:r>
      <w:proofErr w:type="spellEnd"/>
      <w:r w:rsidRPr="00B82BDF">
        <w:t xml:space="preserve"> doit </w:t>
      </w:r>
      <w:proofErr w:type="spellStart"/>
      <w:r w:rsidRPr="00B82BDF">
        <w:t>résister</w:t>
      </w:r>
      <w:proofErr w:type="spellEnd"/>
      <w:r w:rsidRPr="00B82BDF">
        <w:t xml:space="preserve"> </w:t>
      </w:r>
      <w:proofErr w:type="spellStart"/>
      <w:r w:rsidRPr="00B82BDF">
        <w:t>physiquement</w:t>
      </w:r>
      <w:proofErr w:type="spellEnd"/>
      <w:r w:rsidRPr="00B82BDF">
        <w:t xml:space="preserve"> </w:t>
      </w:r>
      <w:proofErr w:type="spellStart"/>
      <w:r w:rsidRPr="00B82BDF">
        <w:t>n’avait</w:t>
      </w:r>
      <w:proofErr w:type="spellEnd"/>
      <w:r w:rsidRPr="00B82BDF">
        <w:t xml:space="preserve"> plus </w:t>
      </w:r>
      <w:proofErr w:type="spellStart"/>
      <w:r w:rsidRPr="00B82BDF">
        <w:t>cours</w:t>
      </w:r>
      <w:proofErr w:type="spellEnd"/>
      <w:r w:rsidRPr="00B82BDF">
        <w:t xml:space="preserve"> dans la </w:t>
      </w:r>
      <w:proofErr w:type="spellStart"/>
      <w:r w:rsidRPr="00B82BDF">
        <w:t>législation</w:t>
      </w:r>
      <w:proofErr w:type="spellEnd"/>
      <w:r w:rsidRPr="00B82BDF">
        <w:t xml:space="preserve"> des pays </w:t>
      </w:r>
      <w:proofErr w:type="spellStart"/>
      <w:r w:rsidRPr="00B82BDF">
        <w:t>européens</w:t>
      </w:r>
      <w:proofErr w:type="spellEnd"/>
      <w:r w:rsidRPr="00B82BDF">
        <w:t xml:space="preserve"> et que </w:t>
      </w:r>
      <w:proofErr w:type="spellStart"/>
      <w:r w:rsidRPr="00B82BDF">
        <w:t>si</w:t>
      </w:r>
      <w:proofErr w:type="spellEnd"/>
      <w:r w:rsidRPr="00B82BDF">
        <w:t xml:space="preserve">, dans beaucoup de </w:t>
      </w:r>
      <w:proofErr w:type="spellStart"/>
      <w:r w:rsidRPr="00B82BDF">
        <w:t>ces</w:t>
      </w:r>
      <w:proofErr w:type="spellEnd"/>
      <w:r w:rsidRPr="00B82BDF">
        <w:t xml:space="preserve"> pays, la </w:t>
      </w:r>
      <w:proofErr w:type="spellStart"/>
      <w:r w:rsidRPr="00B82BDF">
        <w:t>définition</w:t>
      </w:r>
      <w:proofErr w:type="spellEnd"/>
      <w:r w:rsidRPr="00B82BDF">
        <w:t xml:space="preserve"> du viol </w:t>
      </w:r>
      <w:proofErr w:type="spellStart"/>
      <w:r w:rsidRPr="00B82BDF">
        <w:t>mentionnait</w:t>
      </w:r>
      <w:proofErr w:type="spellEnd"/>
      <w:r w:rsidRPr="00B82BDF">
        <w:t xml:space="preserve"> </w:t>
      </w:r>
      <w:proofErr w:type="spellStart"/>
      <w:r w:rsidRPr="00B82BDF">
        <w:t>toujours</w:t>
      </w:r>
      <w:proofErr w:type="spellEnd"/>
      <w:r w:rsidRPr="00B82BDF">
        <w:t xml:space="preserve"> </w:t>
      </w:r>
      <w:proofErr w:type="spellStart"/>
      <w:r w:rsidRPr="00B82BDF">
        <w:t>l’emploi</w:t>
      </w:r>
      <w:proofErr w:type="spellEnd"/>
      <w:r w:rsidRPr="00B82BDF">
        <w:t xml:space="preserve"> de la violence </w:t>
      </w:r>
      <w:proofErr w:type="spellStart"/>
      <w:r w:rsidRPr="00B82BDF">
        <w:t>ou</w:t>
      </w:r>
      <w:proofErr w:type="spellEnd"/>
      <w:r w:rsidRPr="00B82BDF">
        <w:t xml:space="preserve"> de menaces de violence par </w:t>
      </w:r>
      <w:proofErr w:type="spellStart"/>
      <w:r w:rsidRPr="00B82BDF">
        <w:t>l’agresseur</w:t>
      </w:r>
      <w:proofErr w:type="spellEnd"/>
      <w:r w:rsidRPr="00B82BDF">
        <w:t xml:space="preserve">, la jurisprudence et la doctrine </w:t>
      </w:r>
      <w:proofErr w:type="spellStart"/>
      <w:r w:rsidRPr="00B82BDF">
        <w:t>considéraient</w:t>
      </w:r>
      <w:proofErr w:type="spellEnd"/>
      <w:r w:rsidRPr="00B82BDF">
        <w:t xml:space="preserve"> </w:t>
      </w:r>
      <w:proofErr w:type="spellStart"/>
      <w:r w:rsidRPr="00B82BDF">
        <w:t>plutôt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, et non pas </w:t>
      </w:r>
      <w:proofErr w:type="spellStart"/>
      <w:r w:rsidRPr="00B82BDF">
        <w:t>l’usage</w:t>
      </w:r>
      <w:proofErr w:type="spellEnd"/>
      <w:r w:rsidRPr="00B82BDF">
        <w:t xml:space="preserve"> de la force,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l’élément</w:t>
      </w:r>
      <w:proofErr w:type="spellEnd"/>
      <w:r w:rsidRPr="00B82BDF">
        <w:t xml:space="preserve"> </w:t>
      </w:r>
      <w:proofErr w:type="spellStart"/>
      <w:r w:rsidRPr="00B82BDF">
        <w:t>constitutif</w:t>
      </w:r>
      <w:proofErr w:type="spellEnd"/>
      <w:r w:rsidRPr="00B82BDF">
        <w:t xml:space="preserve"> de </w:t>
      </w:r>
      <w:proofErr w:type="spellStart"/>
      <w:r w:rsidRPr="00B82BDF">
        <w:t>l’infraction</w:t>
      </w:r>
      <w:proofErr w:type="spellEnd"/>
      <w:r w:rsidRPr="00B82BDF">
        <w:t xml:space="preserve"> de viol.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donc</w:t>
      </w:r>
      <w:proofErr w:type="spellEnd"/>
      <w:r w:rsidRPr="00B82BDF">
        <w:t xml:space="preserve"> </w:t>
      </w:r>
      <w:proofErr w:type="spellStart"/>
      <w:r w:rsidRPr="00B82BDF">
        <w:t>dite</w:t>
      </w:r>
      <w:proofErr w:type="spellEnd"/>
      <w:r w:rsidRPr="00B82BDF">
        <w:t xml:space="preserve"> </w:t>
      </w:r>
      <w:proofErr w:type="spellStart"/>
      <w:r w:rsidRPr="00B82BDF">
        <w:t>convaincue</w:t>
      </w:r>
      <w:proofErr w:type="spellEnd"/>
      <w:r w:rsidRPr="00B82BDF">
        <w:t xml:space="preserve"> que 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approche</w:t>
      </w:r>
      <w:proofErr w:type="spellEnd"/>
      <w:r w:rsidRPr="00B82BDF">
        <w:t xml:space="preserve"> </w:t>
      </w:r>
      <w:proofErr w:type="spellStart"/>
      <w:r w:rsidRPr="00B82BDF">
        <w:t>rigide</w:t>
      </w:r>
      <w:proofErr w:type="spellEnd"/>
      <w:r w:rsidRPr="00B82BDF">
        <w:t xml:space="preserve"> de la </w:t>
      </w:r>
      <w:proofErr w:type="spellStart"/>
      <w:r w:rsidRPr="00B82BDF">
        <w:t>répression</w:t>
      </w:r>
      <w:proofErr w:type="spellEnd"/>
      <w:r w:rsidRPr="00B82BDF">
        <w:t xml:space="preserve"> des infractions à </w:t>
      </w:r>
      <w:proofErr w:type="spellStart"/>
      <w:r w:rsidRPr="00B82BDF">
        <w:t>caractère</w:t>
      </w:r>
      <w:proofErr w:type="spellEnd"/>
      <w:r w:rsidRPr="00B82BDF">
        <w:t xml:space="preserve"> </w:t>
      </w:r>
      <w:proofErr w:type="spellStart"/>
      <w:r w:rsidRPr="00B82BDF">
        <w:t>sexuel</w:t>
      </w:r>
      <w:proofErr w:type="spellEnd"/>
      <w:r w:rsidRPr="00B82BDF">
        <w:t xml:space="preserve">, qui </w:t>
      </w:r>
      <w:proofErr w:type="spellStart"/>
      <w:r w:rsidRPr="00B82BDF">
        <w:t>consisterait</w:t>
      </w:r>
      <w:proofErr w:type="spellEnd"/>
      <w:r w:rsidRPr="00B82BDF">
        <w:t xml:space="preserve"> par </w:t>
      </w:r>
      <w:proofErr w:type="spellStart"/>
      <w:r w:rsidRPr="00B82BDF">
        <w:t>exemple</w:t>
      </w:r>
      <w:proofErr w:type="spellEnd"/>
      <w:r w:rsidRPr="00B82BDF">
        <w:t xml:space="preserve"> à </w:t>
      </w:r>
      <w:proofErr w:type="spellStart"/>
      <w:r w:rsidRPr="00B82BDF">
        <w:t>exiger</w:t>
      </w:r>
      <w:proofErr w:type="spellEnd"/>
      <w:r w:rsidRPr="00B82BDF">
        <w:t xml:space="preserve"> dans </w:t>
      </w:r>
      <w:proofErr w:type="spellStart"/>
      <w:r w:rsidRPr="00B82BDF">
        <w:t>tous</w:t>
      </w:r>
      <w:proofErr w:type="spellEnd"/>
      <w:r w:rsidRPr="00B82BDF">
        <w:t xml:space="preserve"> les </w:t>
      </w:r>
      <w:proofErr w:type="spellStart"/>
      <w:r w:rsidRPr="00B82BDF">
        <w:t>cas</w:t>
      </w:r>
      <w:proofErr w:type="spellEnd"/>
      <w:r w:rsidRPr="00B82BDF">
        <w:t xml:space="preserve"> la </w:t>
      </w:r>
      <w:proofErr w:type="spellStart"/>
      <w:r w:rsidRPr="00B82BDF">
        <w:t>preuve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y a </w:t>
      </w:r>
      <w:proofErr w:type="spellStart"/>
      <w:r w:rsidRPr="00B82BDF">
        <w:t>eu</w:t>
      </w:r>
      <w:proofErr w:type="spellEnd"/>
      <w:r w:rsidRPr="00B82BDF">
        <w:t xml:space="preserve"> </w:t>
      </w:r>
      <w:proofErr w:type="spellStart"/>
      <w:r w:rsidRPr="00B82BDF">
        <w:t>résistance</w:t>
      </w:r>
      <w:proofErr w:type="spellEnd"/>
      <w:r w:rsidRPr="00B82BDF">
        <w:t xml:space="preserve"> physique, </w:t>
      </w:r>
      <w:proofErr w:type="spellStart"/>
      <w:r w:rsidRPr="00B82BDF">
        <w:t>risquait</w:t>
      </w:r>
      <w:proofErr w:type="spellEnd"/>
      <w:r w:rsidRPr="00B82BDF">
        <w:t xml:space="preserve"> </w:t>
      </w:r>
      <w:proofErr w:type="spellStart"/>
      <w:r w:rsidRPr="00B82BDF">
        <w:t>d’aboutir</w:t>
      </w:r>
      <w:proofErr w:type="spellEnd"/>
      <w:r w:rsidRPr="00B82BDF">
        <w:t xml:space="preserve"> à </w:t>
      </w:r>
      <w:proofErr w:type="spellStart"/>
      <w:r w:rsidRPr="00B82BDF">
        <w:t>l’impunité</w:t>
      </w:r>
      <w:proofErr w:type="spellEnd"/>
      <w:r w:rsidRPr="00B82BDF">
        <w:t xml:space="preserve"> des auteurs de </w:t>
      </w:r>
      <w:proofErr w:type="spellStart"/>
      <w:r w:rsidRPr="00B82BDF">
        <w:t>certains</w:t>
      </w:r>
      <w:proofErr w:type="spellEnd"/>
      <w:r w:rsidRPr="00B82BDF">
        <w:t xml:space="preserve"> types de viol et par </w:t>
      </w:r>
      <w:proofErr w:type="spellStart"/>
      <w:r w:rsidRPr="00B82BDF">
        <w:t>conséquent</w:t>
      </w:r>
      <w:proofErr w:type="spellEnd"/>
      <w:r w:rsidRPr="00B82BDF">
        <w:t xml:space="preserve"> de </w:t>
      </w:r>
      <w:proofErr w:type="spellStart"/>
      <w:r w:rsidRPr="00B82BDF">
        <w:t>compromettre</w:t>
      </w:r>
      <w:proofErr w:type="spellEnd"/>
      <w:r w:rsidRPr="00B82BDF">
        <w:t xml:space="preserve"> la protection effective de </w:t>
      </w:r>
      <w:proofErr w:type="spellStart"/>
      <w:r w:rsidRPr="00B82BDF">
        <w:t>l’autonomie</w:t>
      </w:r>
      <w:proofErr w:type="spellEnd"/>
      <w:r w:rsidRPr="00B82BDF">
        <w:t xml:space="preserve"> </w:t>
      </w:r>
      <w:proofErr w:type="spellStart"/>
      <w:r w:rsidRPr="00B82BDF">
        <w:t>sexuelle</w:t>
      </w:r>
      <w:proofErr w:type="spellEnd"/>
      <w:r w:rsidRPr="00B82BDF">
        <w:t xml:space="preserve"> de </w:t>
      </w:r>
      <w:proofErr w:type="spellStart"/>
      <w:r w:rsidRPr="00B82BDF">
        <w:t>l’individu</w:t>
      </w:r>
      <w:proofErr w:type="spellEnd"/>
      <w:r w:rsidRPr="00B82BDF">
        <w:t xml:space="preserve">. </w:t>
      </w:r>
      <w:proofErr w:type="spellStart"/>
      <w:r w:rsidRPr="00B82BDF">
        <w:t>Conformément</w:t>
      </w:r>
      <w:proofErr w:type="spellEnd"/>
      <w:r w:rsidRPr="00B82BDF">
        <w:t xml:space="preserve"> aux </w:t>
      </w:r>
      <w:proofErr w:type="spellStart"/>
      <w:r w:rsidRPr="00B82BDF">
        <w:t>normes</w:t>
      </w:r>
      <w:proofErr w:type="spellEnd"/>
      <w:r w:rsidRPr="00B82BDF">
        <w:t xml:space="preserve"> et aux tendances </w:t>
      </w:r>
      <w:proofErr w:type="spellStart"/>
      <w:r w:rsidRPr="00B82BDF">
        <w:t>contemporaines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la matière, </w:t>
      </w:r>
      <w:proofErr w:type="spellStart"/>
      <w:r w:rsidRPr="00B82BDF">
        <w:t>dont</w:t>
      </w:r>
      <w:proofErr w:type="spellEnd"/>
      <w:r w:rsidRPr="00B82BDF">
        <w:t xml:space="preserve"> </w:t>
      </w:r>
      <w:proofErr w:type="spellStart"/>
      <w:r w:rsidRPr="00B82BDF">
        <w:t>celle</w:t>
      </w:r>
      <w:proofErr w:type="spellEnd"/>
      <w:r w:rsidRPr="00B82BDF">
        <w:t xml:space="preserve"> </w:t>
      </w:r>
      <w:proofErr w:type="spellStart"/>
      <w:r w:rsidRPr="00B82BDF">
        <w:t>consistant</w:t>
      </w:r>
      <w:proofErr w:type="spellEnd"/>
      <w:r w:rsidRPr="00B82BDF">
        <w:t xml:space="preserve"> à </w:t>
      </w:r>
      <w:proofErr w:type="spellStart"/>
      <w:r w:rsidRPr="00B82BDF">
        <w:t>considérer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l’élément</w:t>
      </w:r>
      <w:proofErr w:type="spellEnd"/>
      <w:r w:rsidRPr="00B82BDF">
        <w:t xml:space="preserve"> </w:t>
      </w:r>
      <w:proofErr w:type="spellStart"/>
      <w:r w:rsidRPr="00B82BDF">
        <w:t>constitutif</w:t>
      </w:r>
      <w:proofErr w:type="spellEnd"/>
      <w:r w:rsidRPr="00B82BDF">
        <w:t xml:space="preserve"> </w:t>
      </w:r>
      <w:proofErr w:type="spellStart"/>
      <w:r w:rsidRPr="00B82BDF">
        <w:t>essentiel</w:t>
      </w:r>
      <w:proofErr w:type="spellEnd"/>
      <w:r w:rsidRPr="00B82BDF">
        <w:t xml:space="preserve"> du viol et des </w:t>
      </w:r>
      <w:proofErr w:type="spellStart"/>
      <w:r w:rsidRPr="00B82BDF">
        <w:t>violences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a </w:t>
      </w:r>
      <w:proofErr w:type="spellStart"/>
      <w:r w:rsidRPr="00B82BDF">
        <w:t>donc</w:t>
      </w:r>
      <w:proofErr w:type="spellEnd"/>
      <w:r w:rsidRPr="00B82BDF">
        <w:t xml:space="preserve"> </w:t>
      </w:r>
      <w:proofErr w:type="spellStart"/>
      <w:r w:rsidRPr="00B82BDF">
        <w:t>conclu</w:t>
      </w:r>
      <w:proofErr w:type="spellEnd"/>
      <w:r w:rsidRPr="00B82BDF">
        <w:t xml:space="preserve"> que les </w:t>
      </w:r>
      <w:proofErr w:type="spellStart"/>
      <w:r w:rsidRPr="00B82BDF">
        <w:t>États</w:t>
      </w:r>
      <w:proofErr w:type="spellEnd"/>
      <w:r w:rsidRPr="00B82BDF">
        <w:t xml:space="preserve"> </w:t>
      </w:r>
      <w:proofErr w:type="spellStart"/>
      <w:r w:rsidRPr="00B82BDF">
        <w:t>avaient</w:t>
      </w:r>
      <w:proofErr w:type="spellEnd"/>
      <w:r w:rsidRPr="00B82BDF">
        <w:t xml:space="preserve"> </w:t>
      </w:r>
      <w:proofErr w:type="spellStart"/>
      <w:r w:rsidRPr="00B82BDF">
        <w:t>l’obligation</w:t>
      </w:r>
      <w:proofErr w:type="spellEnd"/>
      <w:r w:rsidRPr="00B82BDF">
        <w:t xml:space="preserve"> </w:t>
      </w:r>
      <w:proofErr w:type="spellStart"/>
      <w:r w:rsidRPr="00B82BDF">
        <w:t>d’incriminer</w:t>
      </w:r>
      <w:proofErr w:type="spellEnd"/>
      <w:r w:rsidRPr="00B82BDF">
        <w:t xml:space="preserve"> et de </w:t>
      </w:r>
      <w:proofErr w:type="spellStart"/>
      <w:r w:rsidRPr="00B82BDF">
        <w:t>réprimer</w:t>
      </w:r>
      <w:proofErr w:type="spellEnd"/>
      <w:r w:rsidRPr="00B82BDF">
        <w:t xml:space="preserve"> </w:t>
      </w:r>
      <w:proofErr w:type="spellStart"/>
      <w:r w:rsidRPr="00B82BDF">
        <w:t>effectivement</w:t>
      </w:r>
      <w:proofErr w:type="spellEnd"/>
      <w:r w:rsidRPr="00B82BDF">
        <w:t xml:space="preserve"> tout </w:t>
      </w:r>
      <w:proofErr w:type="spellStart"/>
      <w:r w:rsidRPr="00B82BDF">
        <w:t>acte</w:t>
      </w:r>
      <w:proofErr w:type="spellEnd"/>
      <w:r w:rsidRPr="00B82BDF">
        <w:t xml:space="preserve"> </w:t>
      </w:r>
      <w:proofErr w:type="spellStart"/>
      <w:r w:rsidRPr="00B82BDF">
        <w:t>sexuel</w:t>
      </w:r>
      <w:proofErr w:type="spellEnd"/>
      <w:r w:rsidRPr="00B82BDF">
        <w:t xml:space="preserve"> non </w:t>
      </w:r>
      <w:proofErr w:type="spellStart"/>
      <w:r w:rsidRPr="00B82BDF">
        <w:t>consenti</w:t>
      </w:r>
      <w:proofErr w:type="spellEnd"/>
      <w:r w:rsidRPr="00B82BDF">
        <w:t xml:space="preserve">, y </w:t>
      </w:r>
      <w:proofErr w:type="spellStart"/>
      <w:r w:rsidRPr="00B82BDF">
        <w:t>compris</w:t>
      </w:r>
      <w:proofErr w:type="spellEnd"/>
      <w:r w:rsidRPr="00B82BDF">
        <w:t xml:space="preserve"> </w:t>
      </w:r>
      <w:proofErr w:type="spellStart"/>
      <w:r w:rsidRPr="00B82BDF">
        <w:t>lorsque</w:t>
      </w:r>
      <w:proofErr w:type="spellEnd"/>
      <w:r w:rsidRPr="00B82BDF">
        <w:t xml:space="preserve"> la </w:t>
      </w:r>
      <w:proofErr w:type="spellStart"/>
      <w:r w:rsidRPr="00B82BDF">
        <w:t>victime</w:t>
      </w:r>
      <w:proofErr w:type="spellEnd"/>
      <w:r w:rsidRPr="00B82BDF">
        <w:t xml:space="preserve">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opposé</w:t>
      </w:r>
      <w:proofErr w:type="spellEnd"/>
      <w:r w:rsidRPr="00B82BDF">
        <w:t xml:space="preserve"> de </w:t>
      </w:r>
      <w:proofErr w:type="spellStart"/>
      <w:r w:rsidRPr="00B82BDF">
        <w:t>résistance</w:t>
      </w:r>
      <w:proofErr w:type="spellEnd"/>
      <w:r w:rsidRPr="00B82BDF">
        <w:t xml:space="preserve"> physique (</w:t>
      </w:r>
      <w:r w:rsidRPr="00B82BDF">
        <w:rPr>
          <w:i/>
          <w:iCs/>
        </w:rPr>
        <w:t>ibidem</w:t>
      </w:r>
      <w:r w:rsidRPr="00B82BDF">
        <w:t xml:space="preserve">, §§ 157-166 ; </w:t>
      </w:r>
      <w:r w:rsidRPr="00B82BDF">
        <w:rPr>
          <w:i/>
          <w:iCs/>
        </w:rPr>
        <w:t>Z c. </w:t>
      </w:r>
      <w:proofErr w:type="spellStart"/>
      <w:r w:rsidRPr="00B82BDF">
        <w:rPr>
          <w:i/>
          <w:iCs/>
        </w:rPr>
        <w:t>République</w:t>
      </w:r>
      <w:proofErr w:type="spellEnd"/>
      <w:r w:rsidRPr="00B82BDF">
        <w:rPr>
          <w:i/>
          <w:iCs/>
        </w:rPr>
        <w:t xml:space="preserve"> </w:t>
      </w:r>
      <w:proofErr w:type="spellStart"/>
      <w:r w:rsidRPr="00B82BDF">
        <w:rPr>
          <w:i/>
          <w:iCs/>
        </w:rPr>
        <w:t>Tchèque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 xml:space="preserve"> 37782/21, § 52, 20 </w:t>
      </w:r>
      <w:proofErr w:type="spellStart"/>
      <w:r w:rsidRPr="00B82BDF">
        <w:t>juin</w:t>
      </w:r>
      <w:proofErr w:type="spellEnd"/>
      <w:r w:rsidRPr="00B82BDF">
        <w:t xml:space="preserve"> 2024, et </w:t>
      </w:r>
      <w:r w:rsidRPr="00B82BDF">
        <w:rPr>
          <w:i/>
          <w:iCs/>
        </w:rPr>
        <w:t>Y. c. </w:t>
      </w:r>
      <w:proofErr w:type="spellStart"/>
      <w:r w:rsidRPr="00B82BDF">
        <w:rPr>
          <w:i/>
          <w:iCs/>
        </w:rPr>
        <w:t>République</w:t>
      </w:r>
      <w:proofErr w:type="spellEnd"/>
      <w:r w:rsidRPr="00B82BDF">
        <w:rPr>
          <w:i/>
          <w:iCs/>
        </w:rPr>
        <w:t xml:space="preserve"> </w:t>
      </w:r>
      <w:proofErr w:type="spellStart"/>
      <w:r w:rsidRPr="00B82BDF">
        <w:rPr>
          <w:i/>
          <w:iCs/>
        </w:rPr>
        <w:t>Tchèque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 xml:space="preserve"> 10145/22, § 58, 12 </w:t>
      </w:r>
      <w:proofErr w:type="spellStart"/>
      <w:r w:rsidRPr="00B82BDF">
        <w:t>décembre</w:t>
      </w:r>
      <w:proofErr w:type="spellEnd"/>
      <w:r w:rsidRPr="00B82BDF">
        <w:t xml:space="preserve"> 2024).</w:t>
      </w:r>
    </w:p>
    <w:p w14:paraId="7FBFE500" w14:textId="77777777" w:rsidR="008A7B1D" w:rsidRPr="00B82BDF" w:rsidRDefault="008A7B1D" w:rsidP="008A7B1D">
      <w:pPr>
        <w:pStyle w:val="ECHRPara"/>
      </w:pPr>
      <w:r w:rsidRPr="00B82BDF">
        <w:lastRenderedPageBreak/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196</w:t>
      </w:r>
      <w:r w:rsidRPr="00B82BDF">
        <w:rPr>
          <w:noProof/>
        </w:rPr>
        <w:fldChar w:fldCharType="end"/>
      </w:r>
      <w:r w:rsidRPr="00B82BDF">
        <w:t>. </w:t>
      </w:r>
      <w:r w:rsidRPr="00B82BDF">
        <w:rPr>
          <w:rFonts w:ascii="Times New Roman" w:hAnsi="Times New Roman" w:cs="Times New Roman"/>
        </w:rPr>
        <w:t xml:space="preserve"> La </w:t>
      </w:r>
      <w:proofErr w:type="spellStart"/>
      <w:r w:rsidRPr="00B82BDF">
        <w:rPr>
          <w:rFonts w:ascii="Times New Roman" w:hAnsi="Times New Roman" w:cs="Times New Roman"/>
        </w:rPr>
        <w:t>Cour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rappelle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en</w:t>
      </w:r>
      <w:proofErr w:type="spellEnd"/>
      <w:r w:rsidRPr="00B82BDF">
        <w:rPr>
          <w:rFonts w:ascii="Times New Roman" w:hAnsi="Times New Roman" w:cs="Times New Roman"/>
        </w:rPr>
        <w:t xml:space="preserve"> second lieu que les articles 3 et 8 de la Convention </w:t>
      </w:r>
      <w:proofErr w:type="spellStart"/>
      <w:r w:rsidRPr="00B82BDF">
        <w:rPr>
          <w:rFonts w:ascii="Times New Roman" w:hAnsi="Times New Roman" w:cs="Times New Roman"/>
        </w:rPr>
        <w:t>mettent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également</w:t>
      </w:r>
      <w:proofErr w:type="spellEnd"/>
      <w:r w:rsidRPr="00B82BDF">
        <w:rPr>
          <w:rFonts w:ascii="Times New Roman" w:hAnsi="Times New Roman" w:cs="Times New Roman"/>
        </w:rPr>
        <w:t xml:space="preserve"> à la charge des </w:t>
      </w:r>
      <w:proofErr w:type="spellStart"/>
      <w:r w:rsidRPr="00B82BDF">
        <w:rPr>
          <w:rFonts w:ascii="Times New Roman" w:hAnsi="Times New Roman" w:cs="Times New Roman"/>
        </w:rPr>
        <w:t>États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une</w:t>
      </w:r>
      <w:proofErr w:type="spellEnd"/>
      <w:r w:rsidRPr="00B82BDF">
        <w:rPr>
          <w:rFonts w:ascii="Times New Roman" w:hAnsi="Times New Roman" w:cs="Times New Roman"/>
        </w:rPr>
        <w:t xml:space="preserve"> obligation positive </w:t>
      </w:r>
      <w:proofErr w:type="spellStart"/>
      <w:r w:rsidRPr="00B82BDF">
        <w:rPr>
          <w:rFonts w:ascii="Times New Roman" w:hAnsi="Times New Roman" w:cs="Times New Roman"/>
        </w:rPr>
        <w:t>procédurale</w:t>
      </w:r>
      <w:proofErr w:type="spellEnd"/>
      <w:r w:rsidRPr="00B82BDF">
        <w:rPr>
          <w:rFonts w:ascii="Times New Roman" w:hAnsi="Times New Roman" w:cs="Times New Roman"/>
        </w:rPr>
        <w:t xml:space="preserve">. </w:t>
      </w:r>
      <w:proofErr w:type="spellStart"/>
      <w:r w:rsidRPr="00B82BDF">
        <w:rPr>
          <w:rFonts w:ascii="Times New Roman" w:hAnsi="Times New Roman" w:cs="Times New Roman"/>
        </w:rPr>
        <w:t>Ainsi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lorsqu’une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personne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allègue</w:t>
      </w:r>
      <w:proofErr w:type="spellEnd"/>
      <w:r w:rsidRPr="00B82BDF">
        <w:rPr>
          <w:rFonts w:ascii="Times New Roman" w:hAnsi="Times New Roman" w:cs="Times New Roman"/>
        </w:rPr>
        <w:t xml:space="preserve"> de manière </w:t>
      </w:r>
      <w:proofErr w:type="spellStart"/>
      <w:r w:rsidRPr="00B82BDF">
        <w:rPr>
          <w:rFonts w:ascii="Times New Roman" w:hAnsi="Times New Roman" w:cs="Times New Roman"/>
        </w:rPr>
        <w:t>défendable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avoir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été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victime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d’actes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contraires</w:t>
      </w:r>
      <w:proofErr w:type="spellEnd"/>
      <w:r w:rsidRPr="00B82BDF">
        <w:rPr>
          <w:rFonts w:ascii="Times New Roman" w:hAnsi="Times New Roman" w:cs="Times New Roman"/>
        </w:rPr>
        <w:t xml:space="preserve"> à </w:t>
      </w:r>
      <w:proofErr w:type="spellStart"/>
      <w:r w:rsidRPr="00B82BDF">
        <w:rPr>
          <w:rFonts w:ascii="Times New Roman" w:hAnsi="Times New Roman" w:cs="Times New Roman"/>
        </w:rPr>
        <w:t>ces</w:t>
      </w:r>
      <w:proofErr w:type="spellEnd"/>
      <w:r w:rsidRPr="00B82BDF">
        <w:rPr>
          <w:rFonts w:ascii="Times New Roman" w:hAnsi="Times New Roman" w:cs="Times New Roman"/>
        </w:rPr>
        <w:t xml:space="preserve"> dispositions, les </w:t>
      </w:r>
      <w:proofErr w:type="spellStart"/>
      <w:r w:rsidRPr="00B82BDF">
        <w:rPr>
          <w:rFonts w:ascii="Times New Roman" w:hAnsi="Times New Roman" w:cs="Times New Roman"/>
        </w:rPr>
        <w:t>autorités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nationales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doivent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mener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une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enquête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officielle</w:t>
      </w:r>
      <w:proofErr w:type="spellEnd"/>
      <w:r w:rsidRPr="00B82BDF">
        <w:rPr>
          <w:rFonts w:ascii="Times New Roman" w:hAnsi="Times New Roman" w:cs="Times New Roman"/>
        </w:rPr>
        <w:t xml:space="preserve"> effective propre à </w:t>
      </w:r>
      <w:proofErr w:type="spellStart"/>
      <w:r w:rsidRPr="00B82BDF">
        <w:rPr>
          <w:rFonts w:ascii="Times New Roman" w:hAnsi="Times New Roman" w:cs="Times New Roman"/>
        </w:rPr>
        <w:t>permettre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l’établissement</w:t>
      </w:r>
      <w:proofErr w:type="spellEnd"/>
      <w:r w:rsidRPr="00B82BDF">
        <w:rPr>
          <w:rFonts w:ascii="Times New Roman" w:hAnsi="Times New Roman" w:cs="Times New Roman"/>
        </w:rPr>
        <w:t xml:space="preserve"> des faits </w:t>
      </w:r>
      <w:proofErr w:type="spellStart"/>
      <w:r w:rsidRPr="00B82BDF">
        <w:rPr>
          <w:rFonts w:ascii="Times New Roman" w:hAnsi="Times New Roman" w:cs="Times New Roman"/>
        </w:rPr>
        <w:t>ainsi</w:t>
      </w:r>
      <w:proofErr w:type="spellEnd"/>
      <w:r w:rsidRPr="00B82BDF">
        <w:rPr>
          <w:rFonts w:ascii="Times New Roman" w:hAnsi="Times New Roman" w:cs="Times New Roman"/>
        </w:rPr>
        <w:t xml:space="preserve"> que </w:t>
      </w:r>
      <w:proofErr w:type="spellStart"/>
      <w:r w:rsidRPr="00B82BDF">
        <w:rPr>
          <w:rFonts w:ascii="Times New Roman" w:hAnsi="Times New Roman" w:cs="Times New Roman"/>
        </w:rPr>
        <w:t>l’identification</w:t>
      </w:r>
      <w:proofErr w:type="spellEnd"/>
      <w:r w:rsidRPr="00B82BDF">
        <w:rPr>
          <w:rFonts w:ascii="Times New Roman" w:hAnsi="Times New Roman" w:cs="Times New Roman"/>
        </w:rPr>
        <w:t xml:space="preserve"> et, le </w:t>
      </w:r>
      <w:proofErr w:type="spellStart"/>
      <w:r w:rsidRPr="00B82BDF">
        <w:rPr>
          <w:rFonts w:ascii="Times New Roman" w:hAnsi="Times New Roman" w:cs="Times New Roman"/>
        </w:rPr>
        <w:t>cas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échéant</w:t>
      </w:r>
      <w:proofErr w:type="spellEnd"/>
      <w:r w:rsidRPr="00B82BDF">
        <w:rPr>
          <w:rFonts w:ascii="Times New Roman" w:hAnsi="Times New Roman" w:cs="Times New Roman"/>
        </w:rPr>
        <w:t xml:space="preserve">, la </w:t>
      </w:r>
      <w:proofErr w:type="spellStart"/>
      <w:r w:rsidRPr="00B82BDF">
        <w:rPr>
          <w:rFonts w:ascii="Times New Roman" w:hAnsi="Times New Roman" w:cs="Times New Roman"/>
        </w:rPr>
        <w:t>punition</w:t>
      </w:r>
      <w:proofErr w:type="spellEnd"/>
      <w:r w:rsidRPr="00B82BDF">
        <w:rPr>
          <w:rFonts w:ascii="Times New Roman" w:hAnsi="Times New Roman" w:cs="Times New Roman"/>
        </w:rPr>
        <w:t xml:space="preserve"> des </w:t>
      </w:r>
      <w:proofErr w:type="spellStart"/>
      <w:r w:rsidRPr="00B82BDF">
        <w:rPr>
          <w:rFonts w:ascii="Times New Roman" w:hAnsi="Times New Roman" w:cs="Times New Roman"/>
        </w:rPr>
        <w:t>personnes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responsables</w:t>
      </w:r>
      <w:proofErr w:type="spellEnd"/>
      <w:r w:rsidRPr="00B82BDF">
        <w:rPr>
          <w:rFonts w:ascii="Times New Roman" w:hAnsi="Times New Roman" w:cs="Times New Roman"/>
        </w:rPr>
        <w:t xml:space="preserve">. Il </w:t>
      </w:r>
      <w:proofErr w:type="spellStart"/>
      <w:r w:rsidRPr="00B82BDF">
        <w:rPr>
          <w:rFonts w:ascii="Times New Roman" w:hAnsi="Times New Roman" w:cs="Times New Roman"/>
        </w:rPr>
        <w:t>s’agit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là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d’une</w:t>
      </w:r>
      <w:proofErr w:type="spellEnd"/>
      <w:r w:rsidRPr="00B82BDF">
        <w:rPr>
          <w:rFonts w:ascii="Times New Roman" w:hAnsi="Times New Roman" w:cs="Times New Roman"/>
        </w:rPr>
        <w:t xml:space="preserve"> obligation de </w:t>
      </w:r>
      <w:proofErr w:type="spellStart"/>
      <w:r w:rsidRPr="00B82BDF">
        <w:rPr>
          <w:rFonts w:ascii="Times New Roman" w:hAnsi="Times New Roman" w:cs="Times New Roman"/>
        </w:rPr>
        <w:t>moyens</w:t>
      </w:r>
      <w:proofErr w:type="spellEnd"/>
      <w:r w:rsidRPr="00B82BDF">
        <w:rPr>
          <w:rFonts w:ascii="Times New Roman" w:hAnsi="Times New Roman" w:cs="Times New Roman"/>
        </w:rPr>
        <w:t xml:space="preserve"> et non de </w:t>
      </w:r>
      <w:proofErr w:type="spellStart"/>
      <w:r w:rsidRPr="00B82BDF">
        <w:rPr>
          <w:rFonts w:ascii="Times New Roman" w:hAnsi="Times New Roman" w:cs="Times New Roman"/>
        </w:rPr>
        <w:t>résultat</w:t>
      </w:r>
      <w:proofErr w:type="spellEnd"/>
      <w:r w:rsidRPr="00B82BDF">
        <w:rPr>
          <w:rFonts w:ascii="Times New Roman" w:hAnsi="Times New Roman" w:cs="Times New Roman"/>
        </w:rPr>
        <w:t xml:space="preserve">. Si </w:t>
      </w:r>
      <w:proofErr w:type="spellStart"/>
      <w:r w:rsidRPr="00B82BDF">
        <w:rPr>
          <w:rFonts w:ascii="Times New Roman" w:hAnsi="Times New Roman" w:cs="Times New Roman"/>
        </w:rPr>
        <w:t>cette</w:t>
      </w:r>
      <w:proofErr w:type="spellEnd"/>
      <w:r w:rsidRPr="00B82BDF">
        <w:rPr>
          <w:rFonts w:ascii="Times New Roman" w:hAnsi="Times New Roman" w:cs="Times New Roman"/>
        </w:rPr>
        <w:t xml:space="preserve"> exigence </w:t>
      </w:r>
      <w:proofErr w:type="spellStart"/>
      <w:r w:rsidRPr="00B82BDF">
        <w:rPr>
          <w:rFonts w:ascii="Times New Roman" w:hAnsi="Times New Roman" w:cs="Times New Roman"/>
        </w:rPr>
        <w:t>n’impose</w:t>
      </w:r>
      <w:proofErr w:type="spellEnd"/>
      <w:r w:rsidRPr="00B82BDF">
        <w:rPr>
          <w:rFonts w:ascii="Times New Roman" w:hAnsi="Times New Roman" w:cs="Times New Roman"/>
        </w:rPr>
        <w:t xml:space="preserve"> pas que </w:t>
      </w:r>
      <w:proofErr w:type="spellStart"/>
      <w:r w:rsidRPr="00B82BDF">
        <w:rPr>
          <w:rFonts w:ascii="Times New Roman" w:hAnsi="Times New Roman" w:cs="Times New Roman"/>
        </w:rPr>
        <w:t>toute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procédure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pénale</w:t>
      </w:r>
      <w:proofErr w:type="spellEnd"/>
      <w:r w:rsidRPr="00B82BDF">
        <w:rPr>
          <w:rFonts w:ascii="Times New Roman" w:hAnsi="Times New Roman" w:cs="Times New Roman"/>
        </w:rPr>
        <w:t xml:space="preserve"> se </w:t>
      </w:r>
      <w:proofErr w:type="spellStart"/>
      <w:r w:rsidRPr="00B82BDF">
        <w:rPr>
          <w:rFonts w:ascii="Times New Roman" w:hAnsi="Times New Roman" w:cs="Times New Roman"/>
        </w:rPr>
        <w:t>solde</w:t>
      </w:r>
      <w:proofErr w:type="spellEnd"/>
      <w:r w:rsidRPr="00B82BDF">
        <w:rPr>
          <w:rFonts w:ascii="Times New Roman" w:hAnsi="Times New Roman" w:cs="Times New Roman"/>
        </w:rPr>
        <w:t xml:space="preserve"> par </w:t>
      </w:r>
      <w:proofErr w:type="spellStart"/>
      <w:r w:rsidRPr="00B82BDF">
        <w:rPr>
          <w:rFonts w:ascii="Times New Roman" w:hAnsi="Times New Roman" w:cs="Times New Roman"/>
        </w:rPr>
        <w:t>une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condamnation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voire</w:t>
      </w:r>
      <w:proofErr w:type="spellEnd"/>
      <w:r w:rsidRPr="00B82BDF">
        <w:rPr>
          <w:rFonts w:ascii="Times New Roman" w:hAnsi="Times New Roman" w:cs="Times New Roman"/>
        </w:rPr>
        <w:t xml:space="preserve"> par le </w:t>
      </w:r>
      <w:proofErr w:type="spellStart"/>
      <w:r w:rsidRPr="00B82BDF">
        <w:rPr>
          <w:rFonts w:ascii="Times New Roman" w:hAnsi="Times New Roman" w:cs="Times New Roman"/>
        </w:rPr>
        <w:t>prononcé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d’une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peine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déterminée</w:t>
      </w:r>
      <w:proofErr w:type="spellEnd"/>
      <w:r w:rsidRPr="00B82BDF">
        <w:rPr>
          <w:rFonts w:ascii="Times New Roman" w:hAnsi="Times New Roman" w:cs="Times New Roman"/>
        </w:rPr>
        <w:t xml:space="preserve">, les instances </w:t>
      </w:r>
      <w:proofErr w:type="spellStart"/>
      <w:r w:rsidRPr="00B82BDF">
        <w:rPr>
          <w:rFonts w:ascii="Times New Roman" w:hAnsi="Times New Roman" w:cs="Times New Roman"/>
        </w:rPr>
        <w:t>judiciaires</w:t>
      </w:r>
      <w:proofErr w:type="spellEnd"/>
      <w:r w:rsidRPr="00B82BDF">
        <w:rPr>
          <w:rFonts w:ascii="Times New Roman" w:hAnsi="Times New Roman" w:cs="Times New Roman"/>
        </w:rPr>
        <w:t xml:space="preserve"> internes ne </w:t>
      </w:r>
      <w:proofErr w:type="spellStart"/>
      <w:r w:rsidRPr="00B82BDF">
        <w:rPr>
          <w:rFonts w:ascii="Times New Roman" w:hAnsi="Times New Roman" w:cs="Times New Roman"/>
        </w:rPr>
        <w:t>doivent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en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aucun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cas</w:t>
      </w:r>
      <w:proofErr w:type="spellEnd"/>
      <w:r w:rsidRPr="00B82BDF">
        <w:rPr>
          <w:rFonts w:ascii="Times New Roman" w:hAnsi="Times New Roman" w:cs="Times New Roman"/>
        </w:rPr>
        <w:t xml:space="preserve"> se </w:t>
      </w:r>
      <w:proofErr w:type="spellStart"/>
      <w:r w:rsidRPr="00B82BDF">
        <w:rPr>
          <w:rFonts w:ascii="Times New Roman" w:hAnsi="Times New Roman" w:cs="Times New Roman"/>
        </w:rPr>
        <w:t>montrer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disposées</w:t>
      </w:r>
      <w:proofErr w:type="spellEnd"/>
      <w:r w:rsidRPr="00B82BDF">
        <w:rPr>
          <w:rFonts w:ascii="Times New Roman" w:hAnsi="Times New Roman" w:cs="Times New Roman"/>
        </w:rPr>
        <w:t xml:space="preserve"> à </w:t>
      </w:r>
      <w:proofErr w:type="spellStart"/>
      <w:r w:rsidRPr="00B82BDF">
        <w:rPr>
          <w:rFonts w:ascii="Times New Roman" w:hAnsi="Times New Roman" w:cs="Times New Roman"/>
        </w:rPr>
        <w:t>laisser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impunies</w:t>
      </w:r>
      <w:proofErr w:type="spellEnd"/>
      <w:r w:rsidRPr="00B82BDF">
        <w:rPr>
          <w:rFonts w:ascii="Times New Roman" w:hAnsi="Times New Roman" w:cs="Times New Roman"/>
        </w:rPr>
        <w:t xml:space="preserve"> des </w:t>
      </w:r>
      <w:proofErr w:type="spellStart"/>
      <w:r w:rsidRPr="00B82BDF">
        <w:rPr>
          <w:rFonts w:ascii="Times New Roman" w:hAnsi="Times New Roman" w:cs="Times New Roman"/>
        </w:rPr>
        <w:t>atteintes</w:t>
      </w:r>
      <w:proofErr w:type="spellEnd"/>
      <w:r w:rsidRPr="00B82BDF">
        <w:rPr>
          <w:rFonts w:ascii="Times New Roman" w:hAnsi="Times New Roman" w:cs="Times New Roman"/>
        </w:rPr>
        <w:t xml:space="preserve"> à </w:t>
      </w:r>
      <w:proofErr w:type="spellStart"/>
      <w:r w:rsidRPr="00B82BDF">
        <w:rPr>
          <w:rFonts w:ascii="Times New Roman" w:hAnsi="Times New Roman" w:cs="Times New Roman"/>
        </w:rPr>
        <w:t>l’intégrité</w:t>
      </w:r>
      <w:proofErr w:type="spellEnd"/>
      <w:r w:rsidRPr="00B82BDF">
        <w:rPr>
          <w:rFonts w:ascii="Times New Roman" w:hAnsi="Times New Roman" w:cs="Times New Roman"/>
        </w:rPr>
        <w:t xml:space="preserve"> physique et morale des </w:t>
      </w:r>
      <w:proofErr w:type="spellStart"/>
      <w:r w:rsidRPr="00B82BDF">
        <w:rPr>
          <w:rFonts w:ascii="Times New Roman" w:hAnsi="Times New Roman" w:cs="Times New Roman"/>
        </w:rPr>
        <w:t>personnes</w:t>
      </w:r>
      <w:proofErr w:type="spellEnd"/>
      <w:r w:rsidRPr="00B82BDF">
        <w:rPr>
          <w:rFonts w:ascii="Times New Roman" w:hAnsi="Times New Roman" w:cs="Times New Roman"/>
        </w:rPr>
        <w:t xml:space="preserve">, pour </w:t>
      </w:r>
      <w:proofErr w:type="spellStart"/>
      <w:r w:rsidRPr="00B82BDF">
        <w:rPr>
          <w:rFonts w:ascii="Times New Roman" w:hAnsi="Times New Roman" w:cs="Times New Roman"/>
        </w:rPr>
        <w:t>préserver</w:t>
      </w:r>
      <w:proofErr w:type="spellEnd"/>
      <w:r w:rsidRPr="00B82BDF">
        <w:rPr>
          <w:rFonts w:ascii="Times New Roman" w:hAnsi="Times New Roman" w:cs="Times New Roman"/>
        </w:rPr>
        <w:t xml:space="preserve"> la </w:t>
      </w:r>
      <w:proofErr w:type="spellStart"/>
      <w:r w:rsidRPr="00B82BDF">
        <w:rPr>
          <w:rFonts w:ascii="Times New Roman" w:hAnsi="Times New Roman" w:cs="Times New Roman"/>
        </w:rPr>
        <w:t>confiance</w:t>
      </w:r>
      <w:proofErr w:type="spellEnd"/>
      <w:r w:rsidRPr="00B82BDF">
        <w:rPr>
          <w:rFonts w:ascii="Times New Roman" w:hAnsi="Times New Roman" w:cs="Times New Roman"/>
        </w:rPr>
        <w:t xml:space="preserve"> du public dans le respect du </w:t>
      </w:r>
      <w:proofErr w:type="spellStart"/>
      <w:r w:rsidRPr="00B82BDF">
        <w:rPr>
          <w:rFonts w:ascii="Times New Roman" w:hAnsi="Times New Roman" w:cs="Times New Roman"/>
        </w:rPr>
        <w:t>principe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légalité</w:t>
      </w:r>
      <w:proofErr w:type="spellEnd"/>
      <w:r w:rsidRPr="00B82BDF">
        <w:rPr>
          <w:rFonts w:ascii="Times New Roman" w:hAnsi="Times New Roman" w:cs="Times New Roman"/>
        </w:rPr>
        <w:t xml:space="preserve"> et pour </w:t>
      </w:r>
      <w:proofErr w:type="spellStart"/>
      <w:r w:rsidRPr="00B82BDF">
        <w:rPr>
          <w:rFonts w:ascii="Times New Roman" w:hAnsi="Times New Roman" w:cs="Times New Roman"/>
        </w:rPr>
        <w:t>éviter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toute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apparence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complicité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ou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tolérance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d’actes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illégaux</w:t>
      </w:r>
      <w:proofErr w:type="spellEnd"/>
      <w:r w:rsidRPr="00B82BDF">
        <w:rPr>
          <w:rFonts w:ascii="Times New Roman" w:hAnsi="Times New Roman" w:cs="Times New Roman"/>
        </w:rPr>
        <w:t xml:space="preserve"> (</w:t>
      </w:r>
      <w:proofErr w:type="spellStart"/>
      <w:r w:rsidRPr="00B82BDF">
        <w:rPr>
          <w:rFonts w:ascii="Times New Roman" w:hAnsi="Times New Roman" w:cs="Times New Roman"/>
        </w:rPr>
        <w:t>voir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parmi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d’autres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r w:rsidRPr="00B82BDF">
        <w:rPr>
          <w:rFonts w:ascii="Times New Roman" w:hAnsi="Times New Roman" w:cs="Times New Roman"/>
          <w:i/>
          <w:iCs/>
        </w:rPr>
        <w:t>J.L. c. Italie</w:t>
      </w:r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>, § 118,  </w:t>
      </w:r>
      <w:r w:rsidRPr="00B82BDF">
        <w:rPr>
          <w:rFonts w:ascii="Times New Roman" w:hAnsi="Times New Roman" w:cs="Times New Roman"/>
          <w:i/>
          <w:iCs/>
        </w:rPr>
        <w:t>N.Ç. c. </w:t>
      </w:r>
      <w:proofErr w:type="spellStart"/>
      <w:r w:rsidRPr="00B82BDF">
        <w:rPr>
          <w:rFonts w:ascii="Times New Roman" w:hAnsi="Times New Roman" w:cs="Times New Roman"/>
          <w:i/>
          <w:iCs/>
        </w:rPr>
        <w:t>Turquie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 xml:space="preserve">, § 96, </w:t>
      </w:r>
      <w:r w:rsidRPr="00B82BDF">
        <w:rPr>
          <w:rFonts w:ascii="Times New Roman" w:hAnsi="Times New Roman" w:cs="Times New Roman"/>
          <w:i/>
          <w:iCs/>
        </w:rPr>
        <w:t>Z c. </w:t>
      </w:r>
      <w:proofErr w:type="spellStart"/>
      <w:r w:rsidRPr="00B82BDF">
        <w:rPr>
          <w:rFonts w:ascii="Times New Roman" w:hAnsi="Times New Roman" w:cs="Times New Roman"/>
          <w:i/>
          <w:iCs/>
        </w:rPr>
        <w:t>République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/>
          <w:iCs/>
        </w:rPr>
        <w:t>Tchèque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 xml:space="preserve">, § 53, et </w:t>
      </w:r>
      <w:r w:rsidRPr="00B82BDF">
        <w:rPr>
          <w:rFonts w:ascii="Times New Roman" w:hAnsi="Times New Roman" w:cs="Times New Roman"/>
          <w:i/>
          <w:iCs/>
        </w:rPr>
        <w:t>Y. c. </w:t>
      </w:r>
      <w:proofErr w:type="spellStart"/>
      <w:r w:rsidRPr="00B82BDF">
        <w:rPr>
          <w:rFonts w:ascii="Times New Roman" w:hAnsi="Times New Roman" w:cs="Times New Roman"/>
          <w:i/>
          <w:iCs/>
        </w:rPr>
        <w:t>République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/>
          <w:iCs/>
        </w:rPr>
        <w:t>Tchèque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>,</w:t>
      </w:r>
      <w:r w:rsidRPr="00B82BDF">
        <w:rPr>
          <w:rFonts w:ascii="Times New Roman" w:hAnsi="Times New Roman" w:cs="Times New Roman"/>
          <w:i/>
          <w:iCs/>
        </w:rPr>
        <w:t xml:space="preserve"> </w:t>
      </w:r>
      <w:r w:rsidRPr="00B82BDF">
        <w:rPr>
          <w:rFonts w:ascii="Times New Roman" w:hAnsi="Times New Roman" w:cs="Times New Roman"/>
        </w:rPr>
        <w:t>§ 59).</w:t>
      </w:r>
    </w:p>
    <w:p w14:paraId="7FC13EFC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197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Même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pratique, il </w:t>
      </w:r>
      <w:proofErr w:type="spellStart"/>
      <w:r w:rsidRPr="00B82BDF">
        <w:t>peut</w:t>
      </w:r>
      <w:proofErr w:type="spellEnd"/>
      <w:r w:rsidRPr="00B82BDF">
        <w:t xml:space="preserve"> </w:t>
      </w:r>
      <w:proofErr w:type="spellStart"/>
      <w:r w:rsidRPr="00B82BDF">
        <w:t>parfois</w:t>
      </w:r>
      <w:proofErr w:type="spellEnd"/>
      <w:r w:rsidRPr="00B82BDF">
        <w:t xml:space="preserve"> se </w:t>
      </w:r>
      <w:proofErr w:type="spellStart"/>
      <w:r w:rsidRPr="00B82BDF">
        <w:t>révéler</w:t>
      </w:r>
      <w:proofErr w:type="spellEnd"/>
      <w:r w:rsidRPr="00B82BDF">
        <w:t xml:space="preserve"> difficile de </w:t>
      </w:r>
      <w:proofErr w:type="spellStart"/>
      <w:r w:rsidRPr="00B82BDF">
        <w:t>prouver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sans </w:t>
      </w:r>
      <w:proofErr w:type="spellStart"/>
      <w:r w:rsidRPr="00B82BDF">
        <w:t>preuves</w:t>
      </w:r>
      <w:proofErr w:type="spellEnd"/>
      <w:r w:rsidRPr="00B82BDF">
        <w:t xml:space="preserve"> « </w:t>
      </w:r>
      <w:proofErr w:type="spellStart"/>
      <w:r w:rsidRPr="00B82BDF">
        <w:t>directes</w:t>
      </w:r>
      <w:proofErr w:type="spellEnd"/>
      <w:r w:rsidRPr="00B82BDF">
        <w:t xml:space="preserve"> » de viol, </w:t>
      </w:r>
      <w:proofErr w:type="spellStart"/>
      <w:r w:rsidRPr="00B82BDF">
        <w:t>comme</w:t>
      </w:r>
      <w:proofErr w:type="spellEnd"/>
      <w:r w:rsidRPr="00B82BDF">
        <w:t xml:space="preserve"> des traces de violence </w:t>
      </w:r>
      <w:proofErr w:type="spellStart"/>
      <w:r w:rsidRPr="00B82BDF">
        <w:t>ou</w:t>
      </w:r>
      <w:proofErr w:type="spellEnd"/>
      <w:r w:rsidRPr="00B82BDF">
        <w:t xml:space="preserve"> des </w:t>
      </w:r>
      <w:proofErr w:type="spellStart"/>
      <w:r w:rsidRPr="00B82BDF">
        <w:t>témoins</w:t>
      </w:r>
      <w:proofErr w:type="spellEnd"/>
      <w:r w:rsidRPr="00B82BDF">
        <w:t xml:space="preserve"> directs,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n’en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pas </w:t>
      </w:r>
      <w:proofErr w:type="spellStart"/>
      <w:r w:rsidRPr="00B82BDF">
        <w:t>moins</w:t>
      </w:r>
      <w:proofErr w:type="spellEnd"/>
      <w:r w:rsidRPr="00B82BDF">
        <w:t xml:space="preserve"> </w:t>
      </w:r>
      <w:proofErr w:type="spellStart"/>
      <w:r w:rsidRPr="00B82BDF">
        <w:t>l’obligation</w:t>
      </w:r>
      <w:proofErr w:type="spellEnd"/>
      <w:r w:rsidRPr="00B82BDF">
        <w:t xml:space="preserve"> </w:t>
      </w:r>
      <w:proofErr w:type="spellStart"/>
      <w:r w:rsidRPr="00B82BDF">
        <w:t>d’examiner</w:t>
      </w:r>
      <w:proofErr w:type="spellEnd"/>
      <w:r w:rsidRPr="00B82BDF">
        <w:t xml:space="preserve"> </w:t>
      </w:r>
      <w:proofErr w:type="spellStart"/>
      <w:r w:rsidRPr="00B82BDF">
        <w:t>tous</w:t>
      </w:r>
      <w:proofErr w:type="spellEnd"/>
      <w:r w:rsidRPr="00B82BDF">
        <w:t xml:space="preserve"> les faits et de </w:t>
      </w:r>
      <w:proofErr w:type="spellStart"/>
      <w:r w:rsidRPr="00B82BDF">
        <w:t>statuer</w:t>
      </w:r>
      <w:proofErr w:type="spellEnd"/>
      <w:r w:rsidRPr="00B82BDF">
        <w:t xml:space="preserve"> après </w:t>
      </w:r>
      <w:proofErr w:type="spellStart"/>
      <w:r w:rsidRPr="00B82BDF">
        <w:t>s’être</w:t>
      </w:r>
      <w:proofErr w:type="spellEnd"/>
      <w:r w:rsidRPr="00B82BDF">
        <w:t xml:space="preserve"> </w:t>
      </w:r>
      <w:proofErr w:type="spellStart"/>
      <w:r w:rsidRPr="00B82BDF">
        <w:t>livrées</w:t>
      </w:r>
      <w:proofErr w:type="spellEnd"/>
      <w:r w:rsidRPr="00B82BDF">
        <w:t xml:space="preserve"> à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de </w:t>
      </w:r>
      <w:proofErr w:type="spellStart"/>
      <w:r w:rsidRPr="00B82BDF">
        <w:t>l’ensemble</w:t>
      </w:r>
      <w:proofErr w:type="spellEnd"/>
      <w:r w:rsidRPr="00B82BDF">
        <w:t xml:space="preserve"> des </w:t>
      </w:r>
      <w:proofErr w:type="spellStart"/>
      <w:r w:rsidRPr="00B82BDF">
        <w:t>circonstances</w:t>
      </w:r>
      <w:proofErr w:type="spellEnd"/>
      <w:r w:rsidRPr="00B82BDF">
        <w:t xml:space="preserve">. </w:t>
      </w:r>
      <w:proofErr w:type="spellStart"/>
      <w:r w:rsidRPr="00B82BDF">
        <w:t>L’enquête</w:t>
      </w:r>
      <w:proofErr w:type="spellEnd"/>
      <w:r w:rsidRPr="00B82BDF">
        <w:t xml:space="preserve"> et </w:t>
      </w:r>
      <w:proofErr w:type="spellStart"/>
      <w:r w:rsidRPr="00B82BDF">
        <w:t>ses</w:t>
      </w:r>
      <w:proofErr w:type="spellEnd"/>
      <w:r w:rsidRPr="00B82BDF">
        <w:t xml:space="preserve"> conclusions </w:t>
      </w:r>
      <w:proofErr w:type="spellStart"/>
      <w:r w:rsidRPr="00B82BDF">
        <w:t>doivent</w:t>
      </w:r>
      <w:proofErr w:type="spellEnd"/>
      <w:r w:rsidRPr="00B82BDF">
        <w:t xml:space="preserve"> porter </w:t>
      </w:r>
      <w:proofErr w:type="spellStart"/>
      <w:r w:rsidRPr="00B82BDF">
        <w:t>avant</w:t>
      </w:r>
      <w:proofErr w:type="spellEnd"/>
      <w:r w:rsidRPr="00B82BDF">
        <w:t xml:space="preserve"> tout sur la question de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(</w:t>
      </w:r>
      <w:r w:rsidRPr="00B82BDF">
        <w:rPr>
          <w:i/>
          <w:iCs/>
        </w:rPr>
        <w:t>M.C.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§ 181, et </w:t>
      </w:r>
      <w:r w:rsidRPr="00B82BDF">
        <w:rPr>
          <w:i/>
          <w:iCs/>
        </w:rPr>
        <w:t>M.G.C. c. </w:t>
      </w:r>
      <w:proofErr w:type="spellStart"/>
      <w:r w:rsidRPr="00B82BDF">
        <w:rPr>
          <w:i/>
          <w:iCs/>
        </w:rPr>
        <w:t>Roumanie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72).</w:t>
      </w:r>
    </w:p>
    <w:bookmarkStart w:id="33" w:name="paragraph00198"/>
    <w:p w14:paraId="339A51D8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198</w:t>
      </w:r>
      <w:r w:rsidRPr="00B82BDF">
        <w:fldChar w:fldCharType="end"/>
      </w:r>
      <w:bookmarkEnd w:id="33"/>
      <w:r w:rsidRPr="00B82BDF">
        <w:t xml:space="preserve">.  Pour </w:t>
      </w:r>
      <w:proofErr w:type="spellStart"/>
      <w:r w:rsidRPr="00B82BDF">
        <w:t>être</w:t>
      </w:r>
      <w:proofErr w:type="spellEnd"/>
      <w:r w:rsidRPr="00B82BDF">
        <w:t xml:space="preserve"> effective, </w:t>
      </w:r>
      <w:proofErr w:type="spellStart"/>
      <w:r w:rsidRPr="00B82BDF">
        <w:t>l’enquête</w:t>
      </w:r>
      <w:proofErr w:type="spellEnd"/>
      <w:r w:rsidRPr="00B82BDF">
        <w:t xml:space="preserve"> </w:t>
      </w:r>
      <w:proofErr w:type="spellStart"/>
      <w:r w:rsidRPr="00B82BDF">
        <w:t>menée</w:t>
      </w:r>
      <w:proofErr w:type="spellEnd"/>
      <w:r w:rsidRPr="00B82BDF">
        <w:t xml:space="preserve"> doit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suffisamment</w:t>
      </w:r>
      <w:proofErr w:type="spellEnd"/>
      <w:r w:rsidRPr="00B82BDF">
        <w:t xml:space="preserve"> </w:t>
      </w:r>
      <w:proofErr w:type="spellStart"/>
      <w:r w:rsidRPr="00B82BDF">
        <w:t>approfondie</w:t>
      </w:r>
      <w:proofErr w:type="spellEnd"/>
      <w:r w:rsidRPr="00B82BDF">
        <w:t xml:space="preserve"> et objective.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doivent</w:t>
      </w:r>
      <w:proofErr w:type="spellEnd"/>
      <w:r w:rsidRPr="00B82BDF">
        <w:t xml:space="preserve"> prendre les </w:t>
      </w:r>
      <w:proofErr w:type="spellStart"/>
      <w:r w:rsidRPr="00B82BDF">
        <w:t>mesures</w:t>
      </w:r>
      <w:proofErr w:type="spellEnd"/>
      <w:r w:rsidRPr="00B82BDF">
        <w:t xml:space="preserve"> </w:t>
      </w:r>
      <w:proofErr w:type="spellStart"/>
      <w:r w:rsidRPr="00B82BDF">
        <w:t>raisonnables</w:t>
      </w:r>
      <w:proofErr w:type="spellEnd"/>
      <w:r w:rsidRPr="00B82BDF">
        <w:t xml:space="preserve"> </w:t>
      </w:r>
      <w:proofErr w:type="spellStart"/>
      <w:r w:rsidRPr="00B82BDF">
        <w:t>dont</w:t>
      </w:r>
      <w:proofErr w:type="spellEnd"/>
      <w:r w:rsidRPr="00B82BDF">
        <w:t xml:space="preserve"> </w:t>
      </w:r>
      <w:proofErr w:type="spellStart"/>
      <w:r w:rsidRPr="00B82BDF">
        <w:t>elles</w:t>
      </w:r>
      <w:proofErr w:type="spellEnd"/>
      <w:r w:rsidRPr="00B82BDF">
        <w:t xml:space="preserve"> </w:t>
      </w:r>
      <w:proofErr w:type="spellStart"/>
      <w:r w:rsidRPr="00B82BDF">
        <w:t>disposent</w:t>
      </w:r>
      <w:proofErr w:type="spellEnd"/>
      <w:r w:rsidRPr="00B82BDF">
        <w:t xml:space="preserve"> pour </w:t>
      </w:r>
      <w:proofErr w:type="spellStart"/>
      <w:r w:rsidRPr="00B82BDF">
        <w:t>obtenir</w:t>
      </w:r>
      <w:proofErr w:type="spellEnd"/>
      <w:r w:rsidRPr="00B82BDF">
        <w:t xml:space="preserve"> les </w:t>
      </w:r>
      <w:proofErr w:type="spellStart"/>
      <w:r w:rsidRPr="00B82BDF">
        <w:t>preuves</w:t>
      </w:r>
      <w:proofErr w:type="spellEnd"/>
      <w:r w:rsidRPr="00B82BDF">
        <w:t xml:space="preserve"> relatives aux faits </w:t>
      </w:r>
      <w:proofErr w:type="spellStart"/>
      <w:r w:rsidRPr="00B82BDF">
        <w:t>en</w:t>
      </w:r>
      <w:proofErr w:type="spellEnd"/>
      <w:r w:rsidRPr="00B82BDF">
        <w:t xml:space="preserve"> question, par </w:t>
      </w:r>
      <w:proofErr w:type="spellStart"/>
      <w:r w:rsidRPr="00B82BDF">
        <w:t>exemple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recueillant</w:t>
      </w:r>
      <w:proofErr w:type="spellEnd"/>
      <w:r w:rsidRPr="00B82BDF">
        <w:t xml:space="preserve"> des </w:t>
      </w:r>
      <w:proofErr w:type="spellStart"/>
      <w:r w:rsidRPr="00B82BDF">
        <w:t>dépositions</w:t>
      </w:r>
      <w:proofErr w:type="spellEnd"/>
      <w:r w:rsidRPr="00B82BDF">
        <w:t xml:space="preserve"> de </w:t>
      </w:r>
      <w:proofErr w:type="spellStart"/>
      <w:r w:rsidRPr="00B82BDF">
        <w:t>témoins</w:t>
      </w:r>
      <w:proofErr w:type="spellEnd"/>
      <w:r w:rsidRPr="00B82BDF">
        <w:t xml:space="preserve">, des </w:t>
      </w:r>
      <w:proofErr w:type="spellStart"/>
      <w:r w:rsidRPr="00B82BDF">
        <w:t>expertises</w:t>
      </w:r>
      <w:proofErr w:type="spellEnd"/>
      <w:r w:rsidRPr="00B82BDF">
        <w:t xml:space="preserve"> et des </w:t>
      </w:r>
      <w:proofErr w:type="spellStart"/>
      <w:r w:rsidRPr="00B82BDF">
        <w:t>éléments</w:t>
      </w:r>
      <w:proofErr w:type="spellEnd"/>
      <w:r w:rsidRPr="00B82BDF">
        <w:t xml:space="preserve"> </w:t>
      </w:r>
      <w:proofErr w:type="spellStart"/>
      <w:r w:rsidRPr="00B82BDF">
        <w:t>médicolégaux</w:t>
      </w:r>
      <w:proofErr w:type="spellEnd"/>
      <w:r w:rsidRPr="00B82BDF">
        <w:t xml:space="preserve"> (</w:t>
      </w:r>
      <w:proofErr w:type="spellStart"/>
      <w:r w:rsidRPr="00B82BDF">
        <w:t>voir</w:t>
      </w:r>
      <w:proofErr w:type="spellEnd"/>
      <w:r w:rsidRPr="00B82BDF">
        <w:t xml:space="preserve">, </w:t>
      </w:r>
      <w:proofErr w:type="spellStart"/>
      <w:r w:rsidRPr="00B82BDF">
        <w:t>parmi</w:t>
      </w:r>
      <w:proofErr w:type="spellEnd"/>
      <w:r w:rsidRPr="00B82BDF">
        <w:t xml:space="preserve"> </w:t>
      </w:r>
      <w:proofErr w:type="spellStart"/>
      <w:r w:rsidRPr="00B82BDF">
        <w:t>d’autres</w:t>
      </w:r>
      <w:proofErr w:type="spellEnd"/>
      <w:r w:rsidRPr="00B82BDF">
        <w:t xml:space="preserve"> </w:t>
      </w:r>
      <w:proofErr w:type="spellStart"/>
      <w:r w:rsidRPr="00B82BDF">
        <w:t>références</w:t>
      </w:r>
      <w:proofErr w:type="spellEnd"/>
      <w:r w:rsidRPr="00B82BDF">
        <w:t xml:space="preserve">, </w:t>
      </w:r>
      <w:r w:rsidRPr="00B82BDF">
        <w:rPr>
          <w:i/>
          <w:iCs/>
        </w:rPr>
        <w:t>M.N. 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> 3832/06, § 39, 27 </w:t>
      </w:r>
      <w:proofErr w:type="spellStart"/>
      <w:r w:rsidRPr="00B82BDF">
        <w:t>novembre</w:t>
      </w:r>
      <w:proofErr w:type="spellEnd"/>
      <w:r w:rsidRPr="00B82BDF">
        <w:t xml:space="preserve"> 2012, </w:t>
      </w:r>
      <w:r w:rsidRPr="00B82BDF">
        <w:rPr>
          <w:i/>
          <w:iCs/>
        </w:rPr>
        <w:t>W. c. </w:t>
      </w:r>
      <w:proofErr w:type="spellStart"/>
      <w:r w:rsidRPr="00B82BDF">
        <w:rPr>
          <w:i/>
          <w:iCs/>
        </w:rPr>
        <w:t>Slovénie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 xml:space="preserve"> 24125/06, § 64, 23 </w:t>
      </w:r>
      <w:proofErr w:type="spellStart"/>
      <w:r w:rsidRPr="00B82BDF">
        <w:t>janvier</w:t>
      </w:r>
      <w:proofErr w:type="spellEnd"/>
      <w:r w:rsidRPr="00B82BDF">
        <w:t xml:space="preserve"> 2014, et </w:t>
      </w:r>
      <w:r w:rsidRPr="00B82BDF">
        <w:rPr>
          <w:i/>
          <w:iCs/>
        </w:rPr>
        <w:t>X c. </w:t>
      </w:r>
      <w:proofErr w:type="spellStart"/>
      <w:r w:rsidRPr="00B82BDF">
        <w:rPr>
          <w:i/>
          <w:iCs/>
        </w:rPr>
        <w:t>Grèce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69).</w:t>
      </w:r>
    </w:p>
    <w:bookmarkStart w:id="34" w:name="paragraph00199"/>
    <w:p w14:paraId="42428E88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</w:rPr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199</w:t>
      </w:r>
      <w:r w:rsidRPr="00B82BDF">
        <w:fldChar w:fldCharType="end"/>
      </w:r>
      <w:bookmarkEnd w:id="34"/>
      <w:r w:rsidRPr="00B82BDF">
        <w:t xml:space="preserve">.  Une exigence de </w:t>
      </w:r>
      <w:proofErr w:type="spellStart"/>
      <w:r w:rsidRPr="00B82BDF">
        <w:t>célérité</w:t>
      </w:r>
      <w:proofErr w:type="spellEnd"/>
      <w:r w:rsidRPr="00B82BDF">
        <w:t xml:space="preserve"> et de diligence </w:t>
      </w:r>
      <w:proofErr w:type="spellStart"/>
      <w:r w:rsidRPr="00B82BDF">
        <w:t>raisonnable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</w:t>
      </w:r>
      <w:proofErr w:type="spellStart"/>
      <w:r w:rsidRPr="00B82BDF">
        <w:t>également</w:t>
      </w:r>
      <w:proofErr w:type="spellEnd"/>
      <w:r w:rsidRPr="00B82BDF">
        <w:t xml:space="preserve"> </w:t>
      </w:r>
      <w:proofErr w:type="spellStart"/>
      <w:r w:rsidRPr="00B82BDF">
        <w:t>inhérente</w:t>
      </w:r>
      <w:proofErr w:type="spellEnd"/>
      <w:r w:rsidRPr="00B82BDF">
        <w:t xml:space="preserve"> à la </w:t>
      </w:r>
      <w:proofErr w:type="spellStart"/>
      <w:r w:rsidRPr="00B82BDF">
        <w:t>garantie</w:t>
      </w:r>
      <w:proofErr w:type="spellEnd"/>
      <w:r w:rsidRPr="00B82BDF">
        <w:t xml:space="preserve"> </w:t>
      </w:r>
      <w:proofErr w:type="spellStart"/>
      <w:r w:rsidRPr="00B82BDF">
        <w:t>d’effectivité</w:t>
      </w:r>
      <w:proofErr w:type="spellEnd"/>
      <w:r w:rsidRPr="00B82BDF">
        <w:t xml:space="preserve"> dans </w:t>
      </w:r>
      <w:proofErr w:type="spellStart"/>
      <w:r w:rsidRPr="00B82BDF">
        <w:t>ce</w:t>
      </w:r>
      <w:proofErr w:type="spellEnd"/>
      <w:r w:rsidRPr="00B82BDF">
        <w:t xml:space="preserve"> </w:t>
      </w:r>
      <w:proofErr w:type="spellStart"/>
      <w:r w:rsidRPr="00B82BDF">
        <w:t>contexte</w:t>
      </w:r>
      <w:proofErr w:type="spellEnd"/>
      <w:r w:rsidRPr="00B82BDF">
        <w:t xml:space="preserve"> (</w:t>
      </w:r>
      <w:bookmarkStart w:id="35" w:name="_cl10842ENDROIT"/>
      <w:r w:rsidRPr="00B82BDF">
        <w:rPr>
          <w:i/>
          <w:iCs/>
        </w:rPr>
        <w:t>M.N. 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46, </w:t>
      </w:r>
      <w:r w:rsidRPr="00B82BDF">
        <w:rPr>
          <w:i/>
          <w:iCs/>
        </w:rPr>
        <w:t>Y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</w:t>
      </w:r>
      <w:bookmarkEnd w:id="35"/>
      <w:r w:rsidRPr="00B82BDF">
        <w:t>récité</w:t>
      </w:r>
      <w:proofErr w:type="spellEnd"/>
      <w:r w:rsidRPr="00B82BDF">
        <w:t xml:space="preserve">, § 81, </w:t>
      </w:r>
      <w:r w:rsidRPr="00B82BDF">
        <w:rPr>
          <w:i/>
          <w:iCs/>
        </w:rPr>
        <w:t>X c. </w:t>
      </w:r>
      <w:proofErr w:type="spellStart"/>
      <w:r w:rsidRPr="00B82BDF">
        <w:rPr>
          <w:i/>
          <w:iCs/>
        </w:rPr>
        <w:t>Grèce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</w:t>
      </w:r>
      <w:r w:rsidRPr="00B82BDF">
        <w:rPr>
          <w:i/>
          <w:iCs/>
        </w:rPr>
        <w:t>ibidem</w:t>
      </w:r>
      <w:r w:rsidRPr="00B82BDF">
        <w:t xml:space="preserve">, et,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cas</w:t>
      </w:r>
      <w:proofErr w:type="spellEnd"/>
      <w:r w:rsidRPr="00B82BDF">
        <w:t xml:space="preserve"> </w:t>
      </w:r>
      <w:proofErr w:type="spellStart"/>
      <w:r w:rsidRPr="00B82BDF">
        <w:t>d’allégation</w:t>
      </w:r>
      <w:proofErr w:type="spellEnd"/>
      <w:r w:rsidRPr="00B82BDF">
        <w:t xml:space="preserve"> </w:t>
      </w:r>
      <w:proofErr w:type="spellStart"/>
      <w:r w:rsidRPr="00B82BDF">
        <w:t>d’abus</w:t>
      </w:r>
      <w:proofErr w:type="spellEnd"/>
      <w:r w:rsidRPr="00B82BDF">
        <w:t xml:space="preserve"> </w:t>
      </w:r>
      <w:proofErr w:type="spellStart"/>
      <w:r w:rsidRPr="00B82BDF">
        <w:t>sexuel</w:t>
      </w:r>
      <w:proofErr w:type="spellEnd"/>
      <w:r w:rsidRPr="00B82BDF">
        <w:t xml:space="preserve"> </w:t>
      </w:r>
      <w:proofErr w:type="spellStart"/>
      <w:r w:rsidRPr="00B82BDF">
        <w:t>subi</w:t>
      </w:r>
      <w:proofErr w:type="spellEnd"/>
      <w:r w:rsidRPr="00B82BDF">
        <w:t xml:space="preserve"> par un </w:t>
      </w:r>
      <w:r w:rsidRPr="00B82BDF">
        <w:rPr>
          <w:rFonts w:ascii="Times New Roman" w:hAnsi="Times New Roman" w:cs="Times New Roman"/>
        </w:rPr>
        <w:t xml:space="preserve">enfant, </w:t>
      </w:r>
      <w:bookmarkStart w:id="36" w:name="_cl44060ENDROIT"/>
      <w:r w:rsidRPr="00B82BDF">
        <w:rPr>
          <w:rFonts w:ascii="Times New Roman" w:hAnsi="Times New Roman" w:cs="Times New Roman"/>
          <w:i/>
          <w:iCs/>
        </w:rPr>
        <w:t>M.G. c. </w:t>
      </w:r>
      <w:proofErr w:type="spellStart"/>
      <w:r w:rsidRPr="00B82BDF">
        <w:rPr>
          <w:rFonts w:ascii="Times New Roman" w:hAnsi="Times New Roman" w:cs="Times New Roman"/>
          <w:i/>
          <w:iCs/>
        </w:rPr>
        <w:t>Lituanie</w:t>
      </w:r>
      <w:bookmarkEnd w:id="36"/>
      <w:proofErr w:type="spellEnd"/>
      <w:r w:rsidRPr="00B82BDF">
        <w:rPr>
          <w:rFonts w:ascii="Times New Roman" w:hAnsi="Times New Roman" w:cs="Times New Roman"/>
        </w:rPr>
        <w:t>, n</w:t>
      </w:r>
      <w:r w:rsidRPr="00B82BDF">
        <w:rPr>
          <w:rFonts w:ascii="Times New Roman" w:hAnsi="Times New Roman" w:cs="Times New Roman"/>
          <w:vertAlign w:val="superscript"/>
        </w:rPr>
        <w:t>o</w:t>
      </w:r>
      <w:r w:rsidRPr="00B82BDF">
        <w:rPr>
          <w:rFonts w:ascii="Times New Roman" w:hAnsi="Times New Roman" w:cs="Times New Roman"/>
        </w:rPr>
        <w:t> 6406/21, §§ 96 et 98, 20 </w:t>
      </w:r>
      <w:proofErr w:type="spellStart"/>
      <w:r w:rsidRPr="00B82BDF">
        <w:rPr>
          <w:rFonts w:ascii="Times New Roman" w:hAnsi="Times New Roman" w:cs="Times New Roman"/>
        </w:rPr>
        <w:t>février</w:t>
      </w:r>
      <w:proofErr w:type="spellEnd"/>
      <w:r w:rsidRPr="00B82BDF">
        <w:rPr>
          <w:rFonts w:ascii="Times New Roman" w:hAnsi="Times New Roman" w:cs="Times New Roman"/>
        </w:rPr>
        <w:t xml:space="preserve"> 2024). La </w:t>
      </w:r>
      <w:proofErr w:type="spellStart"/>
      <w:r w:rsidRPr="00B82BDF">
        <w:rPr>
          <w:rFonts w:ascii="Times New Roman" w:hAnsi="Times New Roman" w:cs="Times New Roman"/>
        </w:rPr>
        <w:t>Cour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rappelle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également</w:t>
      </w:r>
      <w:proofErr w:type="spellEnd"/>
      <w:r w:rsidRPr="00B82BDF">
        <w:rPr>
          <w:rFonts w:ascii="Times New Roman" w:hAnsi="Times New Roman" w:cs="Times New Roman"/>
        </w:rPr>
        <w:t xml:space="preserve"> que le respect de </w:t>
      </w:r>
      <w:proofErr w:type="spellStart"/>
      <w:r w:rsidRPr="00B82BDF">
        <w:rPr>
          <w:rFonts w:ascii="Times New Roman" w:hAnsi="Times New Roman" w:cs="Times New Roman"/>
        </w:rPr>
        <w:t>l’exigence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procédurale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l’article</w:t>
      </w:r>
      <w:proofErr w:type="spellEnd"/>
      <w:r w:rsidRPr="00B82BDF">
        <w:rPr>
          <w:rFonts w:ascii="Times New Roman" w:hAnsi="Times New Roman" w:cs="Times New Roman"/>
        </w:rPr>
        <w:t xml:space="preserve"> 3 </w:t>
      </w:r>
      <w:proofErr w:type="spellStart"/>
      <w:r w:rsidRPr="00B82BDF">
        <w:rPr>
          <w:rFonts w:ascii="Times New Roman" w:hAnsi="Times New Roman" w:cs="Times New Roman"/>
        </w:rPr>
        <w:t>est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évalué</w:t>
      </w:r>
      <w:proofErr w:type="spellEnd"/>
      <w:r w:rsidRPr="00B82BDF">
        <w:rPr>
          <w:rFonts w:ascii="Times New Roman" w:hAnsi="Times New Roman" w:cs="Times New Roman"/>
        </w:rPr>
        <w:t xml:space="preserve"> sur la base de </w:t>
      </w:r>
      <w:proofErr w:type="spellStart"/>
      <w:r w:rsidRPr="00B82BDF">
        <w:rPr>
          <w:rFonts w:ascii="Times New Roman" w:hAnsi="Times New Roman" w:cs="Times New Roman"/>
        </w:rPr>
        <w:t>plusieurs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paramètres</w:t>
      </w:r>
      <w:proofErr w:type="spellEnd"/>
      <w:r w:rsidRPr="00B82BDF">
        <w:rPr>
          <w:rFonts w:ascii="Times New Roman" w:hAnsi="Times New Roman" w:cs="Times New Roman"/>
        </w:rPr>
        <w:t xml:space="preserve">, de </w:t>
      </w:r>
      <w:proofErr w:type="spellStart"/>
      <w:r w:rsidRPr="00B82BDF">
        <w:rPr>
          <w:rFonts w:ascii="Times New Roman" w:hAnsi="Times New Roman" w:cs="Times New Roman"/>
        </w:rPr>
        <w:t>sorte</w:t>
      </w:r>
      <w:proofErr w:type="spellEnd"/>
      <w:r w:rsidRPr="00B82BDF">
        <w:rPr>
          <w:rFonts w:ascii="Times New Roman" w:hAnsi="Times New Roman" w:cs="Times New Roman"/>
        </w:rPr>
        <w:t xml:space="preserve"> que </w:t>
      </w:r>
      <w:proofErr w:type="spellStart"/>
      <w:r w:rsidRPr="00B82BDF">
        <w:rPr>
          <w:rFonts w:ascii="Times New Roman" w:hAnsi="Times New Roman" w:cs="Times New Roman"/>
        </w:rPr>
        <w:t>si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chacun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ces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éléments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interdépendants</w:t>
      </w:r>
      <w:proofErr w:type="spellEnd"/>
      <w:r w:rsidRPr="00B82BDF">
        <w:rPr>
          <w:rFonts w:ascii="Times New Roman" w:hAnsi="Times New Roman" w:cs="Times New Roman"/>
        </w:rPr>
        <w:t xml:space="preserve">, pris </w:t>
      </w:r>
      <w:proofErr w:type="spellStart"/>
      <w:r w:rsidRPr="00B82BDF">
        <w:rPr>
          <w:rFonts w:ascii="Times New Roman" w:hAnsi="Times New Roman" w:cs="Times New Roman"/>
        </w:rPr>
        <w:t>séparément</w:t>
      </w:r>
      <w:proofErr w:type="spellEnd"/>
      <w:r w:rsidRPr="00B82BDF">
        <w:rPr>
          <w:rFonts w:ascii="Times New Roman" w:hAnsi="Times New Roman" w:cs="Times New Roman"/>
        </w:rPr>
        <w:t xml:space="preserve">, ne </w:t>
      </w:r>
      <w:proofErr w:type="spellStart"/>
      <w:r w:rsidRPr="00B82BDF">
        <w:rPr>
          <w:rFonts w:ascii="Times New Roman" w:hAnsi="Times New Roman" w:cs="Times New Roman"/>
        </w:rPr>
        <w:t>constitue</w:t>
      </w:r>
      <w:proofErr w:type="spellEnd"/>
      <w:r w:rsidRPr="00B82BDF">
        <w:rPr>
          <w:rFonts w:ascii="Times New Roman" w:hAnsi="Times New Roman" w:cs="Times New Roman"/>
        </w:rPr>
        <w:t xml:space="preserve"> pas </w:t>
      </w:r>
      <w:proofErr w:type="spellStart"/>
      <w:r w:rsidRPr="00B82BDF">
        <w:rPr>
          <w:rFonts w:ascii="Times New Roman" w:hAnsi="Times New Roman" w:cs="Times New Roman"/>
        </w:rPr>
        <w:t>une</w:t>
      </w:r>
      <w:proofErr w:type="spellEnd"/>
      <w:r w:rsidRPr="00B82BDF">
        <w:rPr>
          <w:rFonts w:ascii="Times New Roman" w:hAnsi="Times New Roman" w:cs="Times New Roman"/>
        </w:rPr>
        <w:t xml:space="preserve"> fin </w:t>
      </w:r>
      <w:proofErr w:type="spellStart"/>
      <w:r w:rsidRPr="00B82BDF">
        <w:rPr>
          <w:rFonts w:ascii="Times New Roman" w:hAnsi="Times New Roman" w:cs="Times New Roman"/>
        </w:rPr>
        <w:t>en</w:t>
      </w:r>
      <w:proofErr w:type="spellEnd"/>
      <w:r w:rsidRPr="00B82BDF">
        <w:rPr>
          <w:rFonts w:ascii="Times New Roman" w:hAnsi="Times New Roman" w:cs="Times New Roman"/>
        </w:rPr>
        <w:t xml:space="preserve"> soi, </w:t>
      </w:r>
      <w:proofErr w:type="spellStart"/>
      <w:r w:rsidRPr="00B82BDF">
        <w:rPr>
          <w:rFonts w:ascii="Times New Roman" w:hAnsi="Times New Roman" w:cs="Times New Roman"/>
        </w:rPr>
        <w:t>ils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permettent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lorsqu’ils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sont</w:t>
      </w:r>
      <w:proofErr w:type="spellEnd"/>
      <w:r w:rsidRPr="00B82BDF">
        <w:rPr>
          <w:rFonts w:ascii="Times New Roman" w:hAnsi="Times New Roman" w:cs="Times New Roman"/>
        </w:rPr>
        <w:t xml:space="preserve"> pris </w:t>
      </w:r>
      <w:proofErr w:type="spellStart"/>
      <w:r w:rsidRPr="00B82BDF">
        <w:rPr>
          <w:rFonts w:ascii="Times New Roman" w:hAnsi="Times New Roman" w:cs="Times New Roman"/>
        </w:rPr>
        <w:t>conjointement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d’évaluer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l’efficacité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globale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d’une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enquête</w:t>
      </w:r>
      <w:proofErr w:type="spellEnd"/>
      <w:r w:rsidRPr="00B82BDF">
        <w:rPr>
          <w:rFonts w:ascii="Times New Roman" w:hAnsi="Times New Roman" w:cs="Times New Roman"/>
        </w:rPr>
        <w:t xml:space="preserve"> (</w:t>
      </w:r>
      <w:proofErr w:type="spellStart"/>
      <w:r w:rsidRPr="00B82BDF">
        <w:rPr>
          <w:rFonts w:ascii="Times New Roman" w:hAnsi="Times New Roman" w:cs="Times New Roman"/>
        </w:rPr>
        <w:t>voir</w:t>
      </w:r>
      <w:proofErr w:type="spellEnd"/>
      <w:r w:rsidRPr="00B82BDF">
        <w:rPr>
          <w:rFonts w:ascii="Times New Roman" w:hAnsi="Times New Roman" w:cs="Times New Roman"/>
        </w:rPr>
        <w:t xml:space="preserve">, par </w:t>
      </w:r>
      <w:proofErr w:type="spellStart"/>
      <w:r w:rsidRPr="00B82BDF">
        <w:rPr>
          <w:rFonts w:ascii="Times New Roman" w:hAnsi="Times New Roman" w:cs="Times New Roman"/>
        </w:rPr>
        <w:t>exemple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r w:rsidRPr="00B82BDF">
        <w:rPr>
          <w:rFonts w:ascii="Times New Roman" w:hAnsi="Times New Roman" w:cs="Times New Roman"/>
          <w:i/>
          <w:iCs/>
        </w:rPr>
        <w:t xml:space="preserve">M.B. et </w:t>
      </w:r>
      <w:proofErr w:type="spellStart"/>
      <w:r w:rsidRPr="00B82BDF">
        <w:rPr>
          <w:rFonts w:ascii="Times New Roman" w:hAnsi="Times New Roman" w:cs="Times New Roman"/>
          <w:i/>
          <w:iCs/>
        </w:rPr>
        <w:t>autres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c. </w:t>
      </w:r>
      <w:proofErr w:type="spellStart"/>
      <w:r w:rsidRPr="00B82BDF">
        <w:rPr>
          <w:rFonts w:ascii="Times New Roman" w:hAnsi="Times New Roman" w:cs="Times New Roman"/>
          <w:i/>
          <w:iCs/>
        </w:rPr>
        <w:t>Slovaquie</w:t>
      </w:r>
      <w:proofErr w:type="spellEnd"/>
      <w:r w:rsidRPr="00B82BDF">
        <w:rPr>
          <w:rFonts w:ascii="Times New Roman" w:hAnsi="Times New Roman" w:cs="Times New Roman"/>
        </w:rPr>
        <w:t xml:space="preserve"> (n</w:t>
      </w:r>
      <w:r w:rsidRPr="00B82BDF">
        <w:rPr>
          <w:rFonts w:ascii="Times New Roman" w:hAnsi="Times New Roman" w:cs="Times New Roman"/>
          <w:vertAlign w:val="superscript"/>
        </w:rPr>
        <w:t>o</w:t>
      </w:r>
      <w:r w:rsidRPr="00B82BDF">
        <w:rPr>
          <w:rFonts w:ascii="Times New Roman" w:hAnsi="Times New Roman" w:cs="Times New Roman"/>
        </w:rPr>
        <w:t> 2), n</w:t>
      </w:r>
      <w:r w:rsidRPr="00B82BDF">
        <w:rPr>
          <w:rFonts w:ascii="Times New Roman" w:hAnsi="Times New Roman" w:cs="Times New Roman"/>
          <w:vertAlign w:val="superscript"/>
        </w:rPr>
        <w:t>o</w:t>
      </w:r>
      <w:r w:rsidRPr="00B82BDF">
        <w:rPr>
          <w:rFonts w:ascii="Times New Roman" w:hAnsi="Times New Roman" w:cs="Times New Roman"/>
        </w:rPr>
        <w:t> 63962/19, § 55, 7 </w:t>
      </w:r>
      <w:proofErr w:type="spellStart"/>
      <w:r w:rsidRPr="00B82BDF">
        <w:rPr>
          <w:rFonts w:ascii="Times New Roman" w:hAnsi="Times New Roman" w:cs="Times New Roman"/>
        </w:rPr>
        <w:t>février</w:t>
      </w:r>
      <w:proofErr w:type="spellEnd"/>
      <w:r w:rsidRPr="00B82BDF">
        <w:rPr>
          <w:rFonts w:ascii="Times New Roman" w:hAnsi="Times New Roman" w:cs="Times New Roman"/>
        </w:rPr>
        <w:t xml:space="preserve"> 2023, et </w:t>
      </w:r>
      <w:proofErr w:type="spellStart"/>
      <w:r w:rsidRPr="00B82BDF">
        <w:rPr>
          <w:rFonts w:ascii="Times New Roman" w:hAnsi="Times New Roman" w:cs="Times New Roman"/>
          <w:i/>
          <w:iCs/>
        </w:rPr>
        <w:t>Panayotopoulos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Pr="00B82BDF">
        <w:rPr>
          <w:rFonts w:ascii="Times New Roman" w:hAnsi="Times New Roman" w:cs="Times New Roman"/>
          <w:i/>
          <w:iCs/>
        </w:rPr>
        <w:t>autres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c. </w:t>
      </w:r>
      <w:proofErr w:type="spellStart"/>
      <w:r w:rsidRPr="00B82BDF">
        <w:rPr>
          <w:rFonts w:ascii="Times New Roman" w:hAnsi="Times New Roman" w:cs="Times New Roman"/>
          <w:i/>
          <w:iCs/>
        </w:rPr>
        <w:t>Grèce</w:t>
      </w:r>
      <w:proofErr w:type="spellEnd"/>
      <w:r w:rsidRPr="00B82BDF">
        <w:rPr>
          <w:rFonts w:ascii="Times New Roman" w:hAnsi="Times New Roman" w:cs="Times New Roman"/>
        </w:rPr>
        <w:t>, n</w:t>
      </w:r>
      <w:r w:rsidRPr="00B82BDF">
        <w:rPr>
          <w:rFonts w:ascii="Times New Roman" w:hAnsi="Times New Roman" w:cs="Times New Roman"/>
          <w:vertAlign w:val="superscript"/>
        </w:rPr>
        <w:t>o</w:t>
      </w:r>
      <w:r w:rsidRPr="00B82BDF">
        <w:rPr>
          <w:rFonts w:ascii="Times New Roman" w:hAnsi="Times New Roman" w:cs="Times New Roman"/>
        </w:rPr>
        <w:t> 44758/20, § 104, 21 </w:t>
      </w:r>
      <w:proofErr w:type="spellStart"/>
      <w:r w:rsidRPr="00B82BDF">
        <w:rPr>
          <w:rFonts w:ascii="Times New Roman" w:hAnsi="Times New Roman" w:cs="Times New Roman"/>
        </w:rPr>
        <w:t>janvier</w:t>
      </w:r>
      <w:proofErr w:type="spellEnd"/>
      <w:r w:rsidRPr="00B82BDF">
        <w:rPr>
          <w:rFonts w:ascii="Times New Roman" w:hAnsi="Times New Roman" w:cs="Times New Roman"/>
        </w:rPr>
        <w:t xml:space="preserve"> 2025).</w:t>
      </w:r>
    </w:p>
    <w:p w14:paraId="0E62C0B1" w14:textId="77777777" w:rsidR="008A7B1D" w:rsidRPr="00B82BDF" w:rsidRDefault="008A7B1D" w:rsidP="008A7B1D">
      <w:pPr>
        <w:pStyle w:val="ECHRPara"/>
      </w:pPr>
      <w:r w:rsidRPr="00B82BDF">
        <w:rPr>
          <w:rFonts w:ascii="Times New Roman" w:hAnsi="Times New Roman" w:cs="Times New Roman"/>
        </w:rPr>
        <w:fldChar w:fldCharType="begin"/>
      </w:r>
      <w:r w:rsidRPr="00B82BDF">
        <w:rPr>
          <w:rFonts w:ascii="Times New Roman" w:hAnsi="Times New Roman" w:cs="Times New Roman"/>
        </w:rPr>
        <w:instrText xml:space="preserve"> SEQ level0 \*arabic \* MERGEFORMAT </w:instrText>
      </w:r>
      <w:r w:rsidRPr="00B82BDF">
        <w:rPr>
          <w:rFonts w:ascii="Times New Roman" w:hAnsi="Times New Roman" w:cs="Times New Roman"/>
        </w:rPr>
        <w:fldChar w:fldCharType="separate"/>
      </w:r>
      <w:r w:rsidRPr="00B82BDF">
        <w:rPr>
          <w:rFonts w:ascii="Times New Roman" w:hAnsi="Times New Roman" w:cs="Times New Roman"/>
          <w:noProof/>
        </w:rPr>
        <w:t>200</w:t>
      </w:r>
      <w:r w:rsidRPr="00B82BDF">
        <w:rPr>
          <w:rFonts w:ascii="Times New Roman" w:hAnsi="Times New Roman" w:cs="Times New Roman"/>
        </w:rPr>
        <w:fldChar w:fldCharType="end"/>
      </w:r>
      <w:r w:rsidRPr="00B82BDF">
        <w:rPr>
          <w:rFonts w:ascii="Times New Roman" w:hAnsi="Times New Roman" w:cs="Times New Roman"/>
        </w:rPr>
        <w:t xml:space="preserve">.  Dans son </w:t>
      </w:r>
      <w:proofErr w:type="spellStart"/>
      <w:r w:rsidRPr="00B82BDF">
        <w:rPr>
          <w:rFonts w:ascii="Times New Roman" w:hAnsi="Times New Roman" w:cs="Times New Roman"/>
        </w:rPr>
        <w:t>appréciation</w:t>
      </w:r>
      <w:proofErr w:type="spellEnd"/>
      <w:r w:rsidRPr="00B82BDF">
        <w:rPr>
          <w:rFonts w:ascii="Times New Roman" w:hAnsi="Times New Roman" w:cs="Times New Roman"/>
        </w:rPr>
        <w:t xml:space="preserve"> du respect par </w:t>
      </w:r>
      <w:proofErr w:type="spellStart"/>
      <w:r w:rsidRPr="00B82BDF">
        <w:rPr>
          <w:rFonts w:ascii="Times New Roman" w:hAnsi="Times New Roman" w:cs="Times New Roman"/>
        </w:rPr>
        <w:t>l’État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ses</w:t>
      </w:r>
      <w:proofErr w:type="spellEnd"/>
      <w:r w:rsidRPr="00B82BDF">
        <w:rPr>
          <w:rFonts w:ascii="Times New Roman" w:hAnsi="Times New Roman" w:cs="Times New Roman"/>
        </w:rPr>
        <w:t xml:space="preserve"> obligations positives, la </w:t>
      </w:r>
      <w:proofErr w:type="spellStart"/>
      <w:r w:rsidRPr="00B82BDF">
        <w:rPr>
          <w:rFonts w:ascii="Times New Roman" w:hAnsi="Times New Roman" w:cs="Times New Roman"/>
        </w:rPr>
        <w:t>Cour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tient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compte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l’importance</w:t>
      </w:r>
      <w:proofErr w:type="spellEnd"/>
      <w:r w:rsidRPr="00B82BDF">
        <w:rPr>
          <w:rFonts w:ascii="Times New Roman" w:hAnsi="Times New Roman" w:cs="Times New Roman"/>
        </w:rPr>
        <w:t xml:space="preserve"> de </w:t>
      </w:r>
      <w:proofErr w:type="spellStart"/>
      <w:r w:rsidRPr="00B82BDF">
        <w:rPr>
          <w:rFonts w:ascii="Times New Roman" w:hAnsi="Times New Roman" w:cs="Times New Roman"/>
        </w:rPr>
        <w:t>protéger</w:t>
      </w:r>
      <w:proofErr w:type="spellEnd"/>
      <w:r w:rsidRPr="00B82BDF">
        <w:rPr>
          <w:rFonts w:ascii="Times New Roman" w:hAnsi="Times New Roman" w:cs="Times New Roman"/>
        </w:rPr>
        <w:t xml:space="preserve"> les droits des </w:t>
      </w:r>
      <w:proofErr w:type="spellStart"/>
      <w:r w:rsidRPr="00B82BDF">
        <w:rPr>
          <w:rFonts w:ascii="Times New Roman" w:hAnsi="Times New Roman" w:cs="Times New Roman"/>
        </w:rPr>
        <w:t>victimes</w:t>
      </w:r>
      <w:proofErr w:type="spellEnd"/>
      <w:r w:rsidRPr="00B82BDF">
        <w:rPr>
          <w:rFonts w:ascii="Times New Roman" w:hAnsi="Times New Roman" w:cs="Times New Roman"/>
        </w:rPr>
        <w:t xml:space="preserve">. </w:t>
      </w:r>
      <w:r w:rsidRPr="00B82BDF">
        <w:rPr>
          <w:rFonts w:ascii="Times New Roman" w:hAnsi="Times New Roman" w:cs="Times New Roman"/>
          <w:color w:val="000000"/>
        </w:rPr>
        <w:t xml:space="preserve">Les </w:t>
      </w:r>
      <w:proofErr w:type="spellStart"/>
      <w:r w:rsidRPr="00B82BDF">
        <w:rPr>
          <w:rFonts w:ascii="Times New Roman" w:hAnsi="Times New Roman" w:cs="Times New Roman"/>
          <w:color w:val="000000"/>
        </w:rPr>
        <w:t>procédures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pénales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relatives à des infractions à </w:t>
      </w:r>
      <w:proofErr w:type="spellStart"/>
      <w:r w:rsidRPr="00B82BDF">
        <w:rPr>
          <w:rFonts w:ascii="Times New Roman" w:hAnsi="Times New Roman" w:cs="Times New Roman"/>
          <w:color w:val="000000"/>
        </w:rPr>
        <w:t>caractère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sexuel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lastRenderedPageBreak/>
        <w:t>sont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souvent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vécues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comme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une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épreuve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par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B82BDF">
        <w:rPr>
          <w:rFonts w:ascii="Times New Roman" w:hAnsi="Times New Roman" w:cs="Times New Roman"/>
          <w:color w:val="000000"/>
        </w:rPr>
        <w:t>victime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particulier </w:t>
      </w:r>
      <w:proofErr w:type="spellStart"/>
      <w:r w:rsidRPr="00B82BDF">
        <w:rPr>
          <w:rFonts w:ascii="Times New Roman" w:hAnsi="Times New Roman" w:cs="Times New Roman"/>
          <w:color w:val="000000"/>
        </w:rPr>
        <w:t>lorsque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celle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-ci </w:t>
      </w:r>
      <w:proofErr w:type="spellStart"/>
      <w:r w:rsidRPr="00B82BDF">
        <w:rPr>
          <w:rFonts w:ascii="Times New Roman" w:hAnsi="Times New Roman" w:cs="Times New Roman"/>
          <w:color w:val="000000"/>
        </w:rPr>
        <w:t>est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confrontée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contre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son </w:t>
      </w:r>
      <w:proofErr w:type="spellStart"/>
      <w:r w:rsidRPr="00B82BDF">
        <w:rPr>
          <w:rFonts w:ascii="Times New Roman" w:hAnsi="Times New Roman" w:cs="Times New Roman"/>
          <w:color w:val="000000"/>
        </w:rPr>
        <w:t>gré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au </w:t>
      </w:r>
      <w:proofErr w:type="spellStart"/>
      <w:r w:rsidRPr="00B82BDF">
        <w:rPr>
          <w:rFonts w:ascii="Times New Roman" w:hAnsi="Times New Roman" w:cs="Times New Roman"/>
          <w:color w:val="000000"/>
        </w:rPr>
        <w:t>prévenu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(</w:t>
      </w:r>
      <w:r w:rsidRPr="00B82BDF">
        <w:rPr>
          <w:rFonts w:ascii="Times New Roman" w:hAnsi="Times New Roman" w:cs="Times New Roman"/>
          <w:i/>
          <w:iCs/>
          <w:color w:val="000000"/>
        </w:rPr>
        <w:t>Y. c. </w:t>
      </w:r>
      <w:proofErr w:type="spellStart"/>
      <w:r w:rsidRPr="00B82BDF">
        <w:rPr>
          <w:rFonts w:ascii="Times New Roman" w:hAnsi="Times New Roman" w:cs="Times New Roman"/>
          <w:i/>
          <w:iCs/>
          <w:color w:val="000000"/>
        </w:rPr>
        <w:t>Slovénie</w:t>
      </w:r>
      <w:proofErr w:type="spellEnd"/>
      <w:r w:rsidRPr="00B82BDF">
        <w:rPr>
          <w:rFonts w:ascii="Times New Roman" w:hAnsi="Times New Roman" w:cs="Times New Roman"/>
          <w:color w:val="000000"/>
        </w:rPr>
        <w:t>, n</w:t>
      </w:r>
      <w:r w:rsidRPr="00B82BDF">
        <w:rPr>
          <w:rFonts w:ascii="Times New Roman" w:hAnsi="Times New Roman" w:cs="Times New Roman"/>
          <w:color w:val="000000"/>
          <w:vertAlign w:val="superscript"/>
        </w:rPr>
        <w:t>o</w:t>
      </w:r>
      <w:r w:rsidRPr="00B82BDF">
        <w:rPr>
          <w:rFonts w:ascii="Times New Roman" w:hAnsi="Times New Roman" w:cs="Times New Roman"/>
          <w:color w:val="000000"/>
        </w:rPr>
        <w:t> </w:t>
      </w:r>
      <w:r w:rsidRPr="00B82BDF">
        <w:rPr>
          <w:rFonts w:ascii="Times New Roman" w:hAnsi="Times New Roman" w:cs="Times New Roman"/>
        </w:rPr>
        <w:t>41107/10</w:t>
      </w:r>
      <w:r w:rsidRPr="00B82BDF">
        <w:rPr>
          <w:rFonts w:ascii="Times New Roman" w:hAnsi="Times New Roman" w:cs="Times New Roman"/>
          <w:color w:val="000000"/>
        </w:rPr>
        <w:t>, § 103, 28 </w:t>
      </w:r>
      <w:proofErr w:type="spellStart"/>
      <w:r w:rsidRPr="00B82BDF">
        <w:rPr>
          <w:rFonts w:ascii="Times New Roman" w:hAnsi="Times New Roman" w:cs="Times New Roman"/>
          <w:color w:val="000000"/>
        </w:rPr>
        <w:t>mai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2015, et </w:t>
      </w:r>
      <w:r w:rsidRPr="00B82BDF">
        <w:rPr>
          <w:rFonts w:ascii="Times New Roman" w:hAnsi="Times New Roman" w:cs="Times New Roman"/>
          <w:i/>
          <w:iCs/>
        </w:rPr>
        <w:t>X c. </w:t>
      </w:r>
      <w:proofErr w:type="spellStart"/>
      <w:r w:rsidRPr="00B82BDF">
        <w:rPr>
          <w:rFonts w:ascii="Times New Roman" w:hAnsi="Times New Roman" w:cs="Times New Roman"/>
          <w:i/>
          <w:iCs/>
        </w:rPr>
        <w:t>Grèce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>, § 70</w:t>
      </w:r>
      <w:r w:rsidRPr="00B82BDF">
        <w:rPr>
          <w:rFonts w:ascii="Times New Roman" w:hAnsi="Times New Roman" w:cs="Times New Roman"/>
          <w:color w:val="000000"/>
        </w:rPr>
        <w:t xml:space="preserve">). </w:t>
      </w:r>
      <w:r w:rsidRPr="00B82BDF">
        <w:rPr>
          <w:rFonts w:ascii="Times New Roman" w:hAnsi="Times New Roman" w:cs="Times New Roman"/>
        </w:rPr>
        <w:t xml:space="preserve">Dans la </w:t>
      </w:r>
      <w:proofErr w:type="spellStart"/>
      <w:r w:rsidRPr="00B82BDF">
        <w:rPr>
          <w:rFonts w:ascii="Times New Roman" w:hAnsi="Times New Roman" w:cs="Times New Roman"/>
        </w:rPr>
        <w:t>conduite</w:t>
      </w:r>
      <w:proofErr w:type="spellEnd"/>
      <w:r w:rsidRPr="00B82BDF">
        <w:rPr>
          <w:rFonts w:ascii="Times New Roman" w:hAnsi="Times New Roman" w:cs="Times New Roman"/>
        </w:rPr>
        <w:t xml:space="preserve"> de la </w:t>
      </w:r>
      <w:proofErr w:type="spellStart"/>
      <w:r w:rsidRPr="00B82BDF">
        <w:rPr>
          <w:rFonts w:ascii="Times New Roman" w:hAnsi="Times New Roman" w:cs="Times New Roman"/>
        </w:rPr>
        <w:t>procédure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en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parallèle</w:t>
      </w:r>
      <w:proofErr w:type="spellEnd"/>
      <w:r w:rsidRPr="00B82BDF">
        <w:rPr>
          <w:rFonts w:ascii="Times New Roman" w:hAnsi="Times New Roman" w:cs="Times New Roman"/>
        </w:rPr>
        <w:t xml:space="preserve"> avec le respect</w:t>
      </w:r>
      <w:r w:rsidRPr="00B82BDF">
        <w:t xml:space="preserve"> </w:t>
      </w:r>
      <w:proofErr w:type="spellStart"/>
      <w:r w:rsidRPr="00B82BDF">
        <w:t>effectif</w:t>
      </w:r>
      <w:proofErr w:type="spellEnd"/>
      <w:r w:rsidRPr="00B82BDF">
        <w:t xml:space="preserve"> des droits de la </w:t>
      </w:r>
      <w:proofErr w:type="spellStart"/>
      <w:r w:rsidRPr="00B82BDF">
        <w:t>défense</w:t>
      </w:r>
      <w:proofErr w:type="spellEnd"/>
      <w:r w:rsidRPr="00B82BDF">
        <w:t xml:space="preserve">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judiciaires</w:t>
      </w:r>
      <w:proofErr w:type="spellEnd"/>
      <w:r w:rsidRPr="00B82BDF">
        <w:t xml:space="preserve"> </w:t>
      </w:r>
      <w:proofErr w:type="spellStart"/>
      <w:r w:rsidRPr="00B82BDF">
        <w:t>doivent</w:t>
      </w:r>
      <w:proofErr w:type="spellEnd"/>
      <w:r w:rsidRPr="00B82BDF">
        <w:t xml:space="preserve"> </w:t>
      </w:r>
      <w:proofErr w:type="spellStart"/>
      <w:r w:rsidRPr="00B82BDF">
        <w:t>veiller</w:t>
      </w:r>
      <w:proofErr w:type="spellEnd"/>
      <w:r w:rsidRPr="00B82BDF">
        <w:t xml:space="preserve"> à </w:t>
      </w:r>
      <w:proofErr w:type="spellStart"/>
      <w:r w:rsidRPr="00B82BDF">
        <w:t>protéger</w:t>
      </w:r>
      <w:proofErr w:type="spellEnd"/>
      <w:r w:rsidRPr="00B82BDF">
        <w:t xml:space="preserve"> </w:t>
      </w:r>
      <w:proofErr w:type="spellStart"/>
      <w:r w:rsidRPr="00B82BDF">
        <w:t>l’image</w:t>
      </w:r>
      <w:proofErr w:type="spellEnd"/>
      <w:r w:rsidRPr="00B82BDF">
        <w:t xml:space="preserve">, la </w:t>
      </w:r>
      <w:proofErr w:type="spellStart"/>
      <w:r w:rsidRPr="00B82BDF">
        <w:t>dignité</w:t>
      </w:r>
      <w:proofErr w:type="spellEnd"/>
      <w:r w:rsidRPr="00B82BDF">
        <w:t xml:space="preserve"> et la vie </w:t>
      </w:r>
      <w:proofErr w:type="spellStart"/>
      <w:r w:rsidRPr="00B82BDF">
        <w:t>privée</w:t>
      </w:r>
      <w:proofErr w:type="spellEnd"/>
      <w:r w:rsidRPr="00B82BDF">
        <w:t xml:space="preserve"> des </w:t>
      </w:r>
      <w:proofErr w:type="spellStart"/>
      <w:r w:rsidRPr="00B82BDF">
        <w:t>victimes</w:t>
      </w:r>
      <w:proofErr w:type="spellEnd"/>
      <w:r w:rsidRPr="00B82BDF">
        <w:t xml:space="preserve"> </w:t>
      </w:r>
      <w:proofErr w:type="spellStart"/>
      <w:r w:rsidRPr="00B82BDF">
        <w:t>présumées</w:t>
      </w:r>
      <w:proofErr w:type="spellEnd"/>
      <w:r w:rsidRPr="00B82BDF">
        <w:t xml:space="preserve"> de </w:t>
      </w:r>
      <w:proofErr w:type="spellStart"/>
      <w:r w:rsidRPr="00B82BDF">
        <w:t>violences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, y </w:t>
      </w:r>
      <w:proofErr w:type="spellStart"/>
      <w:r w:rsidRPr="00B82BDF">
        <w:t>compris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</w:t>
      </w:r>
      <w:r>
        <w:t xml:space="preserve"> </w:t>
      </w:r>
      <w:r w:rsidRPr="00B82BDF">
        <w:t>non</w:t>
      </w:r>
      <w:r w:rsidRPr="00B82BDF">
        <w:noBreakHyphen/>
        <w:t xml:space="preserve">divulgation </w:t>
      </w:r>
      <w:proofErr w:type="spellStart"/>
      <w:r w:rsidRPr="00B82BDF">
        <w:t>d’informations</w:t>
      </w:r>
      <w:proofErr w:type="spellEnd"/>
      <w:r w:rsidRPr="00B82BDF">
        <w:t xml:space="preserve"> et de </w:t>
      </w:r>
      <w:proofErr w:type="spellStart"/>
      <w:r w:rsidRPr="00B82BDF">
        <w:t>données</w:t>
      </w:r>
      <w:proofErr w:type="spellEnd"/>
      <w:r w:rsidRPr="00B82BDF">
        <w:t xml:space="preserve"> </w:t>
      </w:r>
      <w:proofErr w:type="spellStart"/>
      <w:r w:rsidRPr="00B82BDF">
        <w:t>personnelles</w:t>
      </w:r>
      <w:proofErr w:type="spellEnd"/>
      <w:r w:rsidRPr="00B82BDF">
        <w:t xml:space="preserve"> sans relation avec les faits. Aux </w:t>
      </w:r>
      <w:proofErr w:type="spellStart"/>
      <w:r w:rsidRPr="00B82BDF">
        <w:t>yeux</w:t>
      </w:r>
      <w:proofErr w:type="spellEnd"/>
      <w:r w:rsidRPr="00B82BDF">
        <w:t xml:space="preserve"> de la </w:t>
      </w:r>
      <w:proofErr w:type="spellStart"/>
      <w:r w:rsidRPr="00B82BDF">
        <w:t>Cour</w:t>
      </w:r>
      <w:proofErr w:type="spellEnd"/>
      <w:r w:rsidRPr="00B82BDF">
        <w:t xml:space="preserve">, il </w:t>
      </w:r>
      <w:proofErr w:type="spellStart"/>
      <w:r w:rsidRPr="00B82BDF">
        <w:t>est</w:t>
      </w:r>
      <w:proofErr w:type="spellEnd"/>
      <w:r w:rsidRPr="00B82BDF">
        <w:t xml:space="preserve"> </w:t>
      </w:r>
      <w:proofErr w:type="spellStart"/>
      <w:r w:rsidRPr="00B82BDF">
        <w:t>essentiel</w:t>
      </w:r>
      <w:proofErr w:type="spellEnd"/>
      <w:r w:rsidRPr="00B82BDF">
        <w:t xml:space="preserve">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évitent</w:t>
      </w:r>
      <w:proofErr w:type="spellEnd"/>
      <w:r w:rsidRPr="00B82BDF">
        <w:t xml:space="preserve"> de </w:t>
      </w:r>
      <w:proofErr w:type="spellStart"/>
      <w:r w:rsidRPr="00B82BDF">
        <w:t>reproduire</w:t>
      </w:r>
      <w:proofErr w:type="spellEnd"/>
      <w:r w:rsidRPr="00B82BDF">
        <w:t xml:space="preserve"> des </w:t>
      </w:r>
      <w:proofErr w:type="spellStart"/>
      <w:r w:rsidRPr="00B82BDF">
        <w:t>stéréotypes</w:t>
      </w:r>
      <w:proofErr w:type="spellEnd"/>
      <w:r w:rsidRPr="00B82BDF">
        <w:t xml:space="preserve"> </w:t>
      </w:r>
      <w:proofErr w:type="spellStart"/>
      <w:r w:rsidRPr="00B82BDF">
        <w:t>sexistes</w:t>
      </w:r>
      <w:proofErr w:type="spellEnd"/>
      <w:r w:rsidRPr="00B82BDF">
        <w:t xml:space="preserve"> dans les </w:t>
      </w:r>
      <w:proofErr w:type="spellStart"/>
      <w:r w:rsidRPr="00B82BDF">
        <w:t>décisions</w:t>
      </w:r>
      <w:proofErr w:type="spellEnd"/>
      <w:r w:rsidRPr="00B82BDF">
        <w:t xml:space="preserve"> de justice, de minimiser les </w:t>
      </w:r>
      <w:proofErr w:type="spellStart"/>
      <w:r w:rsidRPr="00B82BDF">
        <w:t>violences</w:t>
      </w:r>
      <w:proofErr w:type="spellEnd"/>
      <w:r w:rsidRPr="00B82BDF">
        <w:t xml:space="preserve"> </w:t>
      </w:r>
      <w:proofErr w:type="spellStart"/>
      <w:r w:rsidRPr="00B82BDF">
        <w:t>contre</w:t>
      </w:r>
      <w:proofErr w:type="spellEnd"/>
      <w:r w:rsidRPr="00B82BDF">
        <w:t xml:space="preserve"> le genre et </w:t>
      </w:r>
      <w:proofErr w:type="spellStart"/>
      <w:r w:rsidRPr="00B82BDF">
        <w:t>d’exposer</w:t>
      </w:r>
      <w:proofErr w:type="spellEnd"/>
      <w:r w:rsidRPr="00B82BDF">
        <w:t xml:space="preserve"> les femmes à </w:t>
      </w:r>
      <w:proofErr w:type="spellStart"/>
      <w:r w:rsidRPr="00B82BDF">
        <w:t>une</w:t>
      </w:r>
      <w:proofErr w:type="spellEnd"/>
      <w:r w:rsidRPr="00B82BDF">
        <w:t xml:space="preserve"> victimisation </w:t>
      </w:r>
      <w:proofErr w:type="spellStart"/>
      <w:r w:rsidRPr="00B82BDF">
        <w:t>secondaire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utilisant</w:t>
      </w:r>
      <w:proofErr w:type="spellEnd"/>
      <w:r w:rsidRPr="00B82BDF">
        <w:t xml:space="preserve"> des </w:t>
      </w:r>
      <w:proofErr w:type="spellStart"/>
      <w:r w:rsidRPr="00B82BDF">
        <w:t>propos</w:t>
      </w:r>
      <w:proofErr w:type="spellEnd"/>
      <w:r w:rsidRPr="00B82BDF">
        <w:t xml:space="preserve"> </w:t>
      </w:r>
      <w:proofErr w:type="spellStart"/>
      <w:r w:rsidRPr="00B82BDF">
        <w:t>culpabilisants</w:t>
      </w:r>
      <w:proofErr w:type="spellEnd"/>
      <w:r w:rsidRPr="00B82BDF">
        <w:t xml:space="preserve"> et </w:t>
      </w:r>
      <w:proofErr w:type="spellStart"/>
      <w:r w:rsidRPr="00B82BDF">
        <w:t>moralisants</w:t>
      </w:r>
      <w:proofErr w:type="spellEnd"/>
      <w:r w:rsidRPr="00B82BDF">
        <w:t xml:space="preserve"> </w:t>
      </w:r>
      <w:proofErr w:type="spellStart"/>
      <w:r w:rsidRPr="00B82BDF">
        <w:t>propres</w:t>
      </w:r>
      <w:proofErr w:type="spellEnd"/>
      <w:r w:rsidRPr="00B82BDF">
        <w:t xml:space="preserve"> à </w:t>
      </w:r>
      <w:proofErr w:type="spellStart"/>
      <w:r w:rsidRPr="00B82BDF">
        <w:t>décourager</w:t>
      </w:r>
      <w:proofErr w:type="spellEnd"/>
      <w:r w:rsidRPr="00B82BDF">
        <w:t xml:space="preserve"> la </w:t>
      </w:r>
      <w:proofErr w:type="spellStart"/>
      <w:r w:rsidRPr="00B82BDF">
        <w:t>confiance</w:t>
      </w:r>
      <w:proofErr w:type="spellEnd"/>
      <w:r w:rsidRPr="00B82BDF">
        <w:t xml:space="preserve"> des </w:t>
      </w:r>
      <w:proofErr w:type="spellStart"/>
      <w:r w:rsidRPr="00B82BDF">
        <w:t>victimes</w:t>
      </w:r>
      <w:proofErr w:type="spellEnd"/>
      <w:r w:rsidRPr="00B82BDF">
        <w:t xml:space="preserve"> dans la justice (</w:t>
      </w:r>
      <w:r w:rsidRPr="00B82BDF">
        <w:rPr>
          <w:i/>
          <w:iCs/>
        </w:rPr>
        <w:t>Y. c. </w:t>
      </w:r>
      <w:proofErr w:type="spellStart"/>
      <w:r w:rsidRPr="00B82BDF">
        <w:rPr>
          <w:i/>
          <w:iCs/>
        </w:rPr>
        <w:t>Slovénie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§§ 97 et 101</w:t>
      </w:r>
      <w:r w:rsidRPr="00B82BDF">
        <w:noBreakHyphen/>
        <w:t xml:space="preserve">104, et </w:t>
      </w:r>
      <w:r w:rsidRPr="00B82BDF">
        <w:rPr>
          <w:i/>
          <w:iCs/>
        </w:rPr>
        <w:t>J.L. c. Italie</w:t>
      </w:r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§§ 137-141).</w:t>
      </w:r>
    </w:p>
    <w:bookmarkStart w:id="37" w:name="paragraph00201"/>
    <w:p w14:paraId="7D86EC23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201</w:t>
      </w:r>
      <w:r w:rsidRPr="00B82BDF">
        <w:fldChar w:fldCharType="end"/>
      </w:r>
      <w:bookmarkEnd w:id="37"/>
      <w:r w:rsidRPr="00B82BDF">
        <w:t xml:space="preserve">.  Les </w:t>
      </w:r>
      <w:proofErr w:type="spellStart"/>
      <w:r w:rsidRPr="00B82BDF">
        <w:t>principes</w:t>
      </w:r>
      <w:proofErr w:type="spellEnd"/>
      <w:r w:rsidRPr="00B82BDF">
        <w:t xml:space="preserve"> </w:t>
      </w:r>
      <w:proofErr w:type="spellStart"/>
      <w:r w:rsidRPr="00B82BDF">
        <w:t>consacrés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et qui </w:t>
      </w:r>
      <w:proofErr w:type="spellStart"/>
      <w:r w:rsidRPr="00B82BDF">
        <w:t>viennent</w:t>
      </w:r>
      <w:proofErr w:type="spellEnd"/>
      <w:r w:rsidRPr="00B82BDF">
        <w:t xml:space="preserve"> d’être </w:t>
      </w:r>
      <w:proofErr w:type="spellStart"/>
      <w:r w:rsidRPr="00B82BDF">
        <w:t>rappelés</w:t>
      </w:r>
      <w:proofErr w:type="spellEnd"/>
      <w:r w:rsidRPr="00B82BDF">
        <w:t xml:space="preserve"> </w:t>
      </w:r>
      <w:proofErr w:type="spellStart"/>
      <w:r w:rsidRPr="00B82BDF">
        <w:t>s’appliquent</w:t>
      </w:r>
      <w:proofErr w:type="spellEnd"/>
      <w:r w:rsidRPr="00B82BDF">
        <w:t xml:space="preserve"> </w:t>
      </w:r>
      <w:r w:rsidRPr="00B82BDF">
        <w:rPr>
          <w:i/>
          <w:iCs/>
        </w:rPr>
        <w:t>a fortiori</w:t>
      </w:r>
      <w:r w:rsidRPr="00B82BDF">
        <w:t xml:space="preserve"> à </w:t>
      </w:r>
      <w:proofErr w:type="spellStart"/>
      <w:r w:rsidRPr="00B82BDF">
        <w:t>l’égard</w:t>
      </w:r>
      <w:proofErr w:type="spellEnd"/>
      <w:r w:rsidRPr="00B82BDF">
        <w:t xml:space="preserve"> des enfants, </w:t>
      </w:r>
      <w:proofErr w:type="spellStart"/>
      <w:r w:rsidRPr="00B82BDF">
        <w:t>comme</w:t>
      </w:r>
      <w:proofErr w:type="spellEnd"/>
      <w:r w:rsidRPr="00B82BDF">
        <w:t xml:space="preserve"> le </w:t>
      </w:r>
      <w:proofErr w:type="spellStart"/>
      <w:r w:rsidRPr="00B82BDF">
        <w:t>prévoient</w:t>
      </w:r>
      <w:proofErr w:type="spellEnd"/>
      <w:r w:rsidRPr="00B82BDF">
        <w:t xml:space="preserve"> </w:t>
      </w:r>
      <w:proofErr w:type="spellStart"/>
      <w:r w:rsidRPr="00B82BDF">
        <w:rPr>
          <w:lang w:bidi="en-US"/>
        </w:rPr>
        <w:t>d’autres</w:t>
      </w:r>
      <w:proofErr w:type="spellEnd"/>
      <w:r w:rsidRPr="00B82BDF">
        <w:rPr>
          <w:lang w:bidi="en-US"/>
        </w:rPr>
        <w:t xml:space="preserve"> dispositions </w:t>
      </w:r>
      <w:proofErr w:type="spellStart"/>
      <w:r w:rsidRPr="00B82BDF">
        <w:rPr>
          <w:lang w:bidi="en-US"/>
        </w:rPr>
        <w:t>internationales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telles</w:t>
      </w:r>
      <w:proofErr w:type="spellEnd"/>
      <w:r w:rsidRPr="00B82BDF">
        <w:rPr>
          <w:lang w:bidi="en-US"/>
        </w:rPr>
        <w:t xml:space="preserve"> que les articles 18 à 24 de la Convention de Lanzarote (</w:t>
      </w:r>
      <w:proofErr w:type="spellStart"/>
      <w:r w:rsidRPr="00B82BDF">
        <w:rPr>
          <w:lang w:bidi="en-US"/>
        </w:rPr>
        <w:t>paragraphe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paragraph00122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122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ci-dessus, </w:t>
      </w:r>
      <w:r w:rsidRPr="00B82BDF">
        <w:rPr>
          <w:i/>
          <w:iCs/>
          <w:lang w:bidi="en-US"/>
        </w:rPr>
        <w:t xml:space="preserve">X et </w:t>
      </w:r>
      <w:proofErr w:type="spellStart"/>
      <w:r w:rsidRPr="00B82BDF">
        <w:rPr>
          <w:i/>
          <w:iCs/>
          <w:lang w:bidi="en-US"/>
        </w:rPr>
        <w:t>autres</w:t>
      </w:r>
      <w:proofErr w:type="spellEnd"/>
      <w:r w:rsidRPr="00B82BDF">
        <w:rPr>
          <w:i/>
          <w:iCs/>
          <w:lang w:bidi="en-US"/>
        </w:rPr>
        <w:t xml:space="preserve">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 xml:space="preserve">, § 179, et </w:t>
      </w:r>
      <w:r w:rsidRPr="00B82BDF">
        <w:rPr>
          <w:i/>
          <w:iCs/>
        </w:rPr>
        <w:t>M.G. c. </w:t>
      </w:r>
      <w:proofErr w:type="spellStart"/>
      <w:r w:rsidRPr="00B82BDF">
        <w:rPr>
          <w:i/>
          <w:iCs/>
        </w:rPr>
        <w:t>Lituanie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98</w:t>
      </w:r>
      <w:r w:rsidRPr="00B82BDF">
        <w:rPr>
          <w:lang w:bidi="en-US"/>
        </w:rPr>
        <w:t>)</w:t>
      </w:r>
      <w:r w:rsidRPr="00B82BDF">
        <w:t xml:space="preserve">. Afin de les </w:t>
      </w:r>
      <w:proofErr w:type="spellStart"/>
      <w:r w:rsidRPr="00B82BDF">
        <w:t>protéger</w:t>
      </w:r>
      <w:proofErr w:type="spellEnd"/>
      <w:r w:rsidRPr="00B82BDF">
        <w:t xml:space="preserve"> des </w:t>
      </w:r>
      <w:proofErr w:type="spellStart"/>
      <w:r w:rsidRPr="00B82BDF">
        <w:t>abus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tenant </w:t>
      </w:r>
      <w:proofErr w:type="spellStart"/>
      <w:r w:rsidRPr="00B82BDF">
        <w:t>compte</w:t>
      </w:r>
      <w:proofErr w:type="spellEnd"/>
      <w:r w:rsidRPr="00B82BDF">
        <w:t xml:space="preserve"> de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</w:t>
      </w:r>
      <w:r w:rsidRPr="00B82BDF">
        <w:rPr>
          <w:lang w:bidi="en-US"/>
        </w:rPr>
        <w:t>(</w:t>
      </w:r>
      <w:bookmarkStart w:id="38" w:name="_cl3ENDROIT"/>
      <w:r w:rsidRPr="00B82BDF">
        <w:rPr>
          <w:i/>
          <w:iCs/>
          <w:lang w:bidi="en-US"/>
        </w:rPr>
        <w:t>A et B c. </w:t>
      </w:r>
      <w:proofErr w:type="spellStart"/>
      <w:r w:rsidRPr="00B82BDF">
        <w:rPr>
          <w:i/>
          <w:iCs/>
          <w:lang w:bidi="en-US"/>
        </w:rPr>
        <w:t>Croatie</w:t>
      </w:r>
      <w:bookmarkEnd w:id="38"/>
      <w:proofErr w:type="spellEnd"/>
      <w:r w:rsidRPr="00B82BDF">
        <w:rPr>
          <w:lang w:bidi="en-US"/>
        </w:rPr>
        <w:t xml:space="preserve">, § 111, </w:t>
      </w:r>
      <w:r w:rsidRPr="00B82BDF">
        <w:rPr>
          <w:i/>
          <w:iCs/>
          <w:lang w:bidi="en-US"/>
        </w:rPr>
        <w:t>M.C. 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, §§ 150 et 183, et </w:t>
      </w:r>
      <w:r w:rsidRPr="00B82BDF">
        <w:rPr>
          <w:i/>
          <w:iCs/>
          <w:lang w:bidi="en-US"/>
        </w:rPr>
        <w:t>M.G.C. c. </w:t>
      </w:r>
      <w:proofErr w:type="spellStart"/>
      <w:r w:rsidRPr="00B82BDF">
        <w:rPr>
          <w:i/>
          <w:iCs/>
          <w:lang w:bidi="en-US"/>
        </w:rPr>
        <w:t>Roumanie</w:t>
      </w:r>
      <w:proofErr w:type="spellEnd"/>
      <w:r w:rsidRPr="00B82BDF">
        <w:rPr>
          <w:lang w:bidi="en-US"/>
        </w:rPr>
        <w:t xml:space="preserve">, § 56, </w:t>
      </w:r>
      <w:proofErr w:type="spellStart"/>
      <w:r w:rsidRPr="00B82BDF">
        <w:rPr>
          <w:lang w:bidi="en-US"/>
        </w:rPr>
        <w:t>tous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précités</w:t>
      </w:r>
      <w:proofErr w:type="spellEnd"/>
      <w:r w:rsidRPr="00B82BDF">
        <w:rPr>
          <w:lang w:bidi="en-US"/>
        </w:rPr>
        <w:t>), l</w:t>
      </w:r>
      <w:r w:rsidRPr="00B82BDF">
        <w:t xml:space="preserve">a </w:t>
      </w:r>
      <w:proofErr w:type="spellStart"/>
      <w:r w:rsidRPr="00B82BDF">
        <w:t>Cour</w:t>
      </w:r>
      <w:proofErr w:type="spellEnd"/>
      <w:r w:rsidRPr="00B82BDF">
        <w:t xml:space="preserve"> a </w:t>
      </w:r>
      <w:proofErr w:type="spellStart"/>
      <w:r w:rsidRPr="00B82BDF">
        <w:t>étendu</w:t>
      </w:r>
      <w:proofErr w:type="spellEnd"/>
      <w:r w:rsidRPr="00B82BDF">
        <w:t xml:space="preserve"> la </w:t>
      </w:r>
      <w:proofErr w:type="spellStart"/>
      <w:r w:rsidRPr="00B82BDF">
        <w:t>portée</w:t>
      </w:r>
      <w:proofErr w:type="spellEnd"/>
      <w:r w:rsidRPr="00B82BDF">
        <w:t xml:space="preserve"> des obligations positives </w:t>
      </w:r>
      <w:proofErr w:type="spellStart"/>
      <w:r w:rsidRPr="00B82BDF">
        <w:t>incombant</w:t>
      </w:r>
      <w:proofErr w:type="spellEnd"/>
      <w:r w:rsidRPr="00B82BDF">
        <w:t xml:space="preserve"> à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</w:t>
      </w:r>
      <w:r w:rsidRPr="00B82BDF">
        <w:rPr>
          <w:lang w:bidi="en-US"/>
        </w:rPr>
        <w:t xml:space="preserve">sous </w:t>
      </w:r>
      <w:proofErr w:type="spellStart"/>
      <w:r w:rsidRPr="00B82BDF">
        <w:rPr>
          <w:lang w:bidi="en-US"/>
        </w:rPr>
        <w:t>l’angle</w:t>
      </w:r>
      <w:proofErr w:type="spellEnd"/>
      <w:r w:rsidRPr="00B82BDF">
        <w:rPr>
          <w:lang w:bidi="en-US"/>
        </w:rPr>
        <w:t xml:space="preserve"> des articles 3 et 8 de la Convention,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exigeant</w:t>
      </w:r>
      <w:proofErr w:type="spellEnd"/>
      <w:r w:rsidRPr="00B82BDF">
        <w:rPr>
          <w:lang w:bidi="en-US"/>
        </w:rPr>
        <w:t xml:space="preserve"> de faire </w:t>
      </w:r>
      <w:proofErr w:type="spellStart"/>
      <w:r w:rsidRPr="00B82BDF">
        <w:rPr>
          <w:lang w:bidi="en-US"/>
        </w:rPr>
        <w:t>prévaloir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leur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intérêt</w:t>
      </w:r>
      <w:proofErr w:type="spellEnd"/>
      <w:r w:rsidRPr="00B82BDF">
        <w:rPr>
          <w:lang w:bidi="en-US"/>
        </w:rPr>
        <w:t xml:space="preserve"> (</w:t>
      </w:r>
      <w:r w:rsidRPr="00B82BDF">
        <w:rPr>
          <w:i/>
          <w:iCs/>
          <w:lang w:bidi="en-US"/>
        </w:rPr>
        <w:t>Z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 xml:space="preserve">, §§ 69-70, </w:t>
      </w:r>
      <w:r w:rsidRPr="00B82BDF">
        <w:rPr>
          <w:i/>
          <w:iCs/>
        </w:rPr>
        <w:t>N.Ç. c. </w:t>
      </w:r>
      <w:proofErr w:type="spellStart"/>
      <w:r w:rsidRPr="00B82BDF">
        <w:rPr>
          <w:i/>
          <w:iCs/>
        </w:rPr>
        <w:t>Turquie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113, et </w:t>
      </w:r>
      <w:r w:rsidRPr="00B82BDF">
        <w:rPr>
          <w:i/>
          <w:iCs/>
        </w:rPr>
        <w:t>M.G. c. </w:t>
      </w:r>
      <w:proofErr w:type="spellStart"/>
      <w:r w:rsidRPr="00B82BDF">
        <w:rPr>
          <w:i/>
          <w:iCs/>
        </w:rPr>
        <w:t>Lituanie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98</w:t>
      </w:r>
      <w:r w:rsidRPr="00B82BDF">
        <w:rPr>
          <w:lang w:bidi="en-US"/>
        </w:rPr>
        <w:t xml:space="preserve">) et la mise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œuvre</w:t>
      </w:r>
      <w:proofErr w:type="spellEnd"/>
      <w:r w:rsidRPr="00B82BDF">
        <w:rPr>
          <w:lang w:bidi="en-US"/>
        </w:rPr>
        <w:t xml:space="preserve"> effective de </w:t>
      </w:r>
      <w:proofErr w:type="spellStart"/>
      <w:r w:rsidRPr="00B82BDF">
        <w:rPr>
          <w:lang w:bidi="en-US"/>
        </w:rPr>
        <w:t>leurs</w:t>
      </w:r>
      <w:proofErr w:type="spellEnd"/>
      <w:r w:rsidRPr="00B82BDF">
        <w:rPr>
          <w:lang w:bidi="en-US"/>
        </w:rPr>
        <w:t xml:space="preserve"> droits (</w:t>
      </w:r>
      <w:r w:rsidRPr="00B82BDF">
        <w:rPr>
          <w:i/>
          <w:iCs/>
        </w:rPr>
        <w:t xml:space="preserve">A, B et C </w:t>
      </w:r>
      <w:proofErr w:type="spellStart"/>
      <w:r w:rsidRPr="00B82BDF">
        <w:rPr>
          <w:i/>
          <w:iCs/>
        </w:rPr>
        <w:t>c</w:t>
      </w:r>
      <w:proofErr w:type="spellEnd"/>
      <w:r w:rsidRPr="00B82BDF">
        <w:rPr>
          <w:i/>
          <w:iCs/>
        </w:rPr>
        <w:t>. </w:t>
      </w:r>
      <w:proofErr w:type="spellStart"/>
      <w:r w:rsidRPr="00B82BDF">
        <w:rPr>
          <w:i/>
          <w:iCs/>
        </w:rPr>
        <w:t>Lettonie</w:t>
      </w:r>
      <w:proofErr w:type="spellEnd"/>
      <w:r w:rsidRPr="00B82BDF">
        <w:t>, n</w:t>
      </w:r>
      <w:r w:rsidRPr="00B82BDF">
        <w:rPr>
          <w:vertAlign w:val="superscript"/>
        </w:rPr>
        <w:t>o</w:t>
      </w:r>
      <w:r w:rsidRPr="00B82BDF">
        <w:t> </w:t>
      </w:r>
      <w:bookmarkStart w:id="39" w:name="_cl20026"/>
      <w:r w:rsidRPr="00B82BDF">
        <w:t>30808/11, §§ 148-149, 31 mars 2016</w:t>
      </w:r>
      <w:bookmarkEnd w:id="39"/>
      <w:r w:rsidRPr="00B82BDF">
        <w:t xml:space="preserve">). </w:t>
      </w:r>
      <w:proofErr w:type="spellStart"/>
      <w:r w:rsidRPr="00B82BDF">
        <w:t>Cette</w:t>
      </w:r>
      <w:proofErr w:type="spellEnd"/>
      <w:r w:rsidRPr="00B82BDF">
        <w:t xml:space="preserve"> protection, qui </w:t>
      </w:r>
      <w:proofErr w:type="spellStart"/>
      <w:r w:rsidRPr="00B82BDF">
        <w:t>implique</w:t>
      </w:r>
      <w:proofErr w:type="spellEnd"/>
      <w:r w:rsidRPr="00B82BDF">
        <w:t xml:space="preserve"> </w:t>
      </w:r>
      <w:proofErr w:type="spellStart"/>
      <w:r w:rsidRPr="00B82BDF">
        <w:t>l’adoption</w:t>
      </w:r>
      <w:proofErr w:type="spellEnd"/>
      <w:r w:rsidRPr="00B82BDF">
        <w:t xml:space="preserve"> de </w:t>
      </w:r>
      <w:proofErr w:type="spellStart"/>
      <w:r w:rsidRPr="00B82BDF">
        <w:t>mesures</w:t>
      </w:r>
      <w:proofErr w:type="spellEnd"/>
      <w:r w:rsidRPr="00B82BDF">
        <w:t xml:space="preserve"> </w:t>
      </w:r>
      <w:proofErr w:type="spellStart"/>
      <w:r w:rsidRPr="00B82BDF">
        <w:t>d’accompagnement</w:t>
      </w:r>
      <w:proofErr w:type="spellEnd"/>
      <w:r w:rsidRPr="00B82BDF">
        <w:t xml:space="preserve"> </w:t>
      </w:r>
      <w:proofErr w:type="spellStart"/>
      <w:r w:rsidRPr="00B82BDF">
        <w:t>appropriées</w:t>
      </w:r>
      <w:proofErr w:type="spellEnd"/>
      <w:r w:rsidRPr="00B82BDF">
        <w:t xml:space="preserve"> </w:t>
      </w:r>
      <w:proofErr w:type="spellStart"/>
      <w:r w:rsidRPr="00B82BDF">
        <w:t>facilitant</w:t>
      </w:r>
      <w:proofErr w:type="spellEnd"/>
      <w:r w:rsidRPr="00B82BDF">
        <w:t xml:space="preserve"> le </w:t>
      </w:r>
      <w:proofErr w:type="spellStart"/>
      <w:r w:rsidRPr="00B82BDF">
        <w:t>rétablissement</w:t>
      </w:r>
      <w:proofErr w:type="spellEnd"/>
      <w:r w:rsidRPr="00B82BDF">
        <w:t xml:space="preserve"> et la </w:t>
      </w:r>
      <w:proofErr w:type="spellStart"/>
      <w:r w:rsidRPr="00B82BDF">
        <w:t>réintégration</w:t>
      </w:r>
      <w:proofErr w:type="spellEnd"/>
      <w:r w:rsidRPr="00B82BDF">
        <w:t xml:space="preserve"> </w:t>
      </w:r>
      <w:proofErr w:type="spellStart"/>
      <w:r w:rsidRPr="00B82BDF">
        <w:t>sociale</w:t>
      </w:r>
      <w:proofErr w:type="spellEnd"/>
      <w:r w:rsidRPr="00B82BDF">
        <w:t xml:space="preserve"> des </w:t>
      </w:r>
      <w:proofErr w:type="spellStart"/>
      <w:r w:rsidRPr="00B82BDF">
        <w:t>jeunes</w:t>
      </w:r>
      <w:proofErr w:type="spellEnd"/>
      <w:r w:rsidRPr="00B82BDF">
        <w:t xml:space="preserve"> </w:t>
      </w:r>
      <w:proofErr w:type="spellStart"/>
      <w:r w:rsidRPr="00B82BDF">
        <w:t>victimes</w:t>
      </w:r>
      <w:proofErr w:type="spellEnd"/>
      <w:r w:rsidRPr="00B82BDF">
        <w:t xml:space="preserve"> </w:t>
      </w:r>
      <w:proofErr w:type="spellStart"/>
      <w:r w:rsidRPr="00B82BDF">
        <w:t>d’abus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(</w:t>
      </w:r>
      <w:r w:rsidRPr="00B82BDF">
        <w:rPr>
          <w:i/>
          <w:iCs/>
        </w:rPr>
        <w:t>mutatis mutandis</w:t>
      </w:r>
      <w:r w:rsidRPr="00B82BDF">
        <w:t xml:space="preserve">, </w:t>
      </w:r>
      <w:r w:rsidRPr="00B82BDF">
        <w:rPr>
          <w:i/>
          <w:iCs/>
        </w:rPr>
        <w:t>C.A.S. et C.S. c. </w:t>
      </w:r>
      <w:proofErr w:type="spellStart"/>
      <w:r w:rsidRPr="00B82BDF">
        <w:rPr>
          <w:i/>
          <w:iCs/>
        </w:rPr>
        <w:t>Roumanie</w:t>
      </w:r>
      <w:proofErr w:type="spellEnd"/>
      <w:r w:rsidRPr="00B82BDF">
        <w:t>, n</w:t>
      </w:r>
      <w:r w:rsidRPr="00B82BDF">
        <w:rPr>
          <w:vertAlign w:val="superscript"/>
        </w:rPr>
        <w:t>o </w:t>
      </w:r>
      <w:r w:rsidRPr="00B82BDF">
        <w:t xml:space="preserve">26692/05, §§ 72, 82 et 83, 20 mars 2012, et </w:t>
      </w:r>
      <w:r w:rsidRPr="00B82BDF">
        <w:rPr>
          <w:i/>
          <w:iCs/>
        </w:rPr>
        <w:t>M.N. 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40), doit </w:t>
      </w:r>
      <w:proofErr w:type="spellStart"/>
      <w:r w:rsidRPr="00B82BDF">
        <w:t>également</w:t>
      </w:r>
      <w:proofErr w:type="spellEnd"/>
      <w:r w:rsidRPr="00B82BDF">
        <w:t xml:space="preserve"> </w:t>
      </w:r>
      <w:proofErr w:type="spellStart"/>
      <w:r w:rsidRPr="00B82BDF">
        <w:t>bénéficier</w:t>
      </w:r>
      <w:proofErr w:type="spellEnd"/>
      <w:r w:rsidRPr="00B82BDF">
        <w:t xml:space="preserve"> aux adolescents, qui </w:t>
      </w:r>
      <w:proofErr w:type="spellStart"/>
      <w:r w:rsidRPr="00B82BDF">
        <w:t>n’ont</w:t>
      </w:r>
      <w:proofErr w:type="spellEnd"/>
      <w:r w:rsidRPr="00B82BDF">
        <w:t xml:space="preserve"> </w:t>
      </w:r>
      <w:proofErr w:type="gramStart"/>
      <w:r w:rsidRPr="00B82BDF">
        <w:t>pas</w:t>
      </w:r>
      <w:proofErr w:type="gramEnd"/>
      <w:r w:rsidRPr="00B82BDF">
        <w:t xml:space="preserve"> encore </w:t>
      </w:r>
      <w:proofErr w:type="spellStart"/>
      <w:r w:rsidRPr="00B82BDF">
        <w:t>atteint</w:t>
      </w:r>
      <w:proofErr w:type="spellEnd"/>
      <w:r w:rsidRPr="00B82BDF">
        <w:t xml:space="preserve"> la </w:t>
      </w:r>
      <w:proofErr w:type="spellStart"/>
      <w:r w:rsidRPr="00B82BDF">
        <w:t>pleine</w:t>
      </w:r>
      <w:proofErr w:type="spellEnd"/>
      <w:r w:rsidRPr="00B82BDF">
        <w:t xml:space="preserve"> </w:t>
      </w:r>
      <w:proofErr w:type="spellStart"/>
      <w:r w:rsidRPr="00B82BDF">
        <w:t>maturité</w:t>
      </w:r>
      <w:proofErr w:type="spellEnd"/>
      <w:r w:rsidRPr="00B82BDF">
        <w:t xml:space="preserve"> </w:t>
      </w:r>
      <w:proofErr w:type="spellStart"/>
      <w:r w:rsidRPr="00B82BDF">
        <w:t>d’une</w:t>
      </w:r>
      <w:proofErr w:type="spellEnd"/>
      <w:r w:rsidRPr="00B82BDF">
        <w:t xml:space="preserve"> </w:t>
      </w:r>
      <w:proofErr w:type="spellStart"/>
      <w:r w:rsidRPr="00B82BDF">
        <w:t>personne</w:t>
      </w:r>
      <w:proofErr w:type="spellEnd"/>
      <w:r w:rsidRPr="00B82BDF">
        <w:t xml:space="preserve"> majeure.</w:t>
      </w:r>
    </w:p>
    <w:bookmarkStart w:id="40" w:name="paragraph00202"/>
    <w:p w14:paraId="3C1DF081" w14:textId="77777777" w:rsidR="008A7B1D" w:rsidRPr="00B82BDF" w:rsidRDefault="008A7B1D" w:rsidP="008A7B1D">
      <w:pPr>
        <w:pStyle w:val="ECHRPara"/>
      </w:pP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 SEQ level0 \*arabic \* MERGEFORMAT </w:instrText>
      </w:r>
      <w:r w:rsidRPr="00B82BDF">
        <w:rPr>
          <w:lang w:bidi="en-US"/>
        </w:rPr>
        <w:fldChar w:fldCharType="separate"/>
      </w:r>
      <w:r w:rsidRPr="00B82BDF">
        <w:rPr>
          <w:noProof/>
          <w:lang w:bidi="en-US"/>
        </w:rPr>
        <w:t>202</w:t>
      </w:r>
      <w:r w:rsidRPr="00B82BDF">
        <w:rPr>
          <w:lang w:bidi="en-US"/>
        </w:rPr>
        <w:fldChar w:fldCharType="end"/>
      </w:r>
      <w:bookmarkEnd w:id="40"/>
      <w:r w:rsidRPr="00B82BDF">
        <w:rPr>
          <w:lang w:bidi="en-US"/>
        </w:rPr>
        <w:t xml:space="preserve">.  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a </w:t>
      </w:r>
      <w:proofErr w:type="spellStart"/>
      <w:r w:rsidRPr="00B82BDF">
        <w:rPr>
          <w:lang w:bidi="en-US"/>
        </w:rPr>
        <w:t>également</w:t>
      </w:r>
      <w:proofErr w:type="spellEnd"/>
      <w:r w:rsidRPr="00B82BDF">
        <w:rPr>
          <w:lang w:bidi="en-US"/>
        </w:rPr>
        <w:t xml:space="preserve"> déjà </w:t>
      </w:r>
      <w:proofErr w:type="spellStart"/>
      <w:r w:rsidRPr="00B82BDF">
        <w:rPr>
          <w:lang w:bidi="en-US"/>
        </w:rPr>
        <w:t>souligné</w:t>
      </w:r>
      <w:proofErr w:type="spellEnd"/>
      <w:r w:rsidRPr="00B82BDF">
        <w:rPr>
          <w:lang w:bidi="en-US"/>
        </w:rPr>
        <w:t xml:space="preserve"> que </w:t>
      </w:r>
      <w:proofErr w:type="spellStart"/>
      <w:r w:rsidRPr="00B82BDF">
        <w:rPr>
          <w:lang w:bidi="en-US"/>
        </w:rPr>
        <w:t>l’évolution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compréhension</w:t>
      </w:r>
      <w:proofErr w:type="spellEnd"/>
      <w:r w:rsidRPr="00B82BDF">
        <w:rPr>
          <w:lang w:bidi="en-US"/>
        </w:rPr>
        <w:t xml:space="preserve"> de la manière </w:t>
      </w:r>
      <w:proofErr w:type="spellStart"/>
      <w:r w:rsidRPr="00B82BDF">
        <w:rPr>
          <w:lang w:bidi="en-US"/>
        </w:rPr>
        <w:t>dont</w:t>
      </w:r>
      <w:proofErr w:type="spellEnd"/>
      <w:r w:rsidRPr="00B82BDF">
        <w:rPr>
          <w:lang w:bidi="en-US"/>
        </w:rPr>
        <w:t xml:space="preserve"> le viol </w:t>
      </w:r>
      <w:proofErr w:type="spellStart"/>
      <w:r w:rsidRPr="00B82BDF">
        <w:rPr>
          <w:lang w:bidi="en-US"/>
        </w:rPr>
        <w:t>est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vécu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particulier par les filles </w:t>
      </w:r>
      <w:proofErr w:type="spellStart"/>
      <w:r w:rsidRPr="00B82BDF">
        <w:rPr>
          <w:lang w:bidi="en-US"/>
        </w:rPr>
        <w:t>mineures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montre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qu’elles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n’opposent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souvent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aucune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résistance</w:t>
      </w:r>
      <w:proofErr w:type="spellEnd"/>
      <w:r w:rsidRPr="00B82BDF">
        <w:rPr>
          <w:lang w:bidi="en-US"/>
        </w:rPr>
        <w:t xml:space="preserve"> physique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raison de divers </w:t>
      </w:r>
      <w:proofErr w:type="spellStart"/>
      <w:r w:rsidRPr="00B82BDF">
        <w:rPr>
          <w:lang w:bidi="en-US"/>
        </w:rPr>
        <w:t>facteurs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psychologiques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ou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parce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qu’elles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craignent</w:t>
      </w:r>
      <w:proofErr w:type="spellEnd"/>
      <w:r w:rsidRPr="00B82BDF">
        <w:rPr>
          <w:lang w:bidi="en-US"/>
        </w:rPr>
        <w:t xml:space="preserve"> la violence de </w:t>
      </w:r>
      <w:proofErr w:type="spellStart"/>
      <w:r w:rsidRPr="00B82BDF">
        <w:rPr>
          <w:lang w:bidi="en-US"/>
        </w:rPr>
        <w:t>l’auteur</w:t>
      </w:r>
      <w:proofErr w:type="spellEnd"/>
      <w:r w:rsidRPr="00B82BDF">
        <w:rPr>
          <w:lang w:bidi="en-US"/>
        </w:rPr>
        <w:t xml:space="preserve"> (</w:t>
      </w:r>
      <w:r w:rsidRPr="00B82BDF">
        <w:rPr>
          <w:i/>
          <w:iCs/>
          <w:lang w:bidi="en-US"/>
        </w:rPr>
        <w:t>M.C.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 xml:space="preserve">, § 164, et </w:t>
      </w:r>
      <w:r w:rsidRPr="00B82BDF">
        <w:rPr>
          <w:i/>
          <w:iCs/>
          <w:lang w:bidi="en-US"/>
        </w:rPr>
        <w:t>Z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 xml:space="preserve">, § 68). Par </w:t>
      </w:r>
      <w:proofErr w:type="spellStart"/>
      <w:r w:rsidRPr="00B82BDF">
        <w:rPr>
          <w:lang w:bidi="en-US"/>
        </w:rPr>
        <w:t>ailleurs</w:t>
      </w:r>
      <w:proofErr w:type="spellEnd"/>
      <w:r w:rsidRPr="00B82BDF">
        <w:rPr>
          <w:lang w:bidi="en-US"/>
        </w:rPr>
        <w:t xml:space="preserve">, dans </w:t>
      </w:r>
      <w:proofErr w:type="spellStart"/>
      <w:r w:rsidRPr="00B82BDF">
        <w:t>l’affaire</w:t>
      </w:r>
      <w:proofErr w:type="spellEnd"/>
      <w:r w:rsidRPr="00B82BDF">
        <w:rPr>
          <w:lang w:bidi="en-US"/>
        </w:rPr>
        <w:t xml:space="preserve"> </w:t>
      </w:r>
      <w:r w:rsidRPr="00B82BDF">
        <w:rPr>
          <w:i/>
          <w:iCs/>
        </w:rPr>
        <w:t>N.Ç. c. </w:t>
      </w:r>
      <w:proofErr w:type="spellStart"/>
      <w:r w:rsidRPr="00B82BDF">
        <w:rPr>
          <w:i/>
          <w:iCs/>
        </w:rPr>
        <w:t>Turquie</w:t>
      </w:r>
      <w:proofErr w:type="spellEnd"/>
      <w:r w:rsidRPr="00B82BDF">
        <w:t xml:space="preserve"> (</w:t>
      </w:r>
      <w:proofErr w:type="spellStart"/>
      <w:r w:rsidRPr="00B82BDF">
        <w:t>précité</w:t>
      </w:r>
      <w:proofErr w:type="spellEnd"/>
      <w:r w:rsidRPr="00B82BDF">
        <w:t xml:space="preserve">, § 115, </w:t>
      </w:r>
      <w:proofErr w:type="spellStart"/>
      <w:r w:rsidRPr="00B82BDF">
        <w:t>s’agissant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l’espèce</w:t>
      </w:r>
      <w:proofErr w:type="spellEnd"/>
      <w:r w:rsidRPr="00B82BDF">
        <w:t xml:space="preserve"> de faits de prostitution </w:t>
      </w:r>
      <w:proofErr w:type="spellStart"/>
      <w:r w:rsidRPr="00B82BDF">
        <w:t>forcée</w:t>
      </w:r>
      <w:proofErr w:type="spellEnd"/>
      <w:r w:rsidRPr="00B82BDF">
        <w:t xml:space="preserve">), la </w:t>
      </w:r>
      <w:proofErr w:type="spellStart"/>
      <w:r w:rsidRPr="00B82BDF">
        <w:t>Cour</w:t>
      </w:r>
      <w:proofErr w:type="spellEnd"/>
      <w:r w:rsidRPr="00B82BDF">
        <w:t xml:space="preserve"> a </w:t>
      </w:r>
      <w:proofErr w:type="spellStart"/>
      <w:r w:rsidRPr="00B82BDF">
        <w:t>jugé</w:t>
      </w:r>
      <w:proofErr w:type="spellEnd"/>
      <w:r w:rsidRPr="00B82BDF">
        <w:t xml:space="preserve"> que </w:t>
      </w:r>
      <w:proofErr w:type="spellStart"/>
      <w:r w:rsidRPr="00B82BDF">
        <w:t>l’attribution</w:t>
      </w:r>
      <w:proofErr w:type="spellEnd"/>
      <w:r w:rsidRPr="00B82BDF">
        <w:t xml:space="preserve"> au </w:t>
      </w:r>
      <w:proofErr w:type="spellStart"/>
      <w:r w:rsidRPr="00B82BDF">
        <w:t>consentement</w:t>
      </w:r>
      <w:proofErr w:type="spellEnd"/>
      <w:r w:rsidRPr="00B82BDF">
        <w:t xml:space="preserve"> d’un </w:t>
      </w:r>
      <w:proofErr w:type="spellStart"/>
      <w:r w:rsidRPr="00B82BDF">
        <w:t>mineur</w:t>
      </w:r>
      <w:proofErr w:type="spellEnd"/>
      <w:r w:rsidRPr="00B82BDF">
        <w:t xml:space="preserve"> de </w:t>
      </w:r>
      <w:proofErr w:type="spellStart"/>
      <w:r w:rsidRPr="00B82BDF">
        <w:t>moins</w:t>
      </w:r>
      <w:proofErr w:type="spellEnd"/>
      <w:r w:rsidRPr="00B82BDF">
        <w:t xml:space="preserve"> de quinze </w:t>
      </w:r>
      <w:proofErr w:type="spellStart"/>
      <w:r w:rsidRPr="00B82BDF">
        <w:t>ans</w:t>
      </w:r>
      <w:proofErr w:type="spellEnd"/>
      <w:r w:rsidRPr="00B82BDF">
        <w:t xml:space="preserve"> d’un </w:t>
      </w:r>
      <w:proofErr w:type="spellStart"/>
      <w:r w:rsidRPr="00B82BDF">
        <w:t>poids</w:t>
      </w:r>
      <w:proofErr w:type="spellEnd"/>
      <w:r w:rsidRPr="00B82BDF">
        <w:t xml:space="preserve"> </w:t>
      </w:r>
      <w:proofErr w:type="spellStart"/>
      <w:r w:rsidRPr="00B82BDF">
        <w:t>équivalent</w:t>
      </w:r>
      <w:proofErr w:type="spellEnd"/>
      <w:r w:rsidRPr="00B82BDF">
        <w:t xml:space="preserve"> à </w:t>
      </w:r>
      <w:proofErr w:type="spellStart"/>
      <w:r w:rsidRPr="00B82BDF">
        <w:t>celui</w:t>
      </w:r>
      <w:proofErr w:type="spellEnd"/>
      <w:r w:rsidRPr="00B82BDF">
        <w:t xml:space="preserve"> d’un </w:t>
      </w:r>
      <w:proofErr w:type="spellStart"/>
      <w:r w:rsidRPr="00B82BDF">
        <w:t>adulte</w:t>
      </w:r>
      <w:proofErr w:type="spellEnd"/>
      <w:r w:rsidRPr="00B82BDF">
        <w:t xml:space="preserve"> ne </w:t>
      </w:r>
      <w:proofErr w:type="spellStart"/>
      <w:r w:rsidRPr="00B82BDF">
        <w:t>peut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aucun</w:t>
      </w:r>
      <w:proofErr w:type="spellEnd"/>
      <w:r w:rsidRPr="00B82BDF">
        <w:t xml:space="preserve"> </w:t>
      </w:r>
      <w:proofErr w:type="spellStart"/>
      <w:r w:rsidRPr="00B82BDF">
        <w:t>cas</w:t>
      </w:r>
      <w:proofErr w:type="spellEnd"/>
      <w:r w:rsidRPr="00B82BDF">
        <w:t xml:space="preserve"> </w:t>
      </w:r>
      <w:proofErr w:type="spellStart"/>
      <w:r w:rsidRPr="00B82BDF">
        <w:t>être</w:t>
      </w:r>
      <w:proofErr w:type="spellEnd"/>
      <w:r w:rsidRPr="00B82BDF">
        <w:t xml:space="preserve"> admissible.</w:t>
      </w:r>
    </w:p>
    <w:p w14:paraId="63A04D04" w14:textId="77777777" w:rsidR="008A7B1D" w:rsidRPr="00B82BDF" w:rsidRDefault="008A7B1D" w:rsidP="008A7B1D">
      <w:pPr>
        <w:pStyle w:val="ECHRHeading4"/>
        <w:numPr>
          <w:ilvl w:val="0"/>
          <w:numId w:val="21"/>
        </w:numPr>
        <w:ind w:left="975" w:hanging="340"/>
      </w:pPr>
      <w:r w:rsidRPr="00B82BDF">
        <w:lastRenderedPageBreak/>
        <w:t xml:space="preserve">Application des </w:t>
      </w:r>
      <w:proofErr w:type="spellStart"/>
      <w:r w:rsidRPr="00B82BDF">
        <w:t>principes</w:t>
      </w:r>
      <w:proofErr w:type="spellEnd"/>
      <w:r w:rsidRPr="00B82BDF">
        <w:t xml:space="preserve"> aux </w:t>
      </w:r>
      <w:proofErr w:type="spellStart"/>
      <w:r w:rsidRPr="00B82BDF">
        <w:t>cas</w:t>
      </w:r>
      <w:proofErr w:type="spellEnd"/>
      <w:r w:rsidRPr="00B82BDF">
        <w:t xml:space="preserve"> </w:t>
      </w:r>
      <w:proofErr w:type="spellStart"/>
      <w:r w:rsidRPr="00B82BDF">
        <w:t>d’espèce</w:t>
      </w:r>
      <w:proofErr w:type="spellEnd"/>
    </w:p>
    <w:p w14:paraId="17B78F96" w14:textId="77777777" w:rsidR="008A7B1D" w:rsidRPr="00B82BDF" w:rsidRDefault="008A7B1D" w:rsidP="008A7B1D">
      <w:pPr>
        <w:pStyle w:val="ECHRHeading5"/>
        <w:numPr>
          <w:ilvl w:val="0"/>
          <w:numId w:val="21"/>
        </w:numPr>
        <w:ind w:left="1190" w:hanging="357"/>
      </w:pPr>
      <w:proofErr w:type="spellStart"/>
      <w:r w:rsidRPr="00B82BDF">
        <w:t>Considérations</w:t>
      </w:r>
      <w:proofErr w:type="spellEnd"/>
      <w:r w:rsidRPr="00B82BDF">
        <w:t xml:space="preserve"> </w:t>
      </w:r>
      <w:proofErr w:type="spellStart"/>
      <w:r w:rsidRPr="00B82BDF">
        <w:t>liminaires</w:t>
      </w:r>
      <w:proofErr w:type="spellEnd"/>
    </w:p>
    <w:p w14:paraId="780C2E01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203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premier lieu que, dans </w:t>
      </w:r>
      <w:proofErr w:type="spellStart"/>
      <w:r w:rsidRPr="00B82BDF">
        <w:t>leurs</w:t>
      </w:r>
      <w:proofErr w:type="spellEnd"/>
      <w:r w:rsidRPr="00B82BDF">
        <w:t xml:space="preserve"> </w:t>
      </w:r>
      <w:proofErr w:type="spellStart"/>
      <w:r w:rsidRPr="00B82BDF">
        <w:t>requêtes</w:t>
      </w:r>
      <w:proofErr w:type="spellEnd"/>
      <w:r w:rsidRPr="00B82BDF">
        <w:t xml:space="preserve"> </w:t>
      </w:r>
      <w:proofErr w:type="spellStart"/>
      <w:r w:rsidRPr="00B82BDF">
        <w:t>devant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, les trois </w:t>
      </w:r>
      <w:proofErr w:type="spellStart"/>
      <w:r w:rsidRPr="00B82BDF">
        <w:t>requérantes</w:t>
      </w:r>
      <w:proofErr w:type="spellEnd"/>
      <w:r w:rsidRPr="00B82BDF">
        <w:t xml:space="preserve"> </w:t>
      </w:r>
      <w:proofErr w:type="spellStart"/>
      <w:r w:rsidRPr="00B82BDF">
        <w:t>mettent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cause le cadre </w:t>
      </w:r>
      <w:proofErr w:type="spellStart"/>
      <w:r w:rsidRPr="00B82BDF">
        <w:t>juridique</w:t>
      </w:r>
      <w:proofErr w:type="spellEnd"/>
      <w:r w:rsidRPr="00B82BDF">
        <w:t xml:space="preserve"> applicable, </w:t>
      </w:r>
      <w:proofErr w:type="spellStart"/>
      <w:r w:rsidRPr="00B82BDF">
        <w:t>en</w:t>
      </w:r>
      <w:proofErr w:type="spellEnd"/>
      <w:r w:rsidRPr="00B82BDF">
        <w:t xml:space="preserve"> particulier </w:t>
      </w:r>
      <w:proofErr w:type="spellStart"/>
      <w:r w:rsidRPr="00B82BDF">
        <w:t>l’incrimination</w:t>
      </w:r>
      <w:proofErr w:type="spellEnd"/>
      <w:r w:rsidRPr="00B82BDF">
        <w:t xml:space="preserve"> de viol, et </w:t>
      </w:r>
      <w:proofErr w:type="spellStart"/>
      <w:r w:rsidRPr="00B82BDF">
        <w:t>contestent</w:t>
      </w:r>
      <w:proofErr w:type="spellEnd"/>
      <w:r w:rsidRPr="00B82BDF">
        <w:t xml:space="preserve"> </w:t>
      </w:r>
      <w:proofErr w:type="spellStart"/>
      <w:r w:rsidRPr="00B82BDF">
        <w:t>également</w:t>
      </w:r>
      <w:proofErr w:type="spellEnd"/>
      <w:r w:rsidRPr="00B82BDF">
        <w:t xml:space="preserve"> la manière </w:t>
      </w:r>
      <w:proofErr w:type="spellStart"/>
      <w:r w:rsidRPr="00B82BDF">
        <w:t>dont</w:t>
      </w:r>
      <w:proofErr w:type="spellEnd"/>
      <w:r w:rsidRPr="00B82BDF">
        <w:t xml:space="preserve"> il </w:t>
      </w:r>
      <w:proofErr w:type="spellStart"/>
      <w:r w:rsidRPr="00B82BDF">
        <w:t>leur</w:t>
      </w:r>
      <w:proofErr w:type="spellEnd"/>
      <w:r w:rsidRPr="00B82BDF">
        <w:t xml:space="preserve"> a </w:t>
      </w:r>
      <w:proofErr w:type="spellStart"/>
      <w:r w:rsidRPr="00B82BDF">
        <w:t>été</w:t>
      </w:r>
      <w:proofErr w:type="spellEnd"/>
      <w:r w:rsidRPr="00B82BDF">
        <w:t xml:space="preserve"> appliqué. </w:t>
      </w:r>
      <w:proofErr w:type="spellStart"/>
      <w:r w:rsidRPr="00B82BDF">
        <w:t>Elles</w:t>
      </w:r>
      <w:proofErr w:type="spellEnd"/>
      <w:r w:rsidRPr="00B82BDF">
        <w:t xml:space="preserve"> </w:t>
      </w:r>
      <w:proofErr w:type="spellStart"/>
      <w:r w:rsidRPr="00B82BDF">
        <w:t>soutiennent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particulier que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de </w:t>
      </w:r>
      <w:proofErr w:type="spellStart"/>
      <w:r w:rsidRPr="00B82BDF">
        <w:t>leur</w:t>
      </w:r>
      <w:proofErr w:type="spellEnd"/>
      <w:r w:rsidRPr="00B82BDF">
        <w:t xml:space="preserve"> part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dûment</w:t>
      </w:r>
      <w:proofErr w:type="spellEnd"/>
      <w:r w:rsidRPr="00B82BDF">
        <w:t xml:space="preserve"> prise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par les </w:t>
      </w:r>
      <w:proofErr w:type="spellStart"/>
      <w:r w:rsidRPr="00B82BDF">
        <w:t>autorités</w:t>
      </w:r>
      <w:proofErr w:type="spellEnd"/>
      <w:r w:rsidRPr="00B82BDF">
        <w:t>.</w:t>
      </w:r>
    </w:p>
    <w:p w14:paraId="064DC544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</w:rPr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204</w:t>
      </w:r>
      <w:r w:rsidRPr="00B82BDF">
        <w:rPr>
          <w:noProof/>
        </w:rPr>
        <w:fldChar w:fldCharType="end"/>
      </w:r>
      <w:r w:rsidRPr="00B82BDF">
        <w:t xml:space="preserve">.  Pour la </w:t>
      </w:r>
      <w:proofErr w:type="spellStart"/>
      <w:r w:rsidRPr="00B82BDF">
        <w:t>Cour</w:t>
      </w:r>
      <w:proofErr w:type="spellEnd"/>
      <w:r w:rsidRPr="00B82BDF">
        <w:t xml:space="preserve">, il </w:t>
      </w:r>
      <w:proofErr w:type="spellStart"/>
      <w:r w:rsidRPr="00B82BDF">
        <w:t>s’agit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l’espèce</w:t>
      </w:r>
      <w:proofErr w:type="spellEnd"/>
      <w:r w:rsidRPr="00B82BDF">
        <w:t xml:space="preserve"> de </w:t>
      </w:r>
      <w:proofErr w:type="spellStart"/>
      <w:r w:rsidRPr="00B82BDF">
        <w:t>déterminer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agi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conformité</w:t>
      </w:r>
      <w:proofErr w:type="spellEnd"/>
      <w:r w:rsidRPr="00B82BDF">
        <w:t xml:space="preserve"> avec </w:t>
      </w:r>
      <w:proofErr w:type="spellStart"/>
      <w:r w:rsidRPr="00B82BDF">
        <w:t>leurs</w:t>
      </w:r>
      <w:proofErr w:type="spellEnd"/>
      <w:r w:rsidRPr="00B82BDF">
        <w:t xml:space="preserve"> obligations positives, </w:t>
      </w:r>
      <w:proofErr w:type="spellStart"/>
      <w:r w:rsidRPr="00B82BDF">
        <w:t>telles</w:t>
      </w:r>
      <w:proofErr w:type="spellEnd"/>
      <w:r w:rsidRPr="00B82BDF">
        <w:t xml:space="preserve">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découlent</w:t>
      </w:r>
      <w:proofErr w:type="spellEnd"/>
      <w:r w:rsidRPr="00B82BDF">
        <w:t xml:space="preserve"> des articles 3 et 8 de la Convention, pour assurer aux </w:t>
      </w:r>
      <w:proofErr w:type="spellStart"/>
      <w:r w:rsidRPr="00B82BDF">
        <w:t>requérantes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protection effective </w:t>
      </w:r>
      <w:proofErr w:type="spellStart"/>
      <w:r w:rsidRPr="00B82BDF">
        <w:t>contre</w:t>
      </w:r>
      <w:proofErr w:type="spellEnd"/>
      <w:r w:rsidRPr="00B82BDF">
        <w:t xml:space="preserve"> les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non-</w:t>
      </w:r>
      <w:proofErr w:type="spellStart"/>
      <w:r w:rsidRPr="00B82BDF">
        <w:t>consentis</w:t>
      </w:r>
      <w:proofErr w:type="spellEnd"/>
      <w:r w:rsidRPr="00B82BDF">
        <w:t xml:space="preserve">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affirment</w:t>
      </w:r>
      <w:proofErr w:type="spellEnd"/>
      <w:r w:rsidRPr="00B82BDF">
        <w:t xml:space="preserve">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subis</w:t>
      </w:r>
      <w:proofErr w:type="spellEnd"/>
      <w:r w:rsidRPr="00B82BDF">
        <w:t>.</w:t>
      </w:r>
      <w:r w:rsidRPr="00B82BDF">
        <w:rPr>
          <w:rFonts w:ascii="Times New Roman" w:hAnsi="Times New Roman" w:cs="Times New Roman"/>
        </w:rPr>
        <w:t xml:space="preserve"> </w:t>
      </w:r>
      <w:r w:rsidRPr="00B82BDF">
        <w:rPr>
          <w:rFonts w:ascii="Times New Roman" w:hAnsi="Times New Roman" w:cs="Times New Roman"/>
          <w:color w:val="000000"/>
        </w:rPr>
        <w:t xml:space="preserve">Il </w:t>
      </w:r>
      <w:proofErr w:type="spellStart"/>
      <w:r w:rsidRPr="00B82BDF">
        <w:rPr>
          <w:rFonts w:ascii="Times New Roman" w:hAnsi="Times New Roman" w:cs="Times New Roman"/>
          <w:color w:val="000000"/>
        </w:rPr>
        <w:t>lui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appartient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donc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d’examiner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si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2BDF">
        <w:rPr>
          <w:rFonts w:ascii="Times New Roman" w:hAnsi="Times New Roman" w:cs="Times New Roman"/>
          <w:color w:val="000000"/>
        </w:rPr>
        <w:t>comme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Pr="00B82BDF">
        <w:rPr>
          <w:rFonts w:ascii="Times New Roman" w:hAnsi="Times New Roman" w:cs="Times New Roman"/>
          <w:color w:val="000000"/>
        </w:rPr>
        <w:t>soutiennent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les </w:t>
      </w:r>
      <w:proofErr w:type="spellStart"/>
      <w:r w:rsidRPr="00B82BDF">
        <w:rPr>
          <w:rFonts w:ascii="Times New Roman" w:hAnsi="Times New Roman" w:cs="Times New Roman"/>
          <w:color w:val="000000"/>
        </w:rPr>
        <w:t>requérantes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le cadre </w:t>
      </w:r>
      <w:proofErr w:type="spellStart"/>
      <w:r w:rsidRPr="00B82BDF">
        <w:rPr>
          <w:rFonts w:ascii="Times New Roman" w:hAnsi="Times New Roman" w:cs="Times New Roman"/>
          <w:color w:val="000000"/>
        </w:rPr>
        <w:t>juridique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applicable à la date des faits </w:t>
      </w:r>
      <w:proofErr w:type="spellStart"/>
      <w:r w:rsidRPr="00B82BDF">
        <w:rPr>
          <w:rFonts w:ascii="Times New Roman" w:hAnsi="Times New Roman" w:cs="Times New Roman"/>
          <w:color w:val="000000"/>
        </w:rPr>
        <w:t>litigieux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ainsi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que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l’approche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retenue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par les </w:t>
      </w:r>
      <w:proofErr w:type="spellStart"/>
      <w:r w:rsidRPr="00B82BDF">
        <w:rPr>
          <w:rFonts w:ascii="Times New Roman" w:hAnsi="Times New Roman" w:cs="Times New Roman"/>
          <w:color w:val="000000"/>
        </w:rPr>
        <w:t>autorités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pour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l’appréciation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faits et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l’application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B82BDF">
        <w:rPr>
          <w:rFonts w:ascii="Times New Roman" w:hAnsi="Times New Roman" w:cs="Times New Roman"/>
          <w:color w:val="000000"/>
        </w:rPr>
        <w:t>ce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cadre </w:t>
      </w:r>
      <w:proofErr w:type="spellStart"/>
      <w:r w:rsidRPr="00B82BDF">
        <w:rPr>
          <w:rFonts w:ascii="Times New Roman" w:hAnsi="Times New Roman" w:cs="Times New Roman"/>
          <w:color w:val="000000"/>
        </w:rPr>
        <w:t>juridique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dans les </w:t>
      </w:r>
      <w:proofErr w:type="spellStart"/>
      <w:r w:rsidRPr="00B82BDF">
        <w:rPr>
          <w:rFonts w:ascii="Times New Roman" w:hAnsi="Times New Roman" w:cs="Times New Roman"/>
          <w:color w:val="000000"/>
        </w:rPr>
        <w:t>présentes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affaires, y </w:t>
      </w:r>
      <w:proofErr w:type="spellStart"/>
      <w:r w:rsidRPr="00B82BDF">
        <w:rPr>
          <w:rFonts w:ascii="Times New Roman" w:hAnsi="Times New Roman" w:cs="Times New Roman"/>
          <w:color w:val="000000"/>
        </w:rPr>
        <w:t>compris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B82BDF">
        <w:rPr>
          <w:rFonts w:ascii="Times New Roman" w:hAnsi="Times New Roman" w:cs="Times New Roman"/>
          <w:color w:val="000000"/>
        </w:rPr>
        <w:t>conduite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</w:t>
      </w:r>
      <w:proofErr w:type="spellStart"/>
      <w:r w:rsidRPr="00B82BDF">
        <w:rPr>
          <w:rFonts w:ascii="Times New Roman" w:hAnsi="Times New Roman" w:cs="Times New Roman"/>
          <w:color w:val="000000"/>
        </w:rPr>
        <w:t>enquêtes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2BDF">
        <w:rPr>
          <w:rFonts w:ascii="Times New Roman" w:hAnsi="Times New Roman" w:cs="Times New Roman"/>
          <w:color w:val="000000"/>
        </w:rPr>
        <w:t>ont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été</w:t>
      </w:r>
      <w:proofErr w:type="spellEnd"/>
      <w:r w:rsidRPr="00B82BDF">
        <w:rPr>
          <w:rFonts w:ascii="Times New Roman" w:hAnsi="Times New Roman" w:cs="Times New Roman"/>
        </w:rPr>
        <w:t xml:space="preserve"> </w:t>
      </w:r>
      <w:proofErr w:type="spellStart"/>
      <w:r w:rsidRPr="00B82BDF">
        <w:rPr>
          <w:rFonts w:ascii="Times New Roman" w:hAnsi="Times New Roman" w:cs="Times New Roman"/>
        </w:rPr>
        <w:t>défaillants</w:t>
      </w:r>
      <w:proofErr w:type="spellEnd"/>
      <w:r w:rsidRPr="00B82BDF">
        <w:rPr>
          <w:rFonts w:ascii="Times New Roman" w:hAnsi="Times New Roman" w:cs="Times New Roman"/>
        </w:rPr>
        <w:t xml:space="preserve"> au point </w:t>
      </w:r>
      <w:proofErr w:type="spellStart"/>
      <w:r w:rsidRPr="00B82BDF">
        <w:rPr>
          <w:rFonts w:ascii="Times New Roman" w:hAnsi="Times New Roman" w:cs="Times New Roman"/>
        </w:rPr>
        <w:t>d’emporter</w:t>
      </w:r>
      <w:proofErr w:type="spellEnd"/>
      <w:r w:rsidRPr="00B82BDF">
        <w:rPr>
          <w:rFonts w:ascii="Times New Roman" w:hAnsi="Times New Roman" w:cs="Times New Roman"/>
        </w:rPr>
        <w:t xml:space="preserve"> violation de </w:t>
      </w:r>
      <w:proofErr w:type="spellStart"/>
      <w:r w:rsidRPr="00B82BDF">
        <w:rPr>
          <w:rFonts w:ascii="Times New Roman" w:hAnsi="Times New Roman" w:cs="Times New Roman"/>
        </w:rPr>
        <w:t>ces</w:t>
      </w:r>
      <w:proofErr w:type="spellEnd"/>
      <w:r w:rsidRPr="00B82BDF">
        <w:rPr>
          <w:rFonts w:ascii="Times New Roman" w:hAnsi="Times New Roman" w:cs="Times New Roman"/>
        </w:rPr>
        <w:t xml:space="preserve"> obligations (</w:t>
      </w:r>
      <w:r w:rsidRPr="00B82BDF">
        <w:rPr>
          <w:rFonts w:ascii="Times New Roman" w:hAnsi="Times New Roman" w:cs="Times New Roman"/>
          <w:i/>
          <w:iCs/>
        </w:rPr>
        <w:t>X c. </w:t>
      </w:r>
      <w:proofErr w:type="spellStart"/>
      <w:r w:rsidRPr="00B82BDF">
        <w:rPr>
          <w:rFonts w:ascii="Times New Roman" w:hAnsi="Times New Roman" w:cs="Times New Roman"/>
          <w:i/>
          <w:iCs/>
        </w:rPr>
        <w:t>Grèce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 xml:space="preserve">, § 71, </w:t>
      </w:r>
      <w:r w:rsidRPr="00B82BDF">
        <w:rPr>
          <w:rFonts w:ascii="Times New Roman" w:hAnsi="Times New Roman" w:cs="Times New Roman"/>
          <w:i/>
          <w:iCs/>
          <w:lang w:bidi="en-US"/>
        </w:rPr>
        <w:t>Z c. </w:t>
      </w:r>
      <w:proofErr w:type="spellStart"/>
      <w:r w:rsidRPr="00B82BDF">
        <w:rPr>
          <w:rFonts w:ascii="Times New Roman" w:hAnsi="Times New Roman" w:cs="Times New Roman"/>
          <w:i/>
          <w:iCs/>
          <w:lang w:bidi="en-US"/>
        </w:rPr>
        <w:t>Bulgarie</w:t>
      </w:r>
      <w:proofErr w:type="spellEnd"/>
      <w:r w:rsidRPr="00B82BDF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B82BDF">
        <w:rPr>
          <w:rFonts w:ascii="Times New Roman" w:hAnsi="Times New Roman" w:cs="Times New Roman"/>
          <w:lang w:bidi="en-US"/>
        </w:rPr>
        <w:t>précité</w:t>
      </w:r>
      <w:proofErr w:type="spellEnd"/>
      <w:r w:rsidRPr="00B82BDF">
        <w:rPr>
          <w:rFonts w:ascii="Times New Roman" w:hAnsi="Times New Roman" w:cs="Times New Roman"/>
          <w:lang w:bidi="en-US"/>
        </w:rPr>
        <w:t xml:space="preserve">, § 56, et </w:t>
      </w:r>
      <w:r w:rsidRPr="00B82BDF">
        <w:rPr>
          <w:rFonts w:ascii="Times New Roman" w:hAnsi="Times New Roman" w:cs="Times New Roman"/>
          <w:i/>
          <w:iCs/>
        </w:rPr>
        <w:t>Y. c. </w:t>
      </w:r>
      <w:proofErr w:type="spellStart"/>
      <w:r w:rsidRPr="00B82BDF">
        <w:rPr>
          <w:rFonts w:ascii="Times New Roman" w:hAnsi="Times New Roman" w:cs="Times New Roman"/>
          <w:i/>
          <w:iCs/>
        </w:rPr>
        <w:t>République</w:t>
      </w:r>
      <w:proofErr w:type="spellEnd"/>
      <w:r w:rsidRPr="00B82B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/>
          <w:iCs/>
        </w:rPr>
        <w:t>Tchèque</w:t>
      </w:r>
      <w:proofErr w:type="spellEnd"/>
      <w:r w:rsidRPr="00B82BDF">
        <w:rPr>
          <w:rFonts w:ascii="Times New Roman" w:hAnsi="Times New Roman" w:cs="Times New Roman"/>
        </w:rPr>
        <w:t xml:space="preserve">, </w:t>
      </w:r>
      <w:proofErr w:type="spellStart"/>
      <w:r w:rsidRPr="00B82BDF">
        <w:rPr>
          <w:rFonts w:ascii="Times New Roman" w:hAnsi="Times New Roman" w:cs="Times New Roman"/>
        </w:rPr>
        <w:t>précité</w:t>
      </w:r>
      <w:proofErr w:type="spellEnd"/>
      <w:r w:rsidRPr="00B82BDF">
        <w:rPr>
          <w:rFonts w:ascii="Times New Roman" w:hAnsi="Times New Roman" w:cs="Times New Roman"/>
        </w:rPr>
        <w:t>, § 61</w:t>
      </w:r>
      <w:r w:rsidRPr="00B82BDF">
        <w:rPr>
          <w:rFonts w:ascii="Times New Roman" w:hAnsi="Times New Roman" w:cs="Times New Roman"/>
          <w:lang w:bidi="en-US"/>
        </w:rPr>
        <w:t>)</w:t>
      </w:r>
      <w:r w:rsidRPr="00B82BDF">
        <w:rPr>
          <w:rFonts w:ascii="Times New Roman" w:hAnsi="Times New Roman" w:cs="Times New Roman"/>
        </w:rPr>
        <w:t>.</w:t>
      </w:r>
    </w:p>
    <w:p w14:paraId="70958091" w14:textId="77777777" w:rsidR="008A7B1D" w:rsidRPr="00B82BDF" w:rsidRDefault="008A7B1D" w:rsidP="008A7B1D">
      <w:pPr>
        <w:pStyle w:val="ECHRPara"/>
      </w:pPr>
      <w:r w:rsidRPr="00B82BDF">
        <w:rPr>
          <w:rFonts w:ascii="Times New Roman" w:hAnsi="Times New Roman" w:cs="Times New Roman"/>
        </w:rPr>
        <w:fldChar w:fldCharType="begin"/>
      </w:r>
      <w:r w:rsidRPr="00B82BDF">
        <w:rPr>
          <w:rFonts w:ascii="Times New Roman" w:hAnsi="Times New Roman" w:cs="Times New Roman"/>
        </w:rPr>
        <w:instrText xml:space="preserve"> SEQ level0 \*arabic \* MERGEFORMAT </w:instrText>
      </w:r>
      <w:r w:rsidRPr="00B82BDF">
        <w:rPr>
          <w:rFonts w:ascii="Times New Roman" w:hAnsi="Times New Roman" w:cs="Times New Roman"/>
        </w:rPr>
        <w:fldChar w:fldCharType="separate"/>
      </w:r>
      <w:r w:rsidRPr="00B82BDF">
        <w:rPr>
          <w:rFonts w:ascii="Times New Roman" w:hAnsi="Times New Roman" w:cs="Times New Roman"/>
          <w:noProof/>
        </w:rPr>
        <w:t>205</w:t>
      </w:r>
      <w:r w:rsidRPr="00B82BDF">
        <w:rPr>
          <w:rFonts w:ascii="Times New Roman" w:hAnsi="Times New Roman" w:cs="Times New Roman"/>
        </w:rPr>
        <w:fldChar w:fldCharType="end"/>
      </w:r>
      <w:r w:rsidRPr="00B82BDF">
        <w:rPr>
          <w:rFonts w:ascii="Times New Roman" w:hAnsi="Times New Roman" w:cs="Times New Roman"/>
        </w:rPr>
        <w:t>.  </w:t>
      </w:r>
      <w:r w:rsidRPr="00B82BDF">
        <w:t xml:space="preserve">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rappelle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second lieu que, </w:t>
      </w:r>
      <w:proofErr w:type="spellStart"/>
      <w:r w:rsidRPr="00B82BDF">
        <w:t>ce</w:t>
      </w:r>
      <w:proofErr w:type="spellEnd"/>
      <w:r w:rsidRPr="00B82BDF">
        <w:t xml:space="preserve"> </w:t>
      </w:r>
      <w:proofErr w:type="spellStart"/>
      <w:r w:rsidRPr="00B82BDF">
        <w:t>faisant</w:t>
      </w:r>
      <w:proofErr w:type="spellEnd"/>
      <w:r w:rsidRPr="00B82BDF">
        <w:t xml:space="preserve">, </w:t>
      </w:r>
      <w:proofErr w:type="spellStart"/>
      <w:r w:rsidRPr="00B82BDF">
        <w:t>elle</w:t>
      </w:r>
      <w:proofErr w:type="spellEnd"/>
      <w:r w:rsidRPr="00B82BDF">
        <w:t xml:space="preserve"> ne </w:t>
      </w:r>
      <w:proofErr w:type="spellStart"/>
      <w:r w:rsidRPr="00B82BDF">
        <w:t>saurait</w:t>
      </w:r>
      <w:proofErr w:type="spellEnd"/>
      <w:r w:rsidRPr="00B82BDF">
        <w:t xml:space="preserve"> se </w:t>
      </w:r>
      <w:proofErr w:type="spellStart"/>
      <w:r w:rsidRPr="00B82BDF">
        <w:t>substituer</w:t>
      </w:r>
      <w:proofErr w:type="spellEnd"/>
      <w:r w:rsidRPr="00B82BDF">
        <w:t xml:space="preserve"> aux </w:t>
      </w:r>
      <w:proofErr w:type="spellStart"/>
      <w:r w:rsidRPr="00B82BDF">
        <w:t>autorités</w:t>
      </w:r>
      <w:proofErr w:type="spellEnd"/>
      <w:r w:rsidRPr="00B82BDF">
        <w:t xml:space="preserve"> internes dans </w:t>
      </w:r>
      <w:proofErr w:type="spellStart"/>
      <w:r w:rsidRPr="00B82BDF">
        <w:t>l’appréciation</w:t>
      </w:r>
      <w:proofErr w:type="spellEnd"/>
      <w:r w:rsidRPr="00B82BDF">
        <w:t xml:space="preserve"> des faits de la cause </w:t>
      </w:r>
      <w:proofErr w:type="spellStart"/>
      <w:r w:rsidRPr="00B82BDF">
        <w:t>ni</w:t>
      </w:r>
      <w:proofErr w:type="spellEnd"/>
      <w:r w:rsidRPr="00B82BDF">
        <w:t xml:space="preserve"> </w:t>
      </w:r>
      <w:proofErr w:type="spellStart"/>
      <w:r w:rsidRPr="00B82BDF">
        <w:t>statuer</w:t>
      </w:r>
      <w:proofErr w:type="spellEnd"/>
      <w:r w:rsidRPr="00B82BDF">
        <w:t xml:space="preserve"> sur la </w:t>
      </w:r>
      <w:proofErr w:type="spellStart"/>
      <w:r w:rsidRPr="00B82BDF">
        <w:t>responsabilité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des </w:t>
      </w:r>
      <w:proofErr w:type="spellStart"/>
      <w:r w:rsidRPr="00B82BDF">
        <w:t>agresseurs</w:t>
      </w:r>
      <w:proofErr w:type="spellEnd"/>
      <w:r w:rsidRPr="00B82BDF">
        <w:t xml:space="preserve"> </w:t>
      </w:r>
      <w:proofErr w:type="spellStart"/>
      <w:r w:rsidRPr="00B82BDF">
        <w:t>présumés</w:t>
      </w:r>
      <w:proofErr w:type="spellEnd"/>
      <w:r w:rsidRPr="00B82BDF">
        <w:t xml:space="preserve"> (</w:t>
      </w:r>
      <w:r w:rsidRPr="00B82BDF">
        <w:rPr>
          <w:i/>
          <w:iCs/>
        </w:rPr>
        <w:t>M.C</w:t>
      </w:r>
      <w:r w:rsidRPr="00B82BDF">
        <w:t>. </w:t>
      </w:r>
      <w:r w:rsidRPr="00B82BDF">
        <w:rPr>
          <w:i/>
          <w:iCs/>
        </w:rPr>
        <w:t>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168, et </w:t>
      </w:r>
      <w:r w:rsidRPr="00B82BDF">
        <w:rPr>
          <w:i/>
          <w:iCs/>
        </w:rPr>
        <w:t>J.L. c. Italie</w:t>
      </w:r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122).</w:t>
      </w:r>
    </w:p>
    <w:p w14:paraId="327223BA" w14:textId="77777777" w:rsidR="008A7B1D" w:rsidRPr="00B82BDF" w:rsidRDefault="008A7B1D" w:rsidP="008A7B1D">
      <w:pPr>
        <w:pStyle w:val="ECHRHeading5"/>
        <w:numPr>
          <w:ilvl w:val="0"/>
          <w:numId w:val="21"/>
        </w:numPr>
        <w:ind w:left="1190" w:hanging="357"/>
      </w:pPr>
      <w:r w:rsidRPr="00B82BDF">
        <w:t xml:space="preserve">Sur le respect par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de </w:t>
      </w:r>
      <w:proofErr w:type="spellStart"/>
      <w:r w:rsidRPr="00B82BDF">
        <w:t>ses</w:t>
      </w:r>
      <w:proofErr w:type="spellEnd"/>
      <w:r w:rsidRPr="00B82BDF">
        <w:t xml:space="preserve"> obligations positives au titre des articles 3 et 8 de la Convention (</w:t>
      </w:r>
      <w:proofErr w:type="spellStart"/>
      <w:r w:rsidRPr="00B82BDF">
        <w:t>combinés</w:t>
      </w:r>
      <w:proofErr w:type="spellEnd"/>
      <w:r w:rsidRPr="00B82BDF">
        <w:t xml:space="preserve"> avec </w:t>
      </w:r>
      <w:proofErr w:type="spellStart"/>
      <w:r w:rsidRPr="00B82BDF">
        <w:t>l’article</w:t>
      </w:r>
      <w:proofErr w:type="spellEnd"/>
      <w:r w:rsidRPr="00B82BDF">
        <w:t xml:space="preserve"> 14 </w:t>
      </w:r>
      <w:proofErr w:type="spellStart"/>
      <w:r w:rsidRPr="00B82BDF">
        <w:t>s’agissant</w:t>
      </w:r>
      <w:proofErr w:type="spellEnd"/>
      <w:r w:rsidRPr="00B82BDF">
        <w:t xml:space="preserve"> de la </w:t>
      </w:r>
      <w:proofErr w:type="spellStart"/>
      <w:r w:rsidRPr="00B82BDF">
        <w:t>requête</w:t>
      </w:r>
      <w:proofErr w:type="spellEnd"/>
      <w:r w:rsidRPr="00B82BDF">
        <w:t xml:space="preserve"> n</w:t>
      </w:r>
      <w:r w:rsidRPr="00B82BDF">
        <w:rPr>
          <w:vertAlign w:val="superscript"/>
        </w:rPr>
        <w:t>o</w:t>
      </w:r>
      <w:r w:rsidRPr="00B82BDF">
        <w:t> 46949/21)</w:t>
      </w:r>
    </w:p>
    <w:p w14:paraId="5FD16385" w14:textId="77777777" w:rsidR="008A7B1D" w:rsidRPr="00B82BDF" w:rsidRDefault="008A7B1D" w:rsidP="008A7B1D">
      <w:pPr>
        <w:pStyle w:val="ECHRHeading6"/>
        <w:numPr>
          <w:ilvl w:val="0"/>
          <w:numId w:val="21"/>
        </w:numPr>
        <w:ind w:left="1373" w:hanging="335"/>
      </w:pPr>
      <w:proofErr w:type="spellStart"/>
      <w:r w:rsidRPr="00B82BDF">
        <w:t>Considérations</w:t>
      </w:r>
      <w:proofErr w:type="spellEnd"/>
      <w:r w:rsidRPr="00B82BDF">
        <w:t xml:space="preserve"> </w:t>
      </w:r>
      <w:proofErr w:type="gramStart"/>
      <w:r w:rsidRPr="00B82BDF">
        <w:t>communes</w:t>
      </w:r>
      <w:proofErr w:type="gramEnd"/>
      <w:r w:rsidRPr="00B82BDF">
        <w:t xml:space="preserve"> aux trois </w:t>
      </w:r>
      <w:proofErr w:type="spellStart"/>
      <w:r w:rsidRPr="00B82BDF">
        <w:t>requêtes</w:t>
      </w:r>
      <w:proofErr w:type="spellEnd"/>
    </w:p>
    <w:p w14:paraId="7EE3D40F" w14:textId="77777777" w:rsidR="008A7B1D" w:rsidRPr="00B82BDF" w:rsidRDefault="008A7B1D" w:rsidP="008A7B1D">
      <w:pPr>
        <w:pStyle w:val="ECHRHeading7"/>
        <w:numPr>
          <w:ilvl w:val="0"/>
          <w:numId w:val="21"/>
        </w:numPr>
        <w:ind w:left="1236"/>
      </w:pPr>
      <w:r w:rsidRPr="00B82BDF">
        <w:t xml:space="preserve">Sur le cadre </w:t>
      </w:r>
      <w:proofErr w:type="spellStart"/>
      <w:r w:rsidRPr="00B82BDF">
        <w:t>juridique</w:t>
      </w:r>
      <w:proofErr w:type="spellEnd"/>
      <w:r w:rsidRPr="00B82BDF">
        <w:t xml:space="preserve"> applicable</w:t>
      </w:r>
    </w:p>
    <w:p w14:paraId="054B2F20" w14:textId="77777777" w:rsidR="008A7B1D" w:rsidRPr="00B82BDF" w:rsidRDefault="008A7B1D" w:rsidP="008A7B1D">
      <w:pPr>
        <w:pStyle w:val="ECHRPara"/>
        <w:ind w:firstLine="0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206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que </w:t>
      </w:r>
      <w:proofErr w:type="spellStart"/>
      <w:r w:rsidRPr="00B82BDF">
        <w:t>l’incrimination</w:t>
      </w:r>
      <w:proofErr w:type="spellEnd"/>
      <w:r w:rsidRPr="00B82BDF">
        <w:t xml:space="preserve"> de viol </w:t>
      </w:r>
      <w:proofErr w:type="spellStart"/>
      <w:r w:rsidRPr="00B82BDF">
        <w:t>prévue</w:t>
      </w:r>
      <w:proofErr w:type="spellEnd"/>
      <w:r w:rsidRPr="00B82BDF">
        <w:t xml:space="preserve"> à </w:t>
      </w:r>
      <w:proofErr w:type="spellStart"/>
      <w:r w:rsidRPr="00B82BDF">
        <w:t>l’article</w:t>
      </w:r>
      <w:proofErr w:type="spellEnd"/>
      <w:r w:rsidRPr="00B82BDF">
        <w:t> 222-23 du CP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paragraph00091 \h \* CharFormat </w:instrText>
      </w:r>
      <w:r w:rsidRPr="00B82BDF">
        <w:fldChar w:fldCharType="separate"/>
      </w:r>
      <w:r w:rsidRPr="00B82BDF">
        <w:t>91</w:t>
      </w:r>
      <w:r w:rsidRPr="00B82BDF">
        <w:fldChar w:fldCharType="end"/>
      </w:r>
      <w:r w:rsidRPr="00B82BDF">
        <w:t xml:space="preserve"> ci-dessus) ne </w:t>
      </w:r>
      <w:proofErr w:type="spellStart"/>
      <w:r w:rsidRPr="00B82BDF">
        <w:t>comprend</w:t>
      </w:r>
      <w:proofErr w:type="spellEnd"/>
      <w:r w:rsidRPr="00B82BDF">
        <w:t xml:space="preserve"> </w:t>
      </w:r>
      <w:proofErr w:type="spellStart"/>
      <w:r w:rsidRPr="00B82BDF">
        <w:t>aucune</w:t>
      </w:r>
      <w:proofErr w:type="spellEnd"/>
      <w:r w:rsidRPr="00B82BDF">
        <w:t xml:space="preserve"> </w:t>
      </w:r>
      <w:proofErr w:type="spellStart"/>
      <w:r w:rsidRPr="00B82BDF">
        <w:t>référence</w:t>
      </w:r>
      <w:proofErr w:type="spellEnd"/>
      <w:r w:rsidRPr="00B82BDF">
        <w:t xml:space="preserve"> </w:t>
      </w:r>
      <w:proofErr w:type="spellStart"/>
      <w:r w:rsidRPr="00B82BDF">
        <w:t>expresse</w:t>
      </w:r>
      <w:proofErr w:type="spellEnd"/>
      <w:r w:rsidRPr="00B82BDF">
        <w:t xml:space="preserve"> à la notion de « </w:t>
      </w:r>
      <w:proofErr w:type="spellStart"/>
      <w:r w:rsidRPr="00B82BDF">
        <w:t>consentement</w:t>
      </w:r>
      <w:proofErr w:type="spellEnd"/>
      <w:r w:rsidRPr="00B82BDF">
        <w:t xml:space="preserve"> ». Il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de </w:t>
      </w:r>
      <w:proofErr w:type="spellStart"/>
      <w:r w:rsidRPr="00B82BDF">
        <w:t>même</w:t>
      </w:r>
      <w:proofErr w:type="spellEnd"/>
      <w:r w:rsidRPr="00B82BDF">
        <w:t xml:space="preserve"> des dispositions </w:t>
      </w:r>
      <w:proofErr w:type="spellStart"/>
      <w:r w:rsidRPr="00B82BDF">
        <w:t>applicables</w:t>
      </w:r>
      <w:proofErr w:type="spellEnd"/>
      <w:r w:rsidRPr="00B82BDF">
        <w:t xml:space="preserve"> aux </w:t>
      </w:r>
      <w:proofErr w:type="spellStart"/>
      <w:r w:rsidRPr="00B82BDF">
        <w:t>agressions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 et aux </w:t>
      </w:r>
      <w:proofErr w:type="spellStart"/>
      <w:r w:rsidRPr="00B82BDF">
        <w:t>agressions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 à </w:t>
      </w:r>
      <w:proofErr w:type="spellStart"/>
      <w:r w:rsidRPr="00B82BDF">
        <w:t>l’encontre</w:t>
      </w:r>
      <w:proofErr w:type="spellEnd"/>
      <w:r w:rsidRPr="00B82BDF">
        <w:t xml:space="preserve"> des </w:t>
      </w:r>
      <w:proofErr w:type="spellStart"/>
      <w:r w:rsidRPr="00B82BDF">
        <w:t>mineurs</w:t>
      </w:r>
      <w:proofErr w:type="spellEnd"/>
      <w:r w:rsidRPr="00B82BDF">
        <w:t xml:space="preserve"> (articles 222-22 et 222-22-1 du CP, </w:t>
      </w:r>
      <w:proofErr w:type="spellStart"/>
      <w:r w:rsidRPr="00B82BDF">
        <w:t>paragraphes</w:t>
      </w:r>
      <w:proofErr w:type="spellEnd"/>
      <w:r w:rsidRPr="00B82BDF">
        <w:t xml:space="preserve"> </w:t>
      </w:r>
      <w:r w:rsidRPr="00B82BDF">
        <w:fldChar w:fldCharType="begin"/>
      </w:r>
      <w:r w:rsidRPr="00B82BDF">
        <w:instrText xml:space="preserve">REF paragraph00091 \h \* CharFormat </w:instrText>
      </w:r>
      <w:r w:rsidRPr="00B82BDF">
        <w:fldChar w:fldCharType="separate"/>
      </w:r>
      <w:r w:rsidRPr="00B82BDF">
        <w:t>91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paragraph00094 \h \* CharFormat </w:instrText>
      </w:r>
      <w:r w:rsidRPr="00B82BDF">
        <w:fldChar w:fldCharType="separate"/>
      </w:r>
      <w:r w:rsidRPr="00B82BDF">
        <w:t>94</w:t>
      </w:r>
      <w:r w:rsidRPr="00B82BDF">
        <w:fldChar w:fldCharType="end"/>
      </w:r>
      <w:r w:rsidRPr="00B82BDF">
        <w:t xml:space="preserve"> ci-dessus). </w:t>
      </w:r>
      <w:proofErr w:type="spellStart"/>
      <w:r w:rsidRPr="00B82BDF">
        <w:t>Toutefois</w:t>
      </w:r>
      <w:proofErr w:type="spellEnd"/>
      <w:r w:rsidRPr="00B82BDF">
        <w:t xml:space="preserve">, le </w:t>
      </w:r>
      <w:proofErr w:type="spellStart"/>
      <w:r w:rsidRPr="00B82BDF">
        <w:t>défaut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de longue date pris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considération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 dans </w:t>
      </w:r>
      <w:proofErr w:type="spellStart"/>
      <w:r w:rsidRPr="00B82BDF">
        <w:t>sa</w:t>
      </w:r>
      <w:proofErr w:type="spellEnd"/>
      <w:r w:rsidRPr="00B82BDF">
        <w:t xml:space="preserve"> jurisprudence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paragraph00104 \h \* CharFormat </w:instrText>
      </w:r>
      <w:r w:rsidRPr="00B82BDF">
        <w:fldChar w:fldCharType="separate"/>
      </w:r>
      <w:r w:rsidRPr="00B82BDF">
        <w:t>104</w:t>
      </w:r>
      <w:r w:rsidRPr="00B82BDF">
        <w:fldChar w:fldCharType="end"/>
      </w:r>
      <w:r w:rsidRPr="00B82BDF">
        <w:t xml:space="preserve"> ci-dessus). Les </w:t>
      </w:r>
      <w:proofErr w:type="spellStart"/>
      <w:r w:rsidRPr="00B82BDF">
        <w:t>juridictions</w:t>
      </w:r>
      <w:proofErr w:type="spellEnd"/>
      <w:r w:rsidRPr="00B82BDF">
        <w:t xml:space="preserve"> internes </w:t>
      </w:r>
      <w:proofErr w:type="spellStart"/>
      <w:r w:rsidRPr="00B82BDF">
        <w:t>s’efforcent</w:t>
      </w:r>
      <w:proofErr w:type="spellEnd"/>
      <w:r w:rsidRPr="00B82BDF">
        <w:t xml:space="preserve"> </w:t>
      </w:r>
      <w:proofErr w:type="spellStart"/>
      <w:r w:rsidRPr="00B82BDF">
        <w:t>ainsi</w:t>
      </w:r>
      <w:proofErr w:type="spellEnd"/>
      <w:r w:rsidRPr="00B82BDF">
        <w:t xml:space="preserve"> de </w:t>
      </w:r>
      <w:proofErr w:type="spellStart"/>
      <w:r w:rsidRPr="00B82BDF">
        <w:t>caractériser</w:t>
      </w:r>
      <w:proofErr w:type="spellEnd"/>
      <w:r w:rsidRPr="00B82BDF">
        <w:t xml:space="preserve"> </w:t>
      </w:r>
      <w:proofErr w:type="spellStart"/>
      <w:r w:rsidRPr="00B82BDF">
        <w:t>l’existence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, dans le respect des droits de la </w:t>
      </w:r>
      <w:proofErr w:type="spellStart"/>
      <w:r w:rsidRPr="00B82BDF">
        <w:t>défense</w:t>
      </w:r>
      <w:proofErr w:type="spellEnd"/>
      <w:r w:rsidRPr="00B82BDF">
        <w:t xml:space="preserve"> de la </w:t>
      </w:r>
      <w:proofErr w:type="spellStart"/>
      <w:r w:rsidRPr="00B82BDF">
        <w:t>personne</w:t>
      </w:r>
      <w:proofErr w:type="spellEnd"/>
      <w:r w:rsidRPr="00B82BDF">
        <w:t xml:space="preserve"> mise </w:t>
      </w:r>
      <w:proofErr w:type="spellStart"/>
      <w:r w:rsidRPr="00B82BDF">
        <w:t>en</w:t>
      </w:r>
      <w:proofErr w:type="spellEnd"/>
      <w:r w:rsidRPr="00B82BDF">
        <w:t xml:space="preserve"> cause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paragraph00105 \h \* CharFormat </w:instrText>
      </w:r>
      <w:r w:rsidRPr="00B82BDF">
        <w:fldChar w:fldCharType="separate"/>
      </w:r>
      <w:r w:rsidRPr="00B82BDF">
        <w:t>105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paragraph00108 \h \* CharFormat </w:instrText>
      </w:r>
      <w:r w:rsidRPr="00B82BDF">
        <w:fldChar w:fldCharType="separate"/>
      </w:r>
      <w:r w:rsidRPr="00B82BDF">
        <w:t>108</w:t>
      </w:r>
      <w:r w:rsidRPr="00B82BDF">
        <w:fldChar w:fldCharType="end"/>
      </w:r>
      <w:r w:rsidRPr="00B82BDF">
        <w:t xml:space="preserve"> ci-dessus) dans un </w:t>
      </w:r>
      <w:proofErr w:type="spellStart"/>
      <w:r w:rsidRPr="00B82BDF">
        <w:t>contexte</w:t>
      </w:r>
      <w:proofErr w:type="spellEnd"/>
      <w:r w:rsidRPr="00B82BDF">
        <w:t xml:space="preserve"> </w:t>
      </w:r>
      <w:proofErr w:type="spellStart"/>
      <w:r w:rsidRPr="00B82BDF">
        <w:t>où</w:t>
      </w:r>
      <w:proofErr w:type="spellEnd"/>
      <w:r w:rsidRPr="00B82BDF">
        <w:t xml:space="preserve"> le </w:t>
      </w:r>
      <w:proofErr w:type="spellStart"/>
      <w:r w:rsidRPr="00B82BDF">
        <w:t>juge</w:t>
      </w:r>
      <w:proofErr w:type="spellEnd"/>
      <w:r w:rsidRPr="00B82BDF">
        <w:t xml:space="preserve"> dispose </w:t>
      </w:r>
      <w:proofErr w:type="spellStart"/>
      <w:r w:rsidRPr="00B82BDF">
        <w:t>parfois</w:t>
      </w:r>
      <w:proofErr w:type="spellEnd"/>
      <w:r w:rsidRPr="00B82BDF">
        <w:t xml:space="preserve"> de </w:t>
      </w:r>
      <w:proofErr w:type="spellStart"/>
      <w:r w:rsidRPr="00B82BDF">
        <w:t>très</w:t>
      </w:r>
      <w:proofErr w:type="spellEnd"/>
      <w:r w:rsidRPr="00B82BDF">
        <w:t xml:space="preserve"> </w:t>
      </w:r>
      <w:proofErr w:type="spellStart"/>
      <w:r w:rsidRPr="00B82BDF">
        <w:t>peu</w:t>
      </w:r>
      <w:proofErr w:type="spellEnd"/>
      <w:r w:rsidRPr="00B82BDF">
        <w:t xml:space="preserve"> </w:t>
      </w:r>
      <w:proofErr w:type="spellStart"/>
      <w:r w:rsidRPr="00B82BDF">
        <w:t>d’éléments</w:t>
      </w:r>
      <w:proofErr w:type="spellEnd"/>
      <w:r w:rsidRPr="00B82BDF">
        <w:t xml:space="preserve"> </w:t>
      </w:r>
      <w:proofErr w:type="spellStart"/>
      <w:r w:rsidRPr="00B82BDF">
        <w:t>autres</w:t>
      </w:r>
      <w:proofErr w:type="spellEnd"/>
      <w:r w:rsidRPr="00B82BDF">
        <w:t xml:space="preserve"> que les </w:t>
      </w:r>
      <w:proofErr w:type="spellStart"/>
      <w:r w:rsidRPr="00B82BDF">
        <w:t>déclarations</w:t>
      </w:r>
      <w:proofErr w:type="spellEnd"/>
      <w:r w:rsidRPr="00B82BDF">
        <w:t xml:space="preserve"> </w:t>
      </w:r>
      <w:proofErr w:type="spellStart"/>
      <w:r w:rsidRPr="00B82BDF">
        <w:t>divergentes</w:t>
      </w:r>
      <w:proofErr w:type="spellEnd"/>
      <w:r w:rsidRPr="00B82BDF">
        <w:t xml:space="preserve"> de </w:t>
      </w:r>
      <w:proofErr w:type="spellStart"/>
      <w:r w:rsidRPr="00B82BDF">
        <w:t>chacune</w:t>
      </w:r>
      <w:proofErr w:type="spellEnd"/>
      <w:r w:rsidRPr="00B82BDF">
        <w:t xml:space="preserve"> des parties. Les </w:t>
      </w:r>
      <w:proofErr w:type="spellStart"/>
      <w:r w:rsidRPr="00B82BDF">
        <w:t>présentes</w:t>
      </w:r>
      <w:proofErr w:type="spellEnd"/>
      <w:r w:rsidRPr="00B82BDF">
        <w:t xml:space="preserve"> </w:t>
      </w:r>
      <w:proofErr w:type="spellStart"/>
      <w:r w:rsidRPr="00B82BDF">
        <w:t>requêtes</w:t>
      </w:r>
      <w:proofErr w:type="spellEnd"/>
      <w:r w:rsidRPr="00B82BDF">
        <w:t xml:space="preserve">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l’illustration</w:t>
      </w:r>
      <w:proofErr w:type="spellEnd"/>
      <w:r w:rsidRPr="00B82BDF">
        <w:t xml:space="preserve"> de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difficultés</w:t>
      </w:r>
      <w:proofErr w:type="spellEnd"/>
      <w:r w:rsidRPr="00B82BDF">
        <w:t>.</w:t>
      </w:r>
    </w:p>
    <w:p w14:paraId="305B92DA" w14:textId="77777777" w:rsidR="008A7B1D" w:rsidRPr="00B82BDF" w:rsidRDefault="008A7B1D" w:rsidP="008A7B1D">
      <w:pPr>
        <w:pStyle w:val="ECHRPara"/>
      </w:pPr>
      <w:r w:rsidRPr="00B82BDF">
        <w:lastRenderedPageBreak/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207</w:t>
      </w:r>
      <w:r w:rsidRPr="00B82BDF">
        <w:rPr>
          <w:noProof/>
        </w:rPr>
        <w:fldChar w:fldCharType="end"/>
      </w:r>
      <w:r w:rsidRPr="00B82BDF">
        <w:t xml:space="preserve">.  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note que </w:t>
      </w:r>
      <w:proofErr w:type="spellStart"/>
      <w:r w:rsidRPr="00B82BDF">
        <w:t>selon</w:t>
      </w:r>
      <w:proofErr w:type="spellEnd"/>
      <w:r w:rsidRPr="00B82BDF">
        <w:t xml:space="preserve"> le rapport du GREVIO sur la France </w:t>
      </w:r>
      <w:proofErr w:type="spellStart"/>
      <w:r w:rsidRPr="00B82BDF">
        <w:t>en</w:t>
      </w:r>
      <w:proofErr w:type="spellEnd"/>
      <w:r w:rsidRPr="00B82BDF">
        <w:t xml:space="preserve"> date du 19 </w:t>
      </w:r>
      <w:proofErr w:type="spellStart"/>
      <w:r w:rsidRPr="00B82BDF">
        <w:t>novembre</w:t>
      </w:r>
      <w:proofErr w:type="spellEnd"/>
      <w:r w:rsidRPr="00B82BDF">
        <w:t xml:space="preserve"> 2019, la </w:t>
      </w:r>
      <w:proofErr w:type="spellStart"/>
      <w:r w:rsidRPr="00B82BDF">
        <w:t>définition</w:t>
      </w:r>
      <w:proofErr w:type="spellEnd"/>
      <w:r w:rsidRPr="00B82BDF">
        <w:t xml:space="preserve"> du viol </w:t>
      </w:r>
      <w:proofErr w:type="spellStart"/>
      <w:r w:rsidRPr="00B82BDF">
        <w:t>en</w:t>
      </w:r>
      <w:proofErr w:type="spellEnd"/>
      <w:r w:rsidRPr="00B82BDF">
        <w:t xml:space="preserve"> droit </w:t>
      </w:r>
      <w:proofErr w:type="spellStart"/>
      <w:r w:rsidRPr="00B82BDF">
        <w:t>français</w:t>
      </w:r>
      <w:proofErr w:type="spellEnd"/>
      <w:r w:rsidRPr="00B82BDF">
        <w:t xml:space="preserve"> </w:t>
      </w:r>
      <w:proofErr w:type="spellStart"/>
      <w:r w:rsidRPr="00B82BDF">
        <w:t>engendre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« forte </w:t>
      </w:r>
      <w:proofErr w:type="spellStart"/>
      <w:r w:rsidRPr="00B82BDF">
        <w:t>insécurité</w:t>
      </w:r>
      <w:proofErr w:type="spellEnd"/>
      <w:r w:rsidRPr="00B82BDF">
        <w:t xml:space="preserve"> </w:t>
      </w:r>
      <w:proofErr w:type="spellStart"/>
      <w:r w:rsidRPr="00B82BDF">
        <w:t>juridique</w:t>
      </w:r>
      <w:proofErr w:type="spellEnd"/>
      <w:r w:rsidRPr="00B82BDF">
        <w:t xml:space="preserve"> </w:t>
      </w:r>
      <w:proofErr w:type="spellStart"/>
      <w:r w:rsidRPr="00B82BDF">
        <w:t>générée</w:t>
      </w:r>
      <w:proofErr w:type="spellEnd"/>
      <w:r w:rsidRPr="00B82BDF">
        <w:t xml:space="preserve"> par les </w:t>
      </w:r>
      <w:proofErr w:type="spellStart"/>
      <w:r w:rsidRPr="00B82BDF">
        <w:t>interprétations</w:t>
      </w:r>
      <w:proofErr w:type="spellEnd"/>
      <w:r w:rsidRPr="00B82BDF">
        <w:t xml:space="preserve"> </w:t>
      </w:r>
      <w:proofErr w:type="spellStart"/>
      <w:r w:rsidRPr="00B82BDF">
        <w:t>fluctuantes</w:t>
      </w:r>
      <w:proofErr w:type="spellEnd"/>
      <w:r w:rsidRPr="00B82BDF">
        <w:t xml:space="preserve"> des </w:t>
      </w:r>
      <w:proofErr w:type="spellStart"/>
      <w:r w:rsidRPr="00B82BDF">
        <w:t>éléments</w:t>
      </w:r>
      <w:proofErr w:type="spellEnd"/>
      <w:r w:rsidRPr="00B82BDF">
        <w:t xml:space="preserve"> </w:t>
      </w:r>
      <w:proofErr w:type="spellStart"/>
      <w:r w:rsidRPr="00B82BDF">
        <w:t>constitutifs</w:t>
      </w:r>
      <w:proofErr w:type="spellEnd"/>
      <w:r w:rsidRPr="00B82BDF">
        <w:t xml:space="preserve"> » de </w:t>
      </w:r>
      <w:proofErr w:type="spellStart"/>
      <w:r w:rsidRPr="00B82BDF">
        <w:t>l’infraction</w:t>
      </w:r>
      <w:proofErr w:type="spellEnd"/>
      <w:r w:rsidRPr="00B82BDF">
        <w:t xml:space="preserve"> (violence, </w:t>
      </w:r>
      <w:proofErr w:type="spellStart"/>
      <w:r w:rsidRPr="00B82BDF">
        <w:t>contrainte</w:t>
      </w:r>
      <w:proofErr w:type="spellEnd"/>
      <w:r w:rsidRPr="00B82BDF">
        <w:t xml:space="preserve">, menace </w:t>
      </w:r>
      <w:proofErr w:type="spellStart"/>
      <w:r w:rsidRPr="00B82BDF">
        <w:t>ou</w:t>
      </w:r>
      <w:proofErr w:type="spellEnd"/>
      <w:r w:rsidRPr="00B82BDF">
        <w:t xml:space="preserve"> surprise) et ne </w:t>
      </w:r>
      <w:proofErr w:type="spellStart"/>
      <w:r w:rsidRPr="00B82BDF">
        <w:t>permet</w:t>
      </w:r>
      <w:proofErr w:type="spellEnd"/>
      <w:r w:rsidRPr="00B82BDF">
        <w:t xml:space="preserve"> pas « </w:t>
      </w:r>
      <w:proofErr w:type="spellStart"/>
      <w:r w:rsidRPr="00B82BDF">
        <w:t>d’englober</w:t>
      </w:r>
      <w:proofErr w:type="spellEnd"/>
      <w:r w:rsidRPr="00B82BDF">
        <w:t xml:space="preserve"> la situation de </w:t>
      </w:r>
      <w:proofErr w:type="spellStart"/>
      <w:r w:rsidRPr="00B82BDF">
        <w:t>toutes</w:t>
      </w:r>
      <w:proofErr w:type="spellEnd"/>
      <w:r w:rsidRPr="00B82BDF">
        <w:t xml:space="preserve"> les </w:t>
      </w:r>
      <w:proofErr w:type="spellStart"/>
      <w:r w:rsidRPr="00B82BDF">
        <w:t>victimes</w:t>
      </w:r>
      <w:proofErr w:type="spellEnd"/>
      <w:r w:rsidRPr="00B82BDF">
        <w:t xml:space="preserve"> non </w:t>
      </w:r>
      <w:proofErr w:type="spellStart"/>
      <w:r w:rsidRPr="00B82BDF">
        <w:t>consentantes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lorsque</w:t>
      </w:r>
      <w:proofErr w:type="spellEnd"/>
      <w:r w:rsidRPr="00B82BDF">
        <w:t xml:space="preserve"> </w:t>
      </w:r>
      <w:proofErr w:type="spellStart"/>
      <w:r w:rsidRPr="00B82BDF">
        <w:t>celles</w:t>
      </w:r>
      <w:proofErr w:type="spellEnd"/>
      <w:r w:rsidRPr="00B82BDF">
        <w:t xml:space="preserve">-ci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sidération</w:t>
      </w:r>
      <w:proofErr w:type="spellEnd"/>
      <w:r w:rsidRPr="00B82BDF">
        <w:t xml:space="preserve"> » </w:t>
      </w:r>
      <w:proofErr w:type="spellStart"/>
      <w:r w:rsidRPr="00B82BDF">
        <w:t>alors</w:t>
      </w:r>
      <w:proofErr w:type="spellEnd"/>
      <w:r w:rsidRPr="00B82BDF">
        <w:t xml:space="preserve"> </w:t>
      </w:r>
      <w:proofErr w:type="spellStart"/>
      <w:r w:rsidRPr="00B82BDF">
        <w:t>qu’une</w:t>
      </w:r>
      <w:proofErr w:type="spellEnd"/>
      <w:r w:rsidRPr="00B82BDF">
        <w:t xml:space="preserve"> « </w:t>
      </w:r>
      <w:proofErr w:type="spellStart"/>
      <w:r w:rsidRPr="00B82BDF">
        <w:t>telle</w:t>
      </w:r>
      <w:proofErr w:type="spellEnd"/>
      <w:r w:rsidRPr="00B82BDF">
        <w:t xml:space="preserve"> </w:t>
      </w:r>
      <w:proofErr w:type="spellStart"/>
      <w:r w:rsidRPr="00B82BDF">
        <w:t>définition</w:t>
      </w:r>
      <w:proofErr w:type="spellEnd"/>
      <w:r w:rsidRPr="00B82BDF">
        <w:t xml:space="preserve"> </w:t>
      </w:r>
      <w:proofErr w:type="spellStart"/>
      <w:r w:rsidRPr="00B82BDF">
        <w:t>permettrait</w:t>
      </w:r>
      <w:proofErr w:type="spellEnd"/>
      <w:r w:rsidRPr="00B82BDF">
        <w:t xml:space="preserve"> (...) </w:t>
      </w:r>
      <w:proofErr w:type="spellStart"/>
      <w:r w:rsidRPr="00B82BDF">
        <w:t>d’opérer</w:t>
      </w:r>
      <w:proofErr w:type="spellEnd"/>
      <w:r w:rsidRPr="00B82BDF">
        <w:t xml:space="preserve"> le </w:t>
      </w:r>
      <w:proofErr w:type="spellStart"/>
      <w:r w:rsidRPr="00B82BDF">
        <w:t>changement</w:t>
      </w:r>
      <w:proofErr w:type="spellEnd"/>
      <w:r w:rsidRPr="00B82BDF">
        <w:t xml:space="preserve"> de </w:t>
      </w:r>
      <w:proofErr w:type="spellStart"/>
      <w:r w:rsidRPr="00B82BDF">
        <w:t>paradigme</w:t>
      </w:r>
      <w:proofErr w:type="spellEnd"/>
      <w:r w:rsidRPr="00B82BDF">
        <w:t xml:space="preserve"> </w:t>
      </w:r>
      <w:proofErr w:type="spellStart"/>
      <w:r w:rsidRPr="00B82BDF">
        <w:t>nécessaire</w:t>
      </w:r>
      <w:proofErr w:type="spellEnd"/>
      <w:r w:rsidRPr="00B82BDF">
        <w:t xml:space="preserve"> pour </w:t>
      </w:r>
      <w:proofErr w:type="spellStart"/>
      <w:r w:rsidRPr="00B82BDF">
        <w:t>reconnaître</w:t>
      </w:r>
      <w:proofErr w:type="spellEnd"/>
      <w:r w:rsidRPr="00B82BDF">
        <w:t xml:space="preserve"> la </w:t>
      </w:r>
      <w:proofErr w:type="spellStart"/>
      <w:r w:rsidRPr="00B82BDF">
        <w:t>centralité</w:t>
      </w:r>
      <w:proofErr w:type="spellEnd"/>
      <w:r w:rsidRPr="00B82BDF">
        <w:t xml:space="preserve"> qui </w:t>
      </w:r>
      <w:proofErr w:type="spellStart"/>
      <w:r w:rsidRPr="00B82BDF">
        <w:t>revient</w:t>
      </w:r>
      <w:proofErr w:type="spellEnd"/>
      <w:r w:rsidRPr="00B82BDF">
        <w:t xml:space="preserve"> à la </w:t>
      </w:r>
      <w:proofErr w:type="spellStart"/>
      <w:r w:rsidRPr="00B82BDF">
        <w:t>volonté</w:t>
      </w:r>
      <w:proofErr w:type="spellEnd"/>
      <w:r w:rsidRPr="00B82BDF">
        <w:t xml:space="preserve"> de la </w:t>
      </w:r>
      <w:proofErr w:type="spellStart"/>
      <w:r w:rsidRPr="00B82BDF">
        <w:t>victime</w:t>
      </w:r>
      <w:proofErr w:type="spellEnd"/>
      <w:r w:rsidRPr="00B82BDF">
        <w:t xml:space="preserve">, et </w:t>
      </w:r>
      <w:proofErr w:type="spellStart"/>
      <w:r w:rsidRPr="00B82BDF">
        <w:t>permettrait</w:t>
      </w:r>
      <w:proofErr w:type="spellEnd"/>
      <w:r w:rsidRPr="00B82BDF">
        <w:t xml:space="preserve"> à la France de se ranger du </w:t>
      </w:r>
      <w:proofErr w:type="spellStart"/>
      <w:r w:rsidRPr="00B82BDF">
        <w:t>côté</w:t>
      </w:r>
      <w:proofErr w:type="spellEnd"/>
      <w:r w:rsidRPr="00B82BDF">
        <w:t xml:space="preserve"> de </w:t>
      </w:r>
      <w:proofErr w:type="spellStart"/>
      <w:r w:rsidRPr="00B82BDF">
        <w:t>ces</w:t>
      </w:r>
      <w:proofErr w:type="spellEnd"/>
      <w:r w:rsidRPr="00B82BDF">
        <w:t xml:space="preserve"> pays qui </w:t>
      </w:r>
      <w:proofErr w:type="spellStart"/>
      <w:r w:rsidRPr="00B82BDF">
        <w:t>ont</w:t>
      </w:r>
      <w:proofErr w:type="spellEnd"/>
      <w:r w:rsidRPr="00B82BDF">
        <w:t xml:space="preserve"> déjà </w:t>
      </w:r>
      <w:proofErr w:type="spellStart"/>
      <w:r w:rsidRPr="00B82BDF">
        <w:t>franchi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pas important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paragraph00128 \h \* CharFormat </w:instrText>
      </w:r>
      <w:r w:rsidRPr="00B82BDF">
        <w:fldChar w:fldCharType="separate"/>
      </w:r>
      <w:r w:rsidRPr="00B82BDF">
        <w:t>128</w:t>
      </w:r>
      <w:r w:rsidRPr="00B82BDF">
        <w:fldChar w:fldCharType="end"/>
      </w:r>
      <w:r w:rsidRPr="00B82BDF">
        <w:t xml:space="preserve"> ci-dessus, et </w:t>
      </w:r>
      <w:proofErr w:type="spellStart"/>
      <w:r w:rsidRPr="00B82BDF">
        <w:t>voir</w:t>
      </w:r>
      <w:proofErr w:type="spellEnd"/>
      <w:r w:rsidRPr="00B82BDF">
        <w:t xml:space="preserve"> </w:t>
      </w:r>
      <w:proofErr w:type="spellStart"/>
      <w:r w:rsidRPr="00B82BDF">
        <w:t>également</w:t>
      </w:r>
      <w:proofErr w:type="spellEnd"/>
      <w:r w:rsidRPr="00B82BDF">
        <w:t xml:space="preserve"> le </w:t>
      </w:r>
      <w:proofErr w:type="spellStart"/>
      <w:r w:rsidRPr="00B82BDF">
        <w:t>quatrième</w:t>
      </w:r>
      <w:proofErr w:type="spellEnd"/>
      <w:r w:rsidRPr="00B82BDF">
        <w:t xml:space="preserve"> rapport </w:t>
      </w:r>
      <w:proofErr w:type="spellStart"/>
      <w:r w:rsidRPr="00B82BDF">
        <w:t>général</w:t>
      </w:r>
      <w:proofErr w:type="spellEnd"/>
      <w:r w:rsidRPr="00B82BDF">
        <w:t xml:space="preserve"> du GREVIO du 21 </w:t>
      </w:r>
      <w:proofErr w:type="spellStart"/>
      <w:r w:rsidRPr="00B82BDF">
        <w:t>septembre</w:t>
      </w:r>
      <w:proofErr w:type="spellEnd"/>
      <w:r w:rsidRPr="00B82BDF">
        <w:t xml:space="preserve"> 2023, 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paragraph00129 \h \* CharFormat </w:instrText>
      </w:r>
      <w:r w:rsidRPr="00B82BDF">
        <w:fldChar w:fldCharType="separate"/>
      </w:r>
      <w:r w:rsidRPr="00B82BDF">
        <w:t>129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paragraph00131 \h \* CharFormat </w:instrText>
      </w:r>
      <w:r w:rsidRPr="00B82BDF">
        <w:fldChar w:fldCharType="separate"/>
      </w:r>
      <w:r w:rsidRPr="00B82BDF">
        <w:t>131</w:t>
      </w:r>
      <w:r w:rsidRPr="00B82BDF">
        <w:fldChar w:fldCharType="end"/>
      </w:r>
      <w:r w:rsidRPr="00B82BDF">
        <w:t xml:space="preserve"> ci</w:t>
      </w:r>
      <w:r w:rsidRPr="00B82BDF">
        <w:noBreakHyphen/>
        <w:t>dessus).</w:t>
      </w:r>
    </w:p>
    <w:p w14:paraId="441D7FD3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208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, à </w:t>
      </w:r>
      <w:proofErr w:type="spellStart"/>
      <w:r w:rsidRPr="00B82BDF">
        <w:t>ce</w:t>
      </w:r>
      <w:proofErr w:type="spellEnd"/>
      <w:r w:rsidRPr="00B82BDF">
        <w:t xml:space="preserve"> titre,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existe</w:t>
      </w:r>
      <w:proofErr w:type="spellEnd"/>
      <w:r w:rsidRPr="00B82BDF">
        <w:t xml:space="preserve"> </w:t>
      </w:r>
      <w:proofErr w:type="spellStart"/>
      <w:r w:rsidRPr="00B82BDF">
        <w:t>aujourd’hui</w:t>
      </w:r>
      <w:proofErr w:type="spellEnd"/>
      <w:r w:rsidRPr="00B82BDF">
        <w:t xml:space="preserve"> un consensus </w:t>
      </w:r>
      <w:proofErr w:type="spellStart"/>
      <w:r w:rsidRPr="00B82BDF">
        <w:t>grandissant</w:t>
      </w:r>
      <w:proofErr w:type="spellEnd"/>
      <w:r w:rsidRPr="00B82BDF">
        <w:t xml:space="preserve"> au sein des </w:t>
      </w:r>
      <w:proofErr w:type="spellStart"/>
      <w:r w:rsidRPr="00B82BDF">
        <w:t>États</w:t>
      </w:r>
      <w:proofErr w:type="spellEnd"/>
      <w:r w:rsidRPr="00B82BDF">
        <w:t xml:space="preserve"> parties pour </w:t>
      </w:r>
      <w:proofErr w:type="spellStart"/>
      <w:r w:rsidRPr="00B82BDF">
        <w:t>intégrer</w:t>
      </w:r>
      <w:proofErr w:type="spellEnd"/>
      <w:r w:rsidRPr="00B82BDF">
        <w:t xml:space="preserve"> </w:t>
      </w:r>
      <w:proofErr w:type="spellStart"/>
      <w:r w:rsidRPr="00B82BDF">
        <w:t>expressément</w:t>
      </w:r>
      <w:proofErr w:type="spellEnd"/>
      <w:r w:rsidRPr="00B82BDF">
        <w:t xml:space="preserve">, dans la </w:t>
      </w:r>
      <w:proofErr w:type="spellStart"/>
      <w:r w:rsidRPr="00B82BDF">
        <w:t>définition</w:t>
      </w:r>
      <w:proofErr w:type="spellEnd"/>
      <w:r w:rsidRPr="00B82BDF">
        <w:t xml:space="preserve"> du viol, la notion de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éclairé</w:t>
      </w:r>
      <w:proofErr w:type="spellEnd"/>
      <w:r w:rsidRPr="00B82BDF">
        <w:t xml:space="preserve"> et </w:t>
      </w:r>
      <w:proofErr w:type="spellStart"/>
      <w:r w:rsidRPr="00B82BDF">
        <w:t>consacrer</w:t>
      </w:r>
      <w:proofErr w:type="spellEnd"/>
      <w:r w:rsidRPr="00B82BDF">
        <w:t xml:space="preserve"> le </w:t>
      </w:r>
      <w:proofErr w:type="spellStart"/>
      <w:r w:rsidRPr="00B82BDF">
        <w:t>défaut</w:t>
      </w:r>
      <w:proofErr w:type="spellEnd"/>
      <w:r w:rsidRPr="00B82BDF">
        <w:t xml:space="preserve"> d’un </w:t>
      </w:r>
      <w:proofErr w:type="spellStart"/>
      <w:r w:rsidRPr="00B82BDF">
        <w:t>tel</w:t>
      </w:r>
      <w:proofErr w:type="spellEnd"/>
      <w:r w:rsidRPr="00B82BDF">
        <w:t xml:space="preserve">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comme</w:t>
      </w:r>
      <w:proofErr w:type="spellEnd"/>
      <w:r w:rsidRPr="00B82BDF">
        <w:t xml:space="preserve"> un </w:t>
      </w:r>
      <w:proofErr w:type="spellStart"/>
      <w:r w:rsidRPr="00B82BDF">
        <w:t>élément</w:t>
      </w:r>
      <w:proofErr w:type="spellEnd"/>
      <w:r w:rsidRPr="00B82BDF">
        <w:t xml:space="preserve"> </w:t>
      </w:r>
      <w:proofErr w:type="spellStart"/>
      <w:r w:rsidRPr="00B82BDF">
        <w:t>constitutif</w:t>
      </w:r>
      <w:proofErr w:type="spellEnd"/>
      <w:r w:rsidRPr="00B82BDF">
        <w:t xml:space="preserve"> de </w:t>
      </w:r>
      <w:proofErr w:type="spellStart"/>
      <w:r w:rsidRPr="00B82BDF">
        <w:t>l’infraction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 xml:space="preserve"> </w:t>
      </w:r>
      <w:r w:rsidRPr="00B82BDF">
        <w:fldChar w:fldCharType="begin"/>
      </w:r>
      <w:r w:rsidRPr="00B82BDF">
        <w:instrText xml:space="preserve">REF paragraph00142 \h \* CharFormat </w:instrText>
      </w:r>
      <w:r w:rsidRPr="00B82BDF">
        <w:fldChar w:fldCharType="separate"/>
      </w:r>
      <w:r w:rsidRPr="00B82BDF">
        <w:t>142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paragraph00147 \h \* CharFormat </w:instrText>
      </w:r>
      <w:r w:rsidRPr="00B82BDF">
        <w:fldChar w:fldCharType="separate"/>
      </w:r>
      <w:r w:rsidRPr="00B82BDF">
        <w:t>147</w:t>
      </w:r>
      <w:r w:rsidRPr="00B82BDF">
        <w:fldChar w:fldCharType="end"/>
      </w:r>
      <w:r w:rsidRPr="00B82BDF">
        <w:t xml:space="preserve"> ci-dessus). Par </w:t>
      </w:r>
      <w:proofErr w:type="spellStart"/>
      <w:r w:rsidRPr="00B82BDF">
        <w:t>ailleurs</w:t>
      </w:r>
      <w:proofErr w:type="spellEnd"/>
      <w:r w:rsidRPr="00B82BDF">
        <w:t xml:space="preserve">, les engagements </w:t>
      </w:r>
      <w:proofErr w:type="spellStart"/>
      <w:r w:rsidRPr="00B82BDF">
        <w:t>internationaux</w:t>
      </w:r>
      <w:proofErr w:type="spellEnd"/>
      <w:r w:rsidRPr="00B82BDF">
        <w:t xml:space="preserve"> de la France, </w:t>
      </w:r>
      <w:proofErr w:type="spellStart"/>
      <w:r w:rsidRPr="00B82BDF">
        <w:t>en</w:t>
      </w:r>
      <w:proofErr w:type="spellEnd"/>
      <w:r w:rsidRPr="00B82BDF">
        <w:t xml:space="preserve"> particulier la ratification de la Convention </w:t>
      </w:r>
      <w:proofErr w:type="spellStart"/>
      <w:r w:rsidRPr="00B82BDF">
        <w:t>d’Istanbul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2014, </w:t>
      </w:r>
      <w:proofErr w:type="spellStart"/>
      <w:r w:rsidRPr="00B82BDF">
        <w:t>appellent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telle</w:t>
      </w:r>
      <w:proofErr w:type="spellEnd"/>
      <w:r w:rsidRPr="00B82BDF">
        <w:t xml:space="preserve"> </w:t>
      </w:r>
      <w:proofErr w:type="spellStart"/>
      <w:r w:rsidRPr="00B82BDF">
        <w:t>évolution</w:t>
      </w:r>
      <w:proofErr w:type="spellEnd"/>
      <w:r w:rsidRPr="00B82BDF">
        <w:t xml:space="preserve">, </w:t>
      </w:r>
      <w:proofErr w:type="spellStart"/>
      <w:r w:rsidRPr="00B82BDF">
        <w:t>même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conserve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certaine</w:t>
      </w:r>
      <w:proofErr w:type="spellEnd"/>
      <w:r w:rsidRPr="00B82BDF">
        <w:t xml:space="preserve"> marge pour </w:t>
      </w:r>
      <w:proofErr w:type="spellStart"/>
      <w:r w:rsidRPr="00B82BDF">
        <w:t>définir</w:t>
      </w:r>
      <w:proofErr w:type="spellEnd"/>
      <w:r w:rsidRPr="00B82BDF">
        <w:t xml:space="preserve">, dans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législation</w:t>
      </w:r>
      <w:proofErr w:type="spellEnd"/>
      <w:r w:rsidRPr="00B82BDF">
        <w:t xml:space="preserve">, les </w:t>
      </w:r>
      <w:proofErr w:type="spellStart"/>
      <w:r w:rsidRPr="00B82BDF">
        <w:t>critères</w:t>
      </w:r>
      <w:proofErr w:type="spellEnd"/>
      <w:r w:rsidRPr="00B82BDF">
        <w:t xml:space="preserve"> d’un </w:t>
      </w:r>
      <w:proofErr w:type="spellStart"/>
      <w:r w:rsidRPr="00B82BDF">
        <w:t>consentement</w:t>
      </w:r>
      <w:proofErr w:type="spellEnd"/>
      <w:r w:rsidRPr="00B82BDF">
        <w:t xml:space="preserve"> libre (</w:t>
      </w:r>
      <w:proofErr w:type="spellStart"/>
      <w:r w:rsidRPr="00B82BDF">
        <w:t>paragraphes</w:t>
      </w:r>
      <w:proofErr w:type="spellEnd"/>
      <w:r w:rsidRPr="00B82BDF">
        <w:t xml:space="preserve"> </w:t>
      </w:r>
      <w:r w:rsidRPr="00B82BDF">
        <w:fldChar w:fldCharType="begin"/>
      </w:r>
      <w:r w:rsidRPr="00B82BDF">
        <w:instrText xml:space="preserve">REF paragraph00126 \h \* CharFormat </w:instrText>
      </w:r>
      <w:r w:rsidRPr="00B82BDF">
        <w:fldChar w:fldCharType="separate"/>
      </w:r>
      <w:r w:rsidRPr="00B82BDF">
        <w:t>126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paragraph00128 \h \* CharFormat </w:instrText>
      </w:r>
      <w:r w:rsidRPr="00B82BDF">
        <w:fldChar w:fldCharType="separate"/>
      </w:r>
      <w:r w:rsidRPr="00B82BDF">
        <w:t>128</w:t>
      </w:r>
      <w:r w:rsidRPr="00B82BDF">
        <w:fldChar w:fldCharType="end"/>
      </w:r>
      <w:r w:rsidRPr="00B82BDF">
        <w:t xml:space="preserve"> ci-dessus). 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note,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 les lacunes </w:t>
      </w:r>
      <w:proofErr w:type="spellStart"/>
      <w:r w:rsidRPr="00B82BDF">
        <w:t>existantes</w:t>
      </w:r>
      <w:proofErr w:type="spellEnd"/>
      <w:r w:rsidRPr="00B82BDF">
        <w:t xml:space="preserve"> du cadre </w:t>
      </w:r>
      <w:proofErr w:type="spellStart"/>
      <w:r w:rsidRPr="00B82BDF">
        <w:t>juridique</w:t>
      </w:r>
      <w:proofErr w:type="spellEnd"/>
      <w:r w:rsidRPr="00B82BDF">
        <w:t xml:space="preserve"> (</w:t>
      </w:r>
      <w:proofErr w:type="spellStart"/>
      <w:r w:rsidRPr="00B82BDF">
        <w:t>décrit</w:t>
      </w:r>
      <w:proofErr w:type="spellEnd"/>
      <w:r w:rsidRPr="00B82BDF">
        <w:t xml:space="preserve"> ci</w:t>
      </w:r>
      <w:r w:rsidRPr="00B82BDF">
        <w:noBreakHyphen/>
        <w:t xml:space="preserve">dessus, 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paragraph00089 \h \* CharFormat </w:instrText>
      </w:r>
      <w:r w:rsidRPr="00B82BDF">
        <w:fldChar w:fldCharType="separate"/>
      </w:r>
      <w:r w:rsidRPr="00B82BDF">
        <w:t>89</w:t>
      </w:r>
      <w:r w:rsidRPr="00B82BDF">
        <w:fldChar w:fldCharType="end"/>
      </w:r>
      <w:r w:rsidRPr="00B82BDF">
        <w:noBreakHyphen/>
      </w:r>
      <w:r w:rsidRPr="00B82BDF">
        <w:fldChar w:fldCharType="begin"/>
      </w:r>
      <w:r w:rsidRPr="00B82BDF">
        <w:instrText xml:space="preserve">REF paragraph00102 \h \* CharFormat </w:instrText>
      </w:r>
      <w:r w:rsidRPr="00B82BDF">
        <w:fldChar w:fldCharType="separate"/>
      </w:r>
      <w:r w:rsidRPr="00B82BDF">
        <w:t>102</w:t>
      </w:r>
      <w:r w:rsidRPr="00B82BDF">
        <w:fldChar w:fldCharType="end"/>
      </w:r>
      <w:r w:rsidRPr="00B82BDF">
        <w:t xml:space="preserve">) </w:t>
      </w:r>
      <w:proofErr w:type="spellStart"/>
      <w:r w:rsidRPr="00B82BDF">
        <w:t>visant</w:t>
      </w:r>
      <w:proofErr w:type="spellEnd"/>
      <w:r w:rsidRPr="00B82BDF">
        <w:t xml:space="preserve"> à </w:t>
      </w:r>
      <w:proofErr w:type="spellStart"/>
      <w:r w:rsidRPr="00B82BDF">
        <w:t>protéger</w:t>
      </w:r>
      <w:proofErr w:type="spellEnd"/>
      <w:r w:rsidRPr="00B82BDF">
        <w:t xml:space="preserve"> les droits des </w:t>
      </w:r>
      <w:proofErr w:type="spellStart"/>
      <w:r w:rsidRPr="00B82BDF">
        <w:t>victimes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 xml:space="preserve">, les </w:t>
      </w:r>
      <w:proofErr w:type="spellStart"/>
      <w:r w:rsidRPr="00B82BDF">
        <w:t>évolutions</w:t>
      </w:r>
      <w:proofErr w:type="spellEnd"/>
      <w:r w:rsidRPr="00B82BDF">
        <w:t xml:space="preserve"> </w:t>
      </w:r>
      <w:proofErr w:type="spellStart"/>
      <w:r w:rsidRPr="00B82BDF">
        <w:t>importantes</w:t>
      </w:r>
      <w:proofErr w:type="spellEnd"/>
      <w:r w:rsidRPr="00B82BDF">
        <w:t xml:space="preserve"> de la </w:t>
      </w:r>
      <w:proofErr w:type="spellStart"/>
      <w:r w:rsidRPr="00B82BDF">
        <w:t>législation</w:t>
      </w:r>
      <w:proofErr w:type="spellEnd"/>
      <w:r w:rsidRPr="00B82BDF">
        <w:t xml:space="preserve"> </w:t>
      </w:r>
      <w:proofErr w:type="spellStart"/>
      <w:r w:rsidRPr="00B82BDF">
        <w:t>française</w:t>
      </w:r>
      <w:proofErr w:type="spellEnd"/>
      <w:r w:rsidRPr="00B82BDF">
        <w:t xml:space="preserve"> </w:t>
      </w:r>
      <w:proofErr w:type="spellStart"/>
      <w:r w:rsidRPr="00B82BDF">
        <w:t>intervenues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la matière </w:t>
      </w:r>
      <w:proofErr w:type="spellStart"/>
      <w:r w:rsidRPr="00B82BDF">
        <w:t>depuis</w:t>
      </w:r>
      <w:proofErr w:type="spellEnd"/>
      <w:r w:rsidRPr="00B82BDF">
        <w:t xml:space="preserve"> 1980 (</w:t>
      </w:r>
      <w:r w:rsidRPr="00B82BDF">
        <w:rPr>
          <w:i/>
          <w:iCs/>
        </w:rPr>
        <w:t>ibidem</w:t>
      </w:r>
      <w:r w:rsidRPr="00B82BDF">
        <w:t xml:space="preserve">), les </w:t>
      </w:r>
      <w:proofErr w:type="spellStart"/>
      <w:r w:rsidRPr="00B82BDF">
        <w:t>récentes</w:t>
      </w:r>
      <w:proofErr w:type="spellEnd"/>
      <w:r w:rsidRPr="00B82BDF">
        <w:t xml:space="preserve"> </w:t>
      </w:r>
      <w:proofErr w:type="spellStart"/>
      <w:r w:rsidRPr="00B82BDF">
        <w:t>réformes</w:t>
      </w:r>
      <w:proofErr w:type="spellEnd"/>
      <w:r w:rsidRPr="00B82BDF">
        <w:t xml:space="preserve"> du droit interne </w:t>
      </w:r>
      <w:proofErr w:type="spellStart"/>
      <w:r w:rsidRPr="00B82BDF">
        <w:t>concernant</w:t>
      </w:r>
      <w:proofErr w:type="spellEnd"/>
      <w:r w:rsidRPr="00B82BDF">
        <w:t xml:space="preserve"> les </w:t>
      </w:r>
      <w:proofErr w:type="spellStart"/>
      <w:r w:rsidRPr="00B82BDF">
        <w:t>mineurs</w:t>
      </w:r>
      <w:proofErr w:type="spellEnd"/>
      <w:r w:rsidRPr="00B82BDF">
        <w:t xml:space="preserve"> </w:t>
      </w:r>
      <w:proofErr w:type="spellStart"/>
      <w:r w:rsidRPr="00B82BDF">
        <w:t>victimes</w:t>
      </w:r>
      <w:proofErr w:type="spellEnd"/>
      <w:r w:rsidRPr="00B82BDF">
        <w:t xml:space="preserve"> de </w:t>
      </w:r>
      <w:proofErr w:type="spellStart"/>
      <w:r w:rsidRPr="00B82BDF">
        <w:t>telles</w:t>
      </w:r>
      <w:proofErr w:type="spellEnd"/>
      <w:r w:rsidRPr="00B82BDF">
        <w:t xml:space="preserve"> </w:t>
      </w:r>
      <w:proofErr w:type="spellStart"/>
      <w:r w:rsidRPr="00B82BDF">
        <w:t>violences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paragraph00091 \h \* CharFormat </w:instrText>
      </w:r>
      <w:r w:rsidRPr="00B82BDF">
        <w:fldChar w:fldCharType="separate"/>
      </w:r>
      <w:r w:rsidRPr="00B82BDF">
        <w:t>91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paragraph00102 \h \* CharFormat </w:instrText>
      </w:r>
      <w:r w:rsidRPr="00B82BDF">
        <w:fldChar w:fldCharType="separate"/>
      </w:r>
      <w:r w:rsidRPr="00B82BDF">
        <w:t>102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dessus), le </w:t>
      </w:r>
      <w:proofErr w:type="spellStart"/>
      <w:r w:rsidRPr="00B82BDF">
        <w:t>dépôt</w:t>
      </w:r>
      <w:proofErr w:type="spellEnd"/>
      <w:r w:rsidRPr="00B82BDF">
        <w:t xml:space="preserve"> de </w:t>
      </w:r>
      <w:proofErr w:type="spellStart"/>
      <w:r w:rsidRPr="00B82BDF">
        <w:t>plusieurs</w:t>
      </w:r>
      <w:proofErr w:type="spellEnd"/>
      <w:r w:rsidRPr="00B82BDF">
        <w:t xml:space="preserve"> propositions de </w:t>
      </w:r>
      <w:proofErr w:type="spellStart"/>
      <w:r w:rsidRPr="00B82BDF">
        <w:t>loi</w:t>
      </w:r>
      <w:proofErr w:type="spellEnd"/>
      <w:r w:rsidRPr="00B82BDF">
        <w:t xml:space="preserve"> </w:t>
      </w:r>
      <w:proofErr w:type="spellStart"/>
      <w:r w:rsidRPr="00B82BDF">
        <w:t>réformant</w:t>
      </w:r>
      <w:proofErr w:type="spellEnd"/>
      <w:r w:rsidRPr="00B82BDF">
        <w:t xml:space="preserve"> la </w:t>
      </w:r>
      <w:proofErr w:type="spellStart"/>
      <w:r w:rsidRPr="00B82BDF">
        <w:t>définition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du viol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paragraph00114 \h \* CharFormat </w:instrText>
      </w:r>
      <w:r w:rsidRPr="00B82BDF">
        <w:fldChar w:fldCharType="separate"/>
      </w:r>
      <w:r w:rsidRPr="00B82BDF">
        <w:t>114</w:t>
      </w:r>
      <w:r w:rsidRPr="00B82BDF">
        <w:fldChar w:fldCharType="end"/>
      </w:r>
      <w:r w:rsidRPr="00B82BDF">
        <w:t xml:space="preserve"> ci-dessus), </w:t>
      </w:r>
      <w:proofErr w:type="spellStart"/>
      <w:r w:rsidRPr="00B82BDF">
        <w:t>ainsi</w:t>
      </w:r>
      <w:proofErr w:type="spellEnd"/>
      <w:r w:rsidRPr="00B82BDF">
        <w:t xml:space="preserve"> que les conclusions et propositions </w:t>
      </w:r>
      <w:proofErr w:type="spellStart"/>
      <w:r w:rsidRPr="00B82BDF">
        <w:t>formulées</w:t>
      </w:r>
      <w:proofErr w:type="spellEnd"/>
      <w:r w:rsidRPr="00B82BDF">
        <w:t xml:space="preserve"> dans </w:t>
      </w:r>
      <w:proofErr w:type="spellStart"/>
      <w:r w:rsidRPr="00B82BDF">
        <w:t>un certain</w:t>
      </w:r>
      <w:proofErr w:type="spellEnd"/>
      <w:r w:rsidRPr="00B82BDF">
        <w:t xml:space="preserve"> </w:t>
      </w:r>
      <w:proofErr w:type="spellStart"/>
      <w:r w:rsidRPr="00B82BDF">
        <w:t>nombre</w:t>
      </w:r>
      <w:proofErr w:type="spellEnd"/>
      <w:r w:rsidRPr="00B82BDF">
        <w:t xml:space="preserve"> </w:t>
      </w:r>
      <w:proofErr w:type="spellStart"/>
      <w:r w:rsidRPr="00B82BDF">
        <w:t>d’avis</w:t>
      </w:r>
      <w:proofErr w:type="spellEnd"/>
      <w:r w:rsidRPr="00B82BDF">
        <w:t xml:space="preserve"> et de rapports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paragraph00109 \h \* CharFormat </w:instrText>
      </w:r>
      <w:r w:rsidRPr="00B82BDF">
        <w:fldChar w:fldCharType="separate"/>
      </w:r>
      <w:r w:rsidRPr="00B82BDF">
        <w:t>109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paragraph00116 \h \* CharFormat </w:instrText>
      </w:r>
      <w:r w:rsidRPr="00B82BDF">
        <w:fldChar w:fldCharType="separate"/>
      </w:r>
      <w:r w:rsidRPr="00B82BDF">
        <w:t>116</w:t>
      </w:r>
      <w:r w:rsidRPr="00B82BDF">
        <w:fldChar w:fldCharType="end"/>
      </w:r>
      <w:r w:rsidRPr="00B82BDF">
        <w:t xml:space="preserve"> ci-dessus) et </w:t>
      </w:r>
      <w:proofErr w:type="spellStart"/>
      <w:r w:rsidRPr="00B82BDF">
        <w:t>appelant</w:t>
      </w:r>
      <w:proofErr w:type="spellEnd"/>
      <w:r w:rsidRPr="00B82BDF">
        <w:t xml:space="preserve"> au </w:t>
      </w:r>
      <w:proofErr w:type="spellStart"/>
      <w:r w:rsidRPr="00B82BDF">
        <w:t>renforcement</w:t>
      </w:r>
      <w:proofErr w:type="spellEnd"/>
      <w:r w:rsidRPr="00B82BDF">
        <w:t xml:space="preserve"> des droits des </w:t>
      </w:r>
      <w:proofErr w:type="spellStart"/>
      <w:r w:rsidRPr="00B82BDF">
        <w:t>victimes</w:t>
      </w:r>
      <w:proofErr w:type="spellEnd"/>
      <w:r w:rsidRPr="00B82BDF">
        <w:t>.</w:t>
      </w:r>
    </w:p>
    <w:p w14:paraId="3ABD9832" w14:textId="77777777" w:rsidR="008A7B1D" w:rsidRPr="00B82BDF" w:rsidRDefault="008A7B1D" w:rsidP="008A7B1D">
      <w:pPr>
        <w:pStyle w:val="ECHRPara"/>
        <w:rPr>
          <w:color w:val="0072BC" w:themeColor="background1"/>
        </w:rPr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209</w:t>
      </w:r>
      <w:r w:rsidRPr="00B82BDF">
        <w:rPr>
          <w:noProof/>
        </w:rPr>
        <w:fldChar w:fldCharType="end"/>
      </w:r>
      <w:r w:rsidRPr="00B82BDF">
        <w:t xml:space="preserve">.  Les </w:t>
      </w:r>
      <w:proofErr w:type="spellStart"/>
      <w:r w:rsidRPr="00B82BDF">
        <w:t>considérations</w:t>
      </w:r>
      <w:proofErr w:type="spellEnd"/>
      <w:r w:rsidRPr="00B82BDF">
        <w:t xml:space="preserve"> qui </w:t>
      </w:r>
      <w:proofErr w:type="spellStart"/>
      <w:r w:rsidRPr="00B82BDF">
        <w:t>précèdent</w:t>
      </w:r>
      <w:proofErr w:type="spellEnd"/>
      <w:r w:rsidRPr="00B82BDF">
        <w:t xml:space="preserve"> </w:t>
      </w:r>
      <w:proofErr w:type="spellStart"/>
      <w:r w:rsidRPr="00B82BDF">
        <w:t>seront</w:t>
      </w:r>
      <w:proofErr w:type="spellEnd"/>
      <w:r w:rsidRPr="00B82BDF">
        <w:t xml:space="preserve"> prises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dans son analyse de la mise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œuvre</w:t>
      </w:r>
      <w:proofErr w:type="spellEnd"/>
      <w:r w:rsidRPr="00B82BDF">
        <w:t xml:space="preserve"> par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du cadre </w:t>
      </w:r>
      <w:proofErr w:type="spellStart"/>
      <w:r w:rsidRPr="00B82BDF">
        <w:t>juridique</w:t>
      </w:r>
      <w:proofErr w:type="spellEnd"/>
      <w:r w:rsidRPr="00B82BDF">
        <w:t xml:space="preserve"> applicable dans </w:t>
      </w:r>
      <w:proofErr w:type="spellStart"/>
      <w:r w:rsidRPr="00B82BDF">
        <w:t>chacune</w:t>
      </w:r>
      <w:proofErr w:type="spellEnd"/>
      <w:r w:rsidRPr="00B82BDF">
        <w:t xml:space="preserve"> des trois </w:t>
      </w:r>
      <w:proofErr w:type="spellStart"/>
      <w:r w:rsidRPr="00B82BDF">
        <w:t>requêtes</w:t>
      </w:r>
      <w:proofErr w:type="spellEnd"/>
      <w:r w:rsidRPr="00B82BDF">
        <w:t xml:space="preserve"> </w:t>
      </w:r>
      <w:proofErr w:type="spellStart"/>
      <w:r w:rsidRPr="00B82BDF">
        <w:t>soumises</w:t>
      </w:r>
      <w:proofErr w:type="spellEnd"/>
      <w:r w:rsidRPr="00B82BDF">
        <w:t xml:space="preserve"> à son examen.</w:t>
      </w:r>
    </w:p>
    <w:p w14:paraId="16848823" w14:textId="77777777" w:rsidR="008A7B1D" w:rsidRPr="00B82BDF" w:rsidRDefault="008A7B1D" w:rsidP="008A7B1D">
      <w:pPr>
        <w:pStyle w:val="ECHRHeading7"/>
        <w:numPr>
          <w:ilvl w:val="0"/>
          <w:numId w:val="21"/>
        </w:numPr>
        <w:ind w:left="1236"/>
      </w:pPr>
      <w:r w:rsidRPr="00B82BDF">
        <w:t xml:space="preserve">Sur la mise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œuvre</w:t>
      </w:r>
      <w:proofErr w:type="spellEnd"/>
      <w:r w:rsidRPr="00B82BDF">
        <w:t xml:space="preserve"> du cadre </w:t>
      </w:r>
      <w:proofErr w:type="spellStart"/>
      <w:r w:rsidRPr="00B82BDF">
        <w:t>juridique</w:t>
      </w:r>
      <w:proofErr w:type="spellEnd"/>
      <w:r w:rsidRPr="00B82BDF">
        <w:t xml:space="preserve"> dans les </w:t>
      </w:r>
      <w:proofErr w:type="spellStart"/>
      <w:r w:rsidRPr="00B82BDF">
        <w:t>présentes</w:t>
      </w:r>
      <w:proofErr w:type="spellEnd"/>
      <w:r w:rsidRPr="00B82BDF">
        <w:t xml:space="preserve"> affaires</w:t>
      </w:r>
    </w:p>
    <w:p w14:paraId="7567759D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210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indique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premier lieu, </w:t>
      </w:r>
      <w:proofErr w:type="spellStart"/>
      <w:r w:rsidRPr="00B82BDF">
        <w:t>qu’on</w:t>
      </w:r>
      <w:proofErr w:type="spellEnd"/>
      <w:r w:rsidRPr="00B82BDF">
        <w:t xml:space="preserve"> ne </w:t>
      </w:r>
      <w:proofErr w:type="spellStart"/>
      <w:r w:rsidRPr="00B82BDF">
        <w:t>saurait</w:t>
      </w:r>
      <w:proofErr w:type="spellEnd"/>
      <w:r w:rsidRPr="00B82BDF">
        <w:t xml:space="preserve"> </w:t>
      </w:r>
      <w:proofErr w:type="spellStart"/>
      <w:r w:rsidRPr="00B82BDF">
        <w:t>reprocher</w:t>
      </w:r>
      <w:proofErr w:type="spellEnd"/>
      <w:r w:rsidRPr="00B82BDF">
        <w:t xml:space="preserve"> aux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que les </w:t>
      </w:r>
      <w:proofErr w:type="spellStart"/>
      <w:r w:rsidRPr="00B82BDF">
        <w:t>enquêtes</w:t>
      </w:r>
      <w:proofErr w:type="spellEnd"/>
      <w:r w:rsidRPr="00B82BDF">
        <w:t xml:space="preserve"> et investigations se </w:t>
      </w:r>
      <w:proofErr w:type="spellStart"/>
      <w:r w:rsidRPr="00B82BDF">
        <w:t>soient</w:t>
      </w:r>
      <w:proofErr w:type="spellEnd"/>
      <w:r w:rsidRPr="00B82BDF">
        <w:t xml:space="preserve"> </w:t>
      </w:r>
      <w:proofErr w:type="spellStart"/>
      <w:r w:rsidRPr="00B82BDF">
        <w:t>clôturées</w:t>
      </w:r>
      <w:proofErr w:type="spellEnd"/>
      <w:r w:rsidRPr="00B82BDF">
        <w:t xml:space="preserve"> par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décision</w:t>
      </w:r>
      <w:proofErr w:type="spellEnd"/>
      <w:r w:rsidRPr="00B82BDF">
        <w:t xml:space="preserve"> de </w:t>
      </w:r>
      <w:proofErr w:type="spellStart"/>
      <w:r w:rsidRPr="00B82BDF">
        <w:t>relaxe</w:t>
      </w:r>
      <w:proofErr w:type="spellEnd"/>
      <w:r w:rsidRPr="00B82BDF">
        <w:t xml:space="preserve"> (</w:t>
      </w:r>
      <w:proofErr w:type="spellStart"/>
      <w:r w:rsidRPr="00B82BDF">
        <w:t>requête</w:t>
      </w:r>
      <w:proofErr w:type="spellEnd"/>
      <w:r w:rsidRPr="00B82BDF">
        <w:t xml:space="preserve"> n</w:t>
      </w:r>
      <w:r w:rsidRPr="00B82BDF">
        <w:rPr>
          <w:vertAlign w:val="superscript"/>
        </w:rPr>
        <w:t>o</w:t>
      </w:r>
      <w:r w:rsidRPr="00B82BDF">
        <w:t xml:space="preserve"> 24989/22) </w:t>
      </w:r>
      <w:proofErr w:type="spellStart"/>
      <w:r w:rsidRPr="00B82BDF">
        <w:t>ou</w:t>
      </w:r>
      <w:proofErr w:type="spellEnd"/>
      <w:r w:rsidRPr="00B82BDF">
        <w:t xml:space="preserve"> par un non-lieu au renvoi des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</w:t>
      </w:r>
      <w:proofErr w:type="spellStart"/>
      <w:r w:rsidRPr="00B82BDF">
        <w:t>devant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juridiction</w:t>
      </w:r>
      <w:proofErr w:type="spellEnd"/>
      <w:r w:rsidRPr="00B82BDF">
        <w:t xml:space="preserve"> de </w:t>
      </w:r>
      <w:proofErr w:type="spellStart"/>
      <w:r w:rsidRPr="00B82BDF">
        <w:t>jugement</w:t>
      </w:r>
      <w:proofErr w:type="spellEnd"/>
      <w:r w:rsidRPr="00B82BDF">
        <w:t xml:space="preserve"> pour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jugés</w:t>
      </w:r>
      <w:proofErr w:type="spellEnd"/>
      <w:r w:rsidRPr="00B82BDF">
        <w:t xml:space="preserve"> de faits </w:t>
      </w:r>
      <w:proofErr w:type="spellStart"/>
      <w:r w:rsidRPr="00B82BDF">
        <w:t>criminels</w:t>
      </w:r>
      <w:proofErr w:type="spellEnd"/>
      <w:r w:rsidRPr="00B82BDF">
        <w:t xml:space="preserve"> de viol (</w:t>
      </w:r>
      <w:proofErr w:type="spellStart"/>
      <w:r w:rsidRPr="00B82BDF">
        <w:t>requêtes</w:t>
      </w:r>
      <w:proofErr w:type="spellEnd"/>
      <w:r w:rsidRPr="00B82BDF">
        <w:t xml:space="preserve"> </w:t>
      </w:r>
      <w:proofErr w:type="spellStart"/>
      <w:r w:rsidRPr="00B82BDF">
        <w:t>n</w:t>
      </w:r>
      <w:r w:rsidRPr="00B82BDF">
        <w:rPr>
          <w:vertAlign w:val="superscript"/>
        </w:rPr>
        <w:t>os</w:t>
      </w:r>
      <w:proofErr w:type="spellEnd"/>
      <w:r w:rsidRPr="00B82BDF">
        <w:t xml:space="preserve"> 46949/21 et 39759/22).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effet</w:t>
      </w:r>
      <w:proofErr w:type="spellEnd"/>
      <w:r w:rsidRPr="00B82BDF">
        <w:t xml:space="preserve">, un </w:t>
      </w:r>
      <w:proofErr w:type="spellStart"/>
      <w:r w:rsidRPr="00B82BDF">
        <w:t>acte</w:t>
      </w:r>
      <w:proofErr w:type="spellEnd"/>
      <w:r w:rsidRPr="00B82BDF">
        <w:t xml:space="preserve"> </w:t>
      </w:r>
      <w:proofErr w:type="spellStart"/>
      <w:r w:rsidRPr="00B82BDF">
        <w:t>mettant</w:t>
      </w:r>
      <w:proofErr w:type="spellEnd"/>
      <w:r w:rsidRPr="00B82BDF">
        <w:t xml:space="preserve"> fin aux </w:t>
      </w:r>
      <w:proofErr w:type="spellStart"/>
      <w:r w:rsidRPr="00B82BDF">
        <w:t>poursuites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à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partie</w:t>
      </w:r>
      <w:proofErr w:type="spellEnd"/>
      <w:r w:rsidRPr="00B82BDF">
        <w:t xml:space="preserve"> de </w:t>
      </w:r>
      <w:proofErr w:type="spellStart"/>
      <w:r w:rsidRPr="00B82BDF">
        <w:t>celles</w:t>
      </w:r>
      <w:proofErr w:type="spellEnd"/>
      <w:r w:rsidRPr="00B82BDF">
        <w:t xml:space="preserve">-ci </w:t>
      </w:r>
      <w:proofErr w:type="spellStart"/>
      <w:r w:rsidRPr="00B82BDF">
        <w:t>n’entraîne</w:t>
      </w:r>
      <w:proofErr w:type="spellEnd"/>
      <w:r w:rsidRPr="00B82BDF">
        <w:t xml:space="preserve"> pas, par </w:t>
      </w:r>
      <w:proofErr w:type="spellStart"/>
      <w:r w:rsidRPr="00B82BDF">
        <w:t>lui-même</w:t>
      </w:r>
      <w:proofErr w:type="spellEnd"/>
      <w:r w:rsidRPr="00B82BDF">
        <w:t xml:space="preserve">,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méconnaissance</w:t>
      </w:r>
      <w:proofErr w:type="spellEnd"/>
      <w:r w:rsidRPr="00B82BDF">
        <w:t xml:space="preserve"> par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de </w:t>
      </w:r>
      <w:proofErr w:type="spellStart"/>
      <w:r w:rsidRPr="00B82BDF">
        <w:t>leurs</w:t>
      </w:r>
      <w:proofErr w:type="spellEnd"/>
      <w:r w:rsidRPr="00B82BDF">
        <w:t xml:space="preserve"> </w:t>
      </w:r>
      <w:r w:rsidRPr="00B82BDF">
        <w:lastRenderedPageBreak/>
        <w:t xml:space="preserve">obligations positives </w:t>
      </w:r>
      <w:proofErr w:type="spellStart"/>
      <w:r w:rsidRPr="00B82BDF">
        <w:t>décrites</w:t>
      </w:r>
      <w:proofErr w:type="spellEnd"/>
      <w:r w:rsidRPr="00B82BDF">
        <w:t xml:space="preserve"> ci-dessus (</w:t>
      </w:r>
      <w:r w:rsidRPr="00B82BDF">
        <w:rPr>
          <w:i/>
          <w:iCs/>
        </w:rPr>
        <w:t>mutatis mutandis</w:t>
      </w:r>
      <w:r w:rsidRPr="00B82BDF">
        <w:t xml:space="preserve">, </w:t>
      </w:r>
      <w:r w:rsidRPr="00B82BDF">
        <w:rPr>
          <w:i/>
          <w:iCs/>
        </w:rPr>
        <w:t>J.L. c. Italie</w:t>
      </w:r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>, § 118).</w:t>
      </w:r>
    </w:p>
    <w:p w14:paraId="1D17EC24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211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souligne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deuxième</w:t>
      </w:r>
      <w:proofErr w:type="spellEnd"/>
      <w:r w:rsidRPr="00B82BDF">
        <w:t xml:space="preserve"> lieu, </w:t>
      </w:r>
      <w:proofErr w:type="spellStart"/>
      <w:r w:rsidRPr="00B82BDF">
        <w:t>qu’elle</w:t>
      </w:r>
      <w:proofErr w:type="spellEnd"/>
      <w:r w:rsidRPr="00B82BDF">
        <w:t xml:space="preserve"> doit </w:t>
      </w:r>
      <w:proofErr w:type="spellStart"/>
      <w:r w:rsidRPr="00B82BDF">
        <w:t>en</w:t>
      </w:r>
      <w:proofErr w:type="spellEnd"/>
      <w:r w:rsidRPr="00B82BDF">
        <w:t xml:space="preserve"> revanche </w:t>
      </w:r>
      <w:proofErr w:type="spellStart"/>
      <w:r w:rsidRPr="00B82BDF">
        <w:t>s’assurer</w:t>
      </w:r>
      <w:proofErr w:type="spellEnd"/>
      <w:r w:rsidRPr="00B82BDF">
        <w:t xml:space="preserve"> que les </w:t>
      </w:r>
      <w:proofErr w:type="spellStart"/>
      <w:r w:rsidRPr="00B82BDF">
        <w:t>autorités</w:t>
      </w:r>
      <w:proofErr w:type="spellEnd"/>
      <w:r w:rsidRPr="00B82BDF">
        <w:t xml:space="preserve"> internes </w:t>
      </w:r>
      <w:proofErr w:type="spellStart"/>
      <w:r w:rsidRPr="00B82BDF">
        <w:t>saisies</w:t>
      </w:r>
      <w:proofErr w:type="spellEnd"/>
      <w:r w:rsidRPr="00B82BDF">
        <w:t xml:space="preserve"> </w:t>
      </w:r>
      <w:proofErr w:type="spellStart"/>
      <w:r w:rsidRPr="00B82BDF">
        <w:t>d’une</w:t>
      </w:r>
      <w:proofErr w:type="spellEnd"/>
      <w:r w:rsidRPr="00B82BDF">
        <w:t xml:space="preserve"> </w:t>
      </w:r>
      <w:proofErr w:type="spellStart"/>
      <w:r w:rsidRPr="00B82BDF">
        <w:t>plainte</w:t>
      </w:r>
      <w:proofErr w:type="spellEnd"/>
      <w:r w:rsidRPr="00B82BDF">
        <w:t xml:space="preserve"> pour des faits de viol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effectivement</w:t>
      </w:r>
      <w:proofErr w:type="spellEnd"/>
      <w:r w:rsidRPr="00B82BDF">
        <w:t xml:space="preserve"> </w:t>
      </w:r>
      <w:proofErr w:type="spellStart"/>
      <w:r w:rsidRPr="00B82BDF">
        <w:t>analysé</w:t>
      </w:r>
      <w:proofErr w:type="spellEnd"/>
      <w:r w:rsidRPr="00B82BDF">
        <w:t xml:space="preserve"> les </w:t>
      </w:r>
      <w:proofErr w:type="spellStart"/>
      <w:r w:rsidRPr="00B82BDF">
        <w:t>circonstances</w:t>
      </w:r>
      <w:proofErr w:type="spellEnd"/>
      <w:r w:rsidRPr="00B82BDF">
        <w:t xml:space="preserve"> de </w:t>
      </w:r>
      <w:proofErr w:type="spellStart"/>
      <w:r w:rsidRPr="00B82BDF">
        <w:t>l’affaire</w:t>
      </w:r>
      <w:proofErr w:type="spellEnd"/>
      <w:r w:rsidRPr="00B82BDF">
        <w:t xml:space="preserve"> sous </w:t>
      </w:r>
      <w:proofErr w:type="spellStart"/>
      <w:r w:rsidRPr="00B82BDF">
        <w:t>l’angle</w:t>
      </w:r>
      <w:proofErr w:type="spellEnd"/>
      <w:r w:rsidRPr="00B82BDF">
        <w:t xml:space="preserve"> de la violence </w:t>
      </w:r>
      <w:proofErr w:type="spellStart"/>
      <w:r w:rsidRPr="00B82BDF">
        <w:t>fondée</w:t>
      </w:r>
      <w:proofErr w:type="spellEnd"/>
      <w:r w:rsidRPr="00B82BDF">
        <w:t xml:space="preserve"> sur le genre et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usé</w:t>
      </w:r>
      <w:proofErr w:type="spellEnd"/>
      <w:r w:rsidRPr="00B82BDF">
        <w:t xml:space="preserve"> de </w:t>
      </w:r>
      <w:proofErr w:type="spellStart"/>
      <w:r w:rsidRPr="00B82BDF">
        <w:t>toutes</w:t>
      </w:r>
      <w:proofErr w:type="spellEnd"/>
      <w:r w:rsidRPr="00B82BDF">
        <w:t xml:space="preserve"> les </w:t>
      </w:r>
      <w:proofErr w:type="spellStart"/>
      <w:r w:rsidRPr="00B82BDF">
        <w:t>possibilités</w:t>
      </w:r>
      <w:proofErr w:type="spellEnd"/>
      <w:r w:rsidRPr="00B82BDF">
        <w:t xml:space="preserve"> qui </w:t>
      </w:r>
      <w:proofErr w:type="spellStart"/>
      <w:r w:rsidRPr="00B82BDF">
        <w:t>s’offraient</w:t>
      </w:r>
      <w:proofErr w:type="spellEnd"/>
      <w:r w:rsidRPr="00B82BDF">
        <w:t xml:space="preserve"> à </w:t>
      </w:r>
      <w:proofErr w:type="spellStart"/>
      <w:r w:rsidRPr="00B82BDF">
        <w:t>elles</w:t>
      </w:r>
      <w:proofErr w:type="spellEnd"/>
      <w:r w:rsidRPr="00B82BDF">
        <w:t xml:space="preserve"> pour </w:t>
      </w:r>
      <w:proofErr w:type="spellStart"/>
      <w:r w:rsidRPr="00B82BDF">
        <w:t>établir</w:t>
      </w:r>
      <w:proofErr w:type="spellEnd"/>
      <w:r w:rsidRPr="00B82BDF">
        <w:t xml:space="preserve"> les </w:t>
      </w:r>
      <w:proofErr w:type="spellStart"/>
      <w:r w:rsidRPr="00B82BDF">
        <w:t>circonstances</w:t>
      </w:r>
      <w:proofErr w:type="spellEnd"/>
      <w:r w:rsidRPr="00B82BDF">
        <w:t xml:space="preserve"> des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dénoncés</w:t>
      </w:r>
      <w:proofErr w:type="spellEnd"/>
      <w:r w:rsidRPr="00B82BDF">
        <w:t xml:space="preserve"> (</w:t>
      </w:r>
      <w:r w:rsidRPr="00B82BDF">
        <w:rPr>
          <w:i/>
          <w:iCs/>
        </w:rPr>
        <w:t>M.C.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§§ 177-82, et </w:t>
      </w:r>
      <w:r w:rsidRPr="00B82BDF">
        <w:rPr>
          <w:i/>
          <w:iCs/>
        </w:rPr>
        <w:t>mutatis mutandis</w:t>
      </w:r>
      <w:r w:rsidRPr="00B82BDF">
        <w:t xml:space="preserve">, </w:t>
      </w:r>
      <w:r w:rsidRPr="00B82BDF">
        <w:rPr>
          <w:i/>
          <w:iCs/>
        </w:rPr>
        <w:t>X c. </w:t>
      </w:r>
      <w:proofErr w:type="spellStart"/>
      <w:r w:rsidRPr="00B82BDF">
        <w:rPr>
          <w:i/>
          <w:iCs/>
        </w:rPr>
        <w:t>Grèce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§ 87). Pour </w:t>
      </w:r>
      <w:proofErr w:type="spellStart"/>
      <w:r w:rsidRPr="00B82BDF">
        <w:t>ce</w:t>
      </w:r>
      <w:proofErr w:type="spellEnd"/>
      <w:r w:rsidRPr="00B82BDF">
        <w:t xml:space="preserve"> faire,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s’attache</w:t>
      </w:r>
      <w:proofErr w:type="spellEnd"/>
      <w:r w:rsidRPr="00B82BDF">
        <w:t xml:space="preserve"> </w:t>
      </w:r>
      <w:proofErr w:type="spellStart"/>
      <w:r w:rsidRPr="00B82BDF">
        <w:t>notamment</w:t>
      </w:r>
      <w:proofErr w:type="spellEnd"/>
      <w:r w:rsidRPr="00B82BDF">
        <w:t xml:space="preserve"> à </w:t>
      </w:r>
      <w:proofErr w:type="spellStart"/>
      <w:r w:rsidRPr="00B82BDF">
        <w:t>vérifier</w:t>
      </w:r>
      <w:proofErr w:type="spellEnd"/>
      <w:r w:rsidRPr="00B82BDF">
        <w:t xml:space="preserve">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pris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les </w:t>
      </w:r>
      <w:proofErr w:type="spellStart"/>
      <w:r w:rsidRPr="00B82BDF">
        <w:t>facteurs</w:t>
      </w:r>
      <w:proofErr w:type="spellEnd"/>
      <w:r w:rsidRPr="00B82BDF">
        <w:t xml:space="preserve"> </w:t>
      </w:r>
      <w:proofErr w:type="spellStart"/>
      <w:r w:rsidRPr="00B82BDF">
        <w:t>psychologiques</w:t>
      </w:r>
      <w:proofErr w:type="spellEnd"/>
      <w:r w:rsidRPr="00B82BDF">
        <w:t xml:space="preserve"> </w:t>
      </w:r>
      <w:proofErr w:type="spellStart"/>
      <w:r w:rsidRPr="00B82BDF">
        <w:t>propres</w:t>
      </w:r>
      <w:proofErr w:type="spellEnd"/>
      <w:r w:rsidRPr="00B82BDF">
        <w:t xml:space="preserve"> aux affaires de viol,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procédé</w:t>
      </w:r>
      <w:proofErr w:type="spellEnd"/>
      <w:r w:rsidRPr="00B82BDF">
        <w:t xml:space="preserve"> à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de la </w:t>
      </w:r>
      <w:proofErr w:type="spellStart"/>
      <w:r w:rsidRPr="00B82BDF">
        <w:t>crédibilité</w:t>
      </w:r>
      <w:proofErr w:type="spellEnd"/>
      <w:r w:rsidRPr="00B82BDF">
        <w:t xml:space="preserve"> des </w:t>
      </w:r>
      <w:proofErr w:type="spellStart"/>
      <w:r w:rsidRPr="00B82BDF">
        <w:t>différentes</w:t>
      </w:r>
      <w:proofErr w:type="spellEnd"/>
      <w:r w:rsidRPr="00B82BDF">
        <w:t xml:space="preserve"> </w:t>
      </w:r>
      <w:proofErr w:type="spellStart"/>
      <w:r w:rsidRPr="00B82BDF">
        <w:t>déclarations</w:t>
      </w:r>
      <w:proofErr w:type="spellEnd"/>
      <w:r w:rsidRPr="00B82BDF">
        <w:t xml:space="preserve"> par rapport au </w:t>
      </w:r>
      <w:proofErr w:type="spellStart"/>
      <w:r w:rsidRPr="00B82BDF">
        <w:t>contexte</w:t>
      </w:r>
      <w:proofErr w:type="spellEnd"/>
      <w:r w:rsidRPr="00B82BDF">
        <w:t xml:space="preserve"> pertinent et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démontré</w:t>
      </w:r>
      <w:proofErr w:type="spellEnd"/>
      <w:r w:rsidRPr="00B82BDF">
        <w:t xml:space="preserve"> des efforts </w:t>
      </w:r>
      <w:proofErr w:type="spellStart"/>
      <w:r w:rsidRPr="00B82BDF">
        <w:t>sérieux</w:t>
      </w:r>
      <w:proofErr w:type="spellEnd"/>
      <w:r w:rsidRPr="00B82BDF">
        <w:t xml:space="preserve"> pour </w:t>
      </w:r>
      <w:proofErr w:type="spellStart"/>
      <w:r w:rsidRPr="00B82BDF">
        <w:t>éclaircir</w:t>
      </w:r>
      <w:proofErr w:type="spellEnd"/>
      <w:r w:rsidRPr="00B82BDF">
        <w:t xml:space="preserve"> les divergences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évaluer</w:t>
      </w:r>
      <w:proofErr w:type="spellEnd"/>
      <w:r w:rsidRPr="00B82BDF">
        <w:t xml:space="preserve"> </w:t>
      </w:r>
      <w:proofErr w:type="spellStart"/>
      <w:r w:rsidRPr="00B82BDF">
        <w:t>l’état</w:t>
      </w:r>
      <w:proofErr w:type="spellEnd"/>
      <w:r w:rsidRPr="00B82BDF">
        <w:t xml:space="preserve"> d’esprit et la situation </w:t>
      </w:r>
      <w:proofErr w:type="spellStart"/>
      <w:r w:rsidRPr="00B82BDF">
        <w:t>personnelle</w:t>
      </w:r>
      <w:proofErr w:type="spellEnd"/>
      <w:r w:rsidRPr="00B82BDF">
        <w:t xml:space="preserve"> des </w:t>
      </w:r>
      <w:proofErr w:type="spellStart"/>
      <w:r w:rsidRPr="00B82BDF">
        <w:t>requérantes</w:t>
      </w:r>
      <w:proofErr w:type="spellEnd"/>
      <w:r w:rsidRPr="00B82BDF">
        <w:t xml:space="preserve"> y </w:t>
      </w:r>
      <w:proofErr w:type="spellStart"/>
      <w:r w:rsidRPr="00B82BDF">
        <w:t>compris</w:t>
      </w:r>
      <w:proofErr w:type="spellEnd"/>
      <w:r w:rsidRPr="00B82BDF">
        <w:t xml:space="preserve"> dans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des conclusions </w:t>
      </w:r>
      <w:proofErr w:type="spellStart"/>
      <w:r w:rsidRPr="00B82BDF">
        <w:t>expertales</w:t>
      </w:r>
      <w:proofErr w:type="spellEnd"/>
      <w:r w:rsidRPr="00B82BDF">
        <w:t xml:space="preserve"> (</w:t>
      </w:r>
      <w:r w:rsidRPr="00B82BDF">
        <w:rPr>
          <w:i/>
          <w:iCs/>
        </w:rPr>
        <w:t>mutatis mutandis</w:t>
      </w:r>
      <w:r w:rsidRPr="00B82BDF">
        <w:t xml:space="preserve">, </w:t>
      </w:r>
      <w:r w:rsidRPr="00B82BDF">
        <w:rPr>
          <w:i/>
          <w:iCs/>
        </w:rPr>
        <w:t>X  c. </w:t>
      </w:r>
      <w:proofErr w:type="spellStart"/>
      <w:r w:rsidRPr="00B82BDF">
        <w:rPr>
          <w:i/>
          <w:iCs/>
        </w:rPr>
        <w:t>Grèce</w:t>
      </w:r>
      <w:proofErr w:type="spellEnd"/>
      <w:r w:rsidRPr="00B82BDF">
        <w:t xml:space="preserve">, </w:t>
      </w:r>
      <w:proofErr w:type="spellStart"/>
      <w:r w:rsidRPr="00B82BDF">
        <w:t>précité</w:t>
      </w:r>
      <w:proofErr w:type="spellEnd"/>
      <w:r w:rsidRPr="00B82BDF">
        <w:t xml:space="preserve">, </w:t>
      </w:r>
      <w:r w:rsidRPr="00B82BDF">
        <w:rPr>
          <w:i/>
          <w:iCs/>
        </w:rPr>
        <w:t>ibidem</w:t>
      </w:r>
      <w:r w:rsidRPr="00B82BDF">
        <w:t>).</w:t>
      </w:r>
    </w:p>
    <w:p w14:paraId="39CAEE54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212</w:t>
      </w:r>
      <w:r w:rsidRPr="00B82BDF">
        <w:rPr>
          <w:noProof/>
        </w:rPr>
        <w:fldChar w:fldCharType="end"/>
      </w:r>
      <w:r w:rsidRPr="00B82BDF">
        <w:t xml:space="preserve">.  Dans les </w:t>
      </w:r>
      <w:proofErr w:type="spellStart"/>
      <w:r w:rsidRPr="00B82BDF">
        <w:t>présentes</w:t>
      </w:r>
      <w:proofErr w:type="spellEnd"/>
      <w:r w:rsidRPr="00B82BDF">
        <w:t xml:space="preserve"> affaires,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que </w:t>
      </w:r>
      <w:proofErr w:type="spellStart"/>
      <w:r w:rsidRPr="00B82BDF">
        <w:t>dès</w:t>
      </w:r>
      <w:proofErr w:type="spellEnd"/>
      <w:r w:rsidRPr="00B82BDF">
        <w:t xml:space="preserve"> le </w:t>
      </w:r>
      <w:proofErr w:type="spellStart"/>
      <w:r w:rsidRPr="00B82BDF">
        <w:t>dépôt</w:t>
      </w:r>
      <w:proofErr w:type="spellEnd"/>
      <w:r w:rsidRPr="00B82BDF">
        <w:t xml:space="preserve"> de </w:t>
      </w:r>
      <w:proofErr w:type="spellStart"/>
      <w:r w:rsidRPr="00B82BDF">
        <w:t>plaintes</w:t>
      </w:r>
      <w:proofErr w:type="spellEnd"/>
      <w:r w:rsidRPr="00B82BDF">
        <w:t xml:space="preserve"> par les </w:t>
      </w:r>
      <w:proofErr w:type="spellStart"/>
      <w:r w:rsidRPr="00B82BDF">
        <w:t>requérantes</w:t>
      </w:r>
      <w:proofErr w:type="spellEnd"/>
      <w:r w:rsidRPr="00B82BDF">
        <w:t xml:space="preserve">,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enquête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diligentée</w:t>
      </w:r>
      <w:proofErr w:type="spellEnd"/>
      <w:r w:rsidRPr="00B82BDF">
        <w:t xml:space="preserve"> et </w:t>
      </w:r>
      <w:proofErr w:type="spellStart"/>
      <w:r w:rsidRPr="00B82BDF">
        <w:t>qu’un</w:t>
      </w:r>
      <w:proofErr w:type="spellEnd"/>
      <w:r w:rsidRPr="00B82BDF">
        <w:t xml:space="preserve"> </w:t>
      </w:r>
      <w:proofErr w:type="spellStart"/>
      <w:r w:rsidRPr="00B82BDF">
        <w:t>juge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juridiction</w:t>
      </w:r>
      <w:proofErr w:type="spellEnd"/>
      <w:r w:rsidRPr="00B82BDF">
        <w:t xml:space="preserve"> de </w:t>
      </w:r>
      <w:proofErr w:type="spellStart"/>
      <w:r w:rsidRPr="00B82BDF">
        <w:t>jugement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saisis</w:t>
      </w:r>
      <w:proofErr w:type="spellEnd"/>
      <w:r w:rsidRPr="00B82BDF">
        <w:t xml:space="preserve"> des faits </w:t>
      </w:r>
      <w:proofErr w:type="spellStart"/>
      <w:r w:rsidRPr="00B82BDF">
        <w:t>dénoncés</w:t>
      </w:r>
      <w:proofErr w:type="spellEnd"/>
      <w:r w:rsidRPr="00B82BDF">
        <w:t xml:space="preserve">. 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, </w:t>
      </w:r>
      <w:proofErr w:type="spellStart"/>
      <w:r w:rsidRPr="00B82BDF">
        <w:t>elle</w:t>
      </w:r>
      <w:proofErr w:type="spellEnd"/>
      <w:r w:rsidRPr="00B82BDF">
        <w:t xml:space="preserve"> note que, dans </w:t>
      </w:r>
      <w:proofErr w:type="spellStart"/>
      <w:r w:rsidRPr="00B82BDF">
        <w:t>chaque</w:t>
      </w:r>
      <w:proofErr w:type="spellEnd"/>
      <w:r w:rsidRPr="00B82BDF">
        <w:t xml:space="preserve"> </w:t>
      </w:r>
      <w:proofErr w:type="spellStart"/>
      <w:r w:rsidRPr="00B82BDF">
        <w:t>affaire</w:t>
      </w:r>
      <w:proofErr w:type="spellEnd"/>
      <w:r w:rsidRPr="00B82BDF">
        <w:t xml:space="preserve">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entendu</w:t>
      </w:r>
      <w:proofErr w:type="spellEnd"/>
      <w:r w:rsidRPr="00B82BDF">
        <w:t xml:space="preserve"> les parties et </w:t>
      </w:r>
      <w:proofErr w:type="spellStart"/>
      <w:r w:rsidRPr="00B82BDF">
        <w:t>recueilli</w:t>
      </w:r>
      <w:proofErr w:type="spellEnd"/>
      <w:r w:rsidRPr="00B82BDF">
        <w:t xml:space="preserve"> </w:t>
      </w:r>
      <w:proofErr w:type="spellStart"/>
      <w:r w:rsidRPr="00B82BDF">
        <w:t>leurs</w:t>
      </w:r>
      <w:proofErr w:type="spellEnd"/>
      <w:r w:rsidRPr="00B82BDF">
        <w:t xml:space="preserve"> </w:t>
      </w:r>
      <w:proofErr w:type="spellStart"/>
      <w:r w:rsidRPr="00B82BDF">
        <w:t>déclarations</w:t>
      </w:r>
      <w:proofErr w:type="spellEnd"/>
      <w:r w:rsidRPr="00B82BDF">
        <w:t xml:space="preserve">, y </w:t>
      </w:r>
      <w:proofErr w:type="spellStart"/>
      <w:r w:rsidRPr="00B82BDF">
        <w:t>compris</w:t>
      </w:r>
      <w:proofErr w:type="spellEnd"/>
      <w:r w:rsidRPr="00B82BDF">
        <w:t xml:space="preserve"> </w:t>
      </w:r>
      <w:proofErr w:type="spellStart"/>
      <w:r w:rsidRPr="00B82BDF">
        <w:t>lors</w:t>
      </w:r>
      <w:proofErr w:type="spellEnd"/>
      <w:r w:rsidRPr="00B82BDF">
        <w:t xml:space="preserve"> de confrontations, </w:t>
      </w:r>
      <w:proofErr w:type="spellStart"/>
      <w:r w:rsidRPr="00B82BDF">
        <w:t>ainsi</w:t>
      </w:r>
      <w:proofErr w:type="spellEnd"/>
      <w:r w:rsidRPr="00B82BDF">
        <w:t xml:space="preserve"> que </w:t>
      </w:r>
      <w:proofErr w:type="spellStart"/>
      <w:r w:rsidRPr="00B82BDF">
        <w:t>celles</w:t>
      </w:r>
      <w:proofErr w:type="spellEnd"/>
      <w:r w:rsidRPr="00B82BDF">
        <w:t xml:space="preserve"> des </w:t>
      </w:r>
      <w:proofErr w:type="spellStart"/>
      <w:r w:rsidRPr="00B82BDF">
        <w:t>témoins</w:t>
      </w:r>
      <w:proofErr w:type="spellEnd"/>
      <w:r w:rsidRPr="00B82BDF">
        <w:t xml:space="preserve"> </w:t>
      </w:r>
      <w:proofErr w:type="spellStart"/>
      <w:r w:rsidRPr="00B82BDF">
        <w:t>principaux</w:t>
      </w:r>
      <w:proofErr w:type="spellEnd"/>
      <w:r w:rsidRPr="00B82BDF">
        <w:t xml:space="preserve">,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ordonné</w:t>
      </w:r>
      <w:proofErr w:type="spellEnd"/>
      <w:r w:rsidRPr="00B82BDF">
        <w:t xml:space="preserve"> des investigations </w:t>
      </w:r>
      <w:proofErr w:type="spellStart"/>
      <w:r w:rsidRPr="00B82BDF">
        <w:t>afin</w:t>
      </w:r>
      <w:proofErr w:type="spellEnd"/>
      <w:r w:rsidRPr="00B82BDF">
        <w:t xml:space="preserve"> de </w:t>
      </w:r>
      <w:proofErr w:type="spellStart"/>
      <w:r w:rsidRPr="00B82BDF">
        <w:t>cerner</w:t>
      </w:r>
      <w:proofErr w:type="spellEnd"/>
      <w:r w:rsidRPr="00B82BDF">
        <w:t xml:space="preserve"> la </w:t>
      </w:r>
      <w:proofErr w:type="spellStart"/>
      <w:r w:rsidRPr="00B82BDF">
        <w:t>personnalité</w:t>
      </w:r>
      <w:proofErr w:type="spellEnd"/>
      <w:r w:rsidRPr="00B82BDF">
        <w:t xml:space="preserve"> des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et des </w:t>
      </w:r>
      <w:proofErr w:type="spellStart"/>
      <w:r w:rsidRPr="00B82BDF">
        <w:t>victimes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 au </w:t>
      </w:r>
      <w:proofErr w:type="spellStart"/>
      <w:r w:rsidRPr="00B82BDF">
        <w:t>moyen</w:t>
      </w:r>
      <w:proofErr w:type="spellEnd"/>
      <w:r w:rsidRPr="00B82BDF">
        <w:t xml:space="preserve"> </w:t>
      </w:r>
      <w:proofErr w:type="spellStart"/>
      <w:r w:rsidRPr="00B82BDF">
        <w:t>d’auditions</w:t>
      </w:r>
      <w:proofErr w:type="spellEnd"/>
      <w:r w:rsidRPr="00B82BDF">
        <w:t xml:space="preserve"> et </w:t>
      </w:r>
      <w:proofErr w:type="spellStart"/>
      <w:r w:rsidRPr="00B82BDF">
        <w:t>d’interrogatoires</w:t>
      </w:r>
      <w:proofErr w:type="spellEnd"/>
      <w:r w:rsidRPr="00B82BDF">
        <w:t xml:space="preserve">, </w:t>
      </w:r>
      <w:proofErr w:type="spellStart"/>
      <w:r w:rsidRPr="00B82BDF">
        <w:t>d’examens</w:t>
      </w:r>
      <w:proofErr w:type="spellEnd"/>
      <w:r w:rsidRPr="00B82BDF">
        <w:t xml:space="preserve"> </w:t>
      </w:r>
      <w:proofErr w:type="spellStart"/>
      <w:r w:rsidRPr="00B82BDF">
        <w:t>médicaux</w:t>
      </w:r>
      <w:proofErr w:type="spellEnd"/>
      <w:r w:rsidRPr="00B82BDF">
        <w:t xml:space="preserve"> et </w:t>
      </w:r>
      <w:proofErr w:type="spellStart"/>
      <w:r w:rsidRPr="00B82BDF">
        <w:t>d’expertises</w:t>
      </w:r>
      <w:proofErr w:type="spellEnd"/>
      <w:r w:rsidRPr="00B82BDF">
        <w:t xml:space="preserve"> </w:t>
      </w:r>
      <w:proofErr w:type="spellStart"/>
      <w:r w:rsidRPr="00B82BDF">
        <w:t>psychiatriques</w:t>
      </w:r>
      <w:proofErr w:type="spellEnd"/>
      <w:r w:rsidRPr="00B82BDF">
        <w:t xml:space="preserve"> et </w:t>
      </w:r>
      <w:proofErr w:type="spellStart"/>
      <w:r w:rsidRPr="00B82BDF">
        <w:t>psychologiques</w:t>
      </w:r>
      <w:proofErr w:type="spellEnd"/>
      <w:r w:rsidRPr="00B82BDF">
        <w:t>.</w:t>
      </w:r>
    </w:p>
    <w:p w14:paraId="3925F0C5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213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rappelle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troisième</w:t>
      </w:r>
      <w:proofErr w:type="spellEnd"/>
      <w:r w:rsidRPr="00B82BDF">
        <w:t xml:space="preserve"> lieu, que, pour </w:t>
      </w:r>
      <w:proofErr w:type="spellStart"/>
      <w:r w:rsidRPr="00B82BDF">
        <w:t>garantir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protection </w:t>
      </w:r>
      <w:proofErr w:type="spellStart"/>
      <w:r w:rsidRPr="00B82BDF">
        <w:t>adéquate</w:t>
      </w:r>
      <w:proofErr w:type="spellEnd"/>
      <w:r w:rsidRPr="00B82BDF">
        <w:t xml:space="preserve"> </w:t>
      </w:r>
      <w:proofErr w:type="spellStart"/>
      <w:r w:rsidRPr="00B82BDF">
        <w:t>contre</w:t>
      </w:r>
      <w:proofErr w:type="spellEnd"/>
      <w:r w:rsidRPr="00B82BDF">
        <w:t xml:space="preserve"> le viol et les infractions </w:t>
      </w:r>
      <w:proofErr w:type="spellStart"/>
      <w:r w:rsidRPr="00B82BDF">
        <w:t>sexuelles</w:t>
      </w:r>
      <w:proofErr w:type="spellEnd"/>
      <w:r w:rsidRPr="00B82BDF">
        <w:t xml:space="preserve">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doivent</w:t>
      </w:r>
      <w:proofErr w:type="spellEnd"/>
      <w:r w:rsidRPr="00B82BDF">
        <w:t xml:space="preserve"> </w:t>
      </w:r>
      <w:proofErr w:type="spellStart"/>
      <w:r w:rsidRPr="00B82BDF">
        <w:t>tenir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, le </w:t>
      </w:r>
      <w:proofErr w:type="spellStart"/>
      <w:r w:rsidRPr="00B82BDF">
        <w:t>cas</w:t>
      </w:r>
      <w:proofErr w:type="spellEnd"/>
      <w:r w:rsidRPr="00B82BDF">
        <w:t xml:space="preserve"> </w:t>
      </w:r>
      <w:proofErr w:type="spellStart"/>
      <w:r w:rsidRPr="00B82BDF">
        <w:t>échéant</w:t>
      </w:r>
      <w:proofErr w:type="spellEnd"/>
      <w:r w:rsidRPr="00B82BDF">
        <w:t xml:space="preserve">, de la </w:t>
      </w:r>
      <w:proofErr w:type="spellStart"/>
      <w:r w:rsidRPr="00B82BDF">
        <w:t>vulnérabilité</w:t>
      </w:r>
      <w:proofErr w:type="spellEnd"/>
      <w:r w:rsidRPr="00B82BDF">
        <w:t xml:space="preserve"> des </w:t>
      </w:r>
      <w:proofErr w:type="spellStart"/>
      <w:r w:rsidRPr="00B82BDF">
        <w:t>victimes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particulier des </w:t>
      </w:r>
      <w:proofErr w:type="spellStart"/>
      <w:r w:rsidRPr="00B82BDF">
        <w:t>mineurs</w:t>
      </w:r>
      <w:proofErr w:type="spellEnd"/>
      <w:r w:rsidRPr="00B82BDF">
        <w:t xml:space="preserve">, </w:t>
      </w:r>
      <w:proofErr w:type="spellStart"/>
      <w:r w:rsidRPr="00B82BDF">
        <w:t>conformément</w:t>
      </w:r>
      <w:proofErr w:type="spellEnd"/>
      <w:r w:rsidRPr="00B82BDF">
        <w:t xml:space="preserve"> aux standards </w:t>
      </w:r>
      <w:proofErr w:type="spellStart"/>
      <w:r w:rsidRPr="00B82BDF">
        <w:t>élaborés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la matière par les instruments </w:t>
      </w:r>
      <w:proofErr w:type="spellStart"/>
      <w:r w:rsidRPr="00B82BDF">
        <w:t>nationaux</w:t>
      </w:r>
      <w:proofErr w:type="spellEnd"/>
      <w:r w:rsidRPr="00B82BDF">
        <w:t xml:space="preserve"> et </w:t>
      </w:r>
      <w:proofErr w:type="spellStart"/>
      <w:r w:rsidRPr="00B82BDF">
        <w:t>internationaux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paragraph00115 \h \* CharFormat </w:instrText>
      </w:r>
      <w:r w:rsidRPr="00B82BDF">
        <w:fldChar w:fldCharType="separate"/>
      </w:r>
      <w:r w:rsidRPr="00B82BDF">
        <w:t>115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paragraph00118 \h \* CharFormat </w:instrText>
      </w:r>
      <w:r w:rsidRPr="00B82BDF">
        <w:fldChar w:fldCharType="separate"/>
      </w:r>
      <w:r w:rsidRPr="00B82BDF">
        <w:t>118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paragraph00119 \h \* CharFormat </w:instrText>
      </w:r>
      <w:r w:rsidRPr="00B82BDF">
        <w:fldChar w:fldCharType="separate"/>
      </w:r>
      <w:r w:rsidRPr="00B82BDF">
        <w:t>119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paragraph00122 \h \* CharFormat </w:instrText>
      </w:r>
      <w:r w:rsidRPr="00B82BDF">
        <w:fldChar w:fldCharType="separate"/>
      </w:r>
      <w:r w:rsidRPr="00B82BDF">
        <w:t>122</w:t>
      </w:r>
      <w:r w:rsidRPr="00B82BDF">
        <w:fldChar w:fldCharType="end"/>
      </w:r>
      <w:r w:rsidRPr="00B82BDF">
        <w:t xml:space="preserve"> et </w:t>
      </w:r>
      <w:r w:rsidRPr="00B82BDF">
        <w:fldChar w:fldCharType="begin"/>
      </w:r>
      <w:r w:rsidRPr="00B82BDF">
        <w:instrText xml:space="preserve">REF paragraph00125 \h \* CharFormat </w:instrText>
      </w:r>
      <w:r w:rsidRPr="00B82BDF">
        <w:fldChar w:fldCharType="separate"/>
      </w:r>
      <w:r w:rsidRPr="00B82BDF">
        <w:t>125</w:t>
      </w:r>
      <w:r w:rsidRPr="00B82BDF">
        <w:fldChar w:fldCharType="end"/>
      </w:r>
      <w:r w:rsidRPr="00B82BDF">
        <w:t>).</w:t>
      </w:r>
    </w:p>
    <w:p w14:paraId="7F9290C0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214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l’espèce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souligne</w:t>
      </w:r>
      <w:proofErr w:type="spellEnd"/>
      <w:r w:rsidRPr="00B82BDF">
        <w:t xml:space="preserve"> la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des </w:t>
      </w:r>
      <w:proofErr w:type="spellStart"/>
      <w:r w:rsidRPr="00B82BDF">
        <w:t>requérantes</w:t>
      </w:r>
      <w:proofErr w:type="spellEnd"/>
      <w:r w:rsidRPr="00B82BDF">
        <w:t xml:space="preserve"> </w:t>
      </w:r>
      <w:proofErr w:type="spellStart"/>
      <w:r w:rsidRPr="00B82BDF">
        <w:t>eu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à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minorité</w:t>
      </w:r>
      <w:proofErr w:type="spellEnd"/>
      <w:r w:rsidRPr="00B82BDF">
        <w:t xml:space="preserve"> au moment des faits </w:t>
      </w:r>
      <w:proofErr w:type="spellStart"/>
      <w:r w:rsidRPr="00B82BDF">
        <w:t>dénoncés</w:t>
      </w:r>
      <w:proofErr w:type="spellEnd"/>
      <w:r w:rsidRPr="00B82BDF">
        <w:t xml:space="preserve"> et à </w:t>
      </w:r>
      <w:proofErr w:type="spellStart"/>
      <w:r w:rsidRPr="00B82BDF">
        <w:t>plusieurs</w:t>
      </w:r>
      <w:proofErr w:type="spellEnd"/>
      <w:r w:rsidRPr="00B82BDF">
        <w:t xml:space="preserve"> </w:t>
      </w:r>
      <w:proofErr w:type="spellStart"/>
      <w:r w:rsidRPr="00B82BDF">
        <w:t>autres</w:t>
      </w:r>
      <w:proofErr w:type="spellEnd"/>
      <w:r w:rsidRPr="00B82BDF">
        <w:t xml:space="preserve"> </w:t>
      </w:r>
      <w:proofErr w:type="spellStart"/>
      <w:r w:rsidRPr="00B82BDF">
        <w:t>facteurs</w:t>
      </w:r>
      <w:proofErr w:type="spellEnd"/>
      <w:r w:rsidRPr="00B82BDF">
        <w:t xml:space="preserve"> </w:t>
      </w:r>
      <w:proofErr w:type="spellStart"/>
      <w:r w:rsidRPr="00B82BDF">
        <w:t>tels</w:t>
      </w:r>
      <w:proofErr w:type="spellEnd"/>
      <w:r w:rsidRPr="00B82BDF">
        <w:t xml:space="preserve"> que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santé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consommation</w:t>
      </w:r>
      <w:proofErr w:type="spellEnd"/>
      <w:r w:rsidRPr="00B82BDF">
        <w:t xml:space="preserve"> </w:t>
      </w:r>
      <w:proofErr w:type="spellStart"/>
      <w:r w:rsidRPr="00B82BDF">
        <w:t>d’alcool</w:t>
      </w:r>
      <w:proofErr w:type="spellEnd"/>
      <w:r w:rsidRPr="00B82BDF">
        <w:t xml:space="preserve"> et de </w:t>
      </w:r>
      <w:proofErr w:type="spellStart"/>
      <w:r w:rsidRPr="00B82BDF">
        <w:t>toxiques</w:t>
      </w:r>
      <w:proofErr w:type="spellEnd"/>
      <w:r w:rsidRPr="00B82BDF">
        <w:t xml:space="preserve">. Elle note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outre</w:t>
      </w:r>
      <w:proofErr w:type="spellEnd"/>
      <w:r w:rsidRPr="00B82BDF">
        <w:t xml:space="preserve"> que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avaient</w:t>
      </w:r>
      <w:proofErr w:type="spellEnd"/>
      <w:r w:rsidRPr="00B82BDF">
        <w:t xml:space="preserve"> </w:t>
      </w:r>
      <w:proofErr w:type="spellStart"/>
      <w:r w:rsidRPr="00B82BDF">
        <w:t>connaissance</w:t>
      </w:r>
      <w:proofErr w:type="spellEnd"/>
      <w:r w:rsidRPr="00B82BDF">
        <w:t xml:space="preserve"> de </w:t>
      </w:r>
      <w:proofErr w:type="spellStart"/>
      <w:r w:rsidRPr="00B82BDF">
        <w:t>cette</w:t>
      </w:r>
      <w:proofErr w:type="spellEnd"/>
      <w:r w:rsidRPr="00B82BDF">
        <w:t xml:space="preserve">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, </w:t>
      </w:r>
      <w:proofErr w:type="spellStart"/>
      <w:r w:rsidRPr="00B82BDF">
        <w:t>soit</w:t>
      </w:r>
      <w:proofErr w:type="spellEnd"/>
      <w:r w:rsidRPr="00B82BDF">
        <w:t xml:space="preserve"> que </w:t>
      </w:r>
      <w:proofErr w:type="spellStart"/>
      <w:r w:rsidRPr="00B82BDF">
        <w:t>celle</w:t>
      </w:r>
      <w:proofErr w:type="spellEnd"/>
      <w:r w:rsidRPr="00B82BDF">
        <w:t xml:space="preserve">-ci </w:t>
      </w:r>
      <w:proofErr w:type="spellStart"/>
      <w:r w:rsidRPr="00B82BDF">
        <w:t>fût</w:t>
      </w:r>
      <w:proofErr w:type="spellEnd"/>
      <w:r w:rsidRPr="00B82BDF">
        <w:t xml:space="preserve"> </w:t>
      </w:r>
      <w:proofErr w:type="spellStart"/>
      <w:r w:rsidRPr="00B82BDF">
        <w:t>documentée</w:t>
      </w:r>
      <w:proofErr w:type="spellEnd"/>
      <w:r w:rsidRPr="00B82BDF">
        <w:t xml:space="preserve"> de longue date </w:t>
      </w:r>
      <w:proofErr w:type="spellStart"/>
      <w:r w:rsidRPr="00B82BDF">
        <w:t>soit</w:t>
      </w:r>
      <w:proofErr w:type="spellEnd"/>
      <w:r w:rsidRPr="00B82BDF">
        <w:t xml:space="preserve"> </w:t>
      </w:r>
      <w:proofErr w:type="spellStart"/>
      <w:r w:rsidRPr="00B82BDF">
        <w:t>qu’elle</w:t>
      </w:r>
      <w:proofErr w:type="spellEnd"/>
      <w:r w:rsidRPr="00B82BDF">
        <w:t xml:space="preserve"> </w:t>
      </w:r>
      <w:proofErr w:type="spellStart"/>
      <w:r w:rsidRPr="00B82BDF">
        <w:t>fût</w:t>
      </w:r>
      <w:proofErr w:type="spellEnd"/>
      <w:r w:rsidRPr="00B82BDF">
        <w:t xml:space="preserve"> </w:t>
      </w:r>
      <w:proofErr w:type="spellStart"/>
      <w:r w:rsidRPr="00B82BDF">
        <w:t>établie</w:t>
      </w:r>
      <w:proofErr w:type="spellEnd"/>
      <w:r w:rsidRPr="00B82BDF">
        <w:t xml:space="preserve"> au début </w:t>
      </w:r>
      <w:proofErr w:type="spellStart"/>
      <w:r w:rsidRPr="00B82BDF">
        <w:t>ou</w:t>
      </w:r>
      <w:proofErr w:type="spellEnd"/>
      <w:r w:rsidRPr="00B82BDF">
        <w:t xml:space="preserve"> au </w:t>
      </w:r>
      <w:proofErr w:type="spellStart"/>
      <w:r w:rsidRPr="00B82BDF">
        <w:t>cours</w:t>
      </w:r>
      <w:proofErr w:type="spellEnd"/>
      <w:r w:rsidRPr="00B82BDF">
        <w:t xml:space="preserve"> de </w:t>
      </w:r>
      <w:proofErr w:type="spellStart"/>
      <w:r w:rsidRPr="00B82BDF">
        <w:t>l’enquête</w:t>
      </w:r>
      <w:proofErr w:type="spellEnd"/>
      <w:r w:rsidRPr="00B82BDF">
        <w:t xml:space="preserve"> (</w:t>
      </w:r>
      <w:proofErr w:type="spellStart"/>
      <w:r w:rsidRPr="00B82BDF">
        <w:t>voir</w:t>
      </w:r>
      <w:proofErr w:type="spellEnd"/>
      <w:r w:rsidRPr="00B82BDF">
        <w:t xml:space="preserve"> 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paragraph00005 \h \* CharFormat </w:instrText>
      </w:r>
      <w:r w:rsidRPr="00B82BDF">
        <w:fldChar w:fldCharType="separate"/>
      </w:r>
      <w:r w:rsidRPr="00B82BDF">
        <w:t>5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paragraph00006 \h \* CharFormat </w:instrText>
      </w:r>
      <w:r w:rsidRPr="00B82BDF">
        <w:fldChar w:fldCharType="separate"/>
      </w:r>
      <w:r w:rsidRPr="00B82BDF">
        <w:t>6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paragraph00018 \h \* CharFormat </w:instrText>
      </w:r>
      <w:r w:rsidRPr="00B82BDF">
        <w:fldChar w:fldCharType="separate"/>
      </w:r>
      <w:r w:rsidRPr="00B82BDF">
        <w:t>18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paragraph00020 \h \* CharFormat </w:instrText>
      </w:r>
      <w:r w:rsidRPr="00B82BDF">
        <w:fldChar w:fldCharType="separate"/>
      </w:r>
      <w:r w:rsidRPr="00B82BDF">
        <w:t>20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paragraph00042 \h \* CharFormat </w:instrText>
      </w:r>
      <w:r w:rsidRPr="00B82BDF">
        <w:fldChar w:fldCharType="separate"/>
      </w:r>
      <w:r w:rsidRPr="00B82BDF">
        <w:t>42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paragraph00050 \h \* CharFormat </w:instrText>
      </w:r>
      <w:r w:rsidRPr="00B82BDF">
        <w:fldChar w:fldCharType="separate"/>
      </w:r>
      <w:r w:rsidRPr="00B82BDF">
        <w:t>50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paragraph00066 \h \* CharFormat </w:instrText>
      </w:r>
      <w:r w:rsidRPr="00B82BDF">
        <w:fldChar w:fldCharType="separate"/>
      </w:r>
      <w:r w:rsidRPr="00B82BDF">
        <w:t>66</w:t>
      </w:r>
      <w:r w:rsidRPr="00B82BDF">
        <w:fldChar w:fldCharType="end"/>
      </w:r>
      <w:r w:rsidRPr="00B82BDF">
        <w:t xml:space="preserve"> ci-dessus).</w:t>
      </w:r>
    </w:p>
    <w:p w14:paraId="34C81820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215</w:t>
      </w:r>
      <w:r w:rsidRPr="00B82BDF">
        <w:rPr>
          <w:noProof/>
        </w:rPr>
        <w:fldChar w:fldCharType="end"/>
      </w:r>
      <w:r w:rsidRPr="00B82BDF">
        <w:t xml:space="preserve">.  Il </w:t>
      </w:r>
      <w:proofErr w:type="spellStart"/>
      <w:r w:rsidRPr="00B82BDF">
        <w:t>revient</w:t>
      </w:r>
      <w:proofErr w:type="spellEnd"/>
      <w:r w:rsidRPr="00B82BDF">
        <w:t xml:space="preserve"> </w:t>
      </w:r>
      <w:proofErr w:type="spellStart"/>
      <w:r w:rsidRPr="00B82BDF">
        <w:t>maintenant</w:t>
      </w:r>
      <w:proofErr w:type="spellEnd"/>
      <w:r w:rsidRPr="00B82BDF">
        <w:t xml:space="preserve"> à la </w:t>
      </w:r>
      <w:proofErr w:type="spellStart"/>
      <w:r w:rsidRPr="00B82BDF">
        <w:t>Cour</w:t>
      </w:r>
      <w:proofErr w:type="spellEnd"/>
      <w:r w:rsidRPr="00B82BDF">
        <w:t xml:space="preserve"> de </w:t>
      </w:r>
      <w:proofErr w:type="spellStart"/>
      <w:r w:rsidRPr="00B82BDF">
        <w:t>s’attacher</w:t>
      </w:r>
      <w:proofErr w:type="spellEnd"/>
      <w:r w:rsidRPr="00B82BDF">
        <w:t xml:space="preserve">,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des </w:t>
      </w:r>
      <w:proofErr w:type="spellStart"/>
      <w:r w:rsidRPr="00B82BDF">
        <w:t>considérations</w:t>
      </w:r>
      <w:proofErr w:type="spellEnd"/>
      <w:r w:rsidRPr="00B82BDF">
        <w:t xml:space="preserve"> qui </w:t>
      </w:r>
      <w:proofErr w:type="spellStart"/>
      <w:r w:rsidRPr="00B82BDF">
        <w:t>précèdent</w:t>
      </w:r>
      <w:proofErr w:type="spellEnd"/>
      <w:r w:rsidRPr="00B82BDF">
        <w:t xml:space="preserve">, aux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propres</w:t>
      </w:r>
      <w:proofErr w:type="spellEnd"/>
      <w:r w:rsidRPr="00B82BDF">
        <w:t xml:space="preserve"> à </w:t>
      </w:r>
      <w:proofErr w:type="spellStart"/>
      <w:r w:rsidRPr="00B82BDF">
        <w:t>chacune</w:t>
      </w:r>
      <w:proofErr w:type="spellEnd"/>
      <w:r w:rsidRPr="00B82BDF">
        <w:t xml:space="preserve"> des trois </w:t>
      </w:r>
      <w:proofErr w:type="spellStart"/>
      <w:r w:rsidRPr="00B82BDF">
        <w:t>requêtes</w:t>
      </w:r>
      <w:proofErr w:type="spellEnd"/>
      <w:r w:rsidRPr="00B82BDF">
        <w:t xml:space="preserve"> </w:t>
      </w:r>
      <w:proofErr w:type="spellStart"/>
      <w:r w:rsidRPr="00B82BDF">
        <w:t>afin</w:t>
      </w:r>
      <w:proofErr w:type="spellEnd"/>
      <w:r w:rsidRPr="00B82BDF">
        <w:t xml:space="preserve"> de </w:t>
      </w:r>
      <w:proofErr w:type="spellStart"/>
      <w:r w:rsidRPr="00B82BDF">
        <w:t>rechercher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</w:t>
      </w:r>
      <w:proofErr w:type="gramStart"/>
      <w:r w:rsidRPr="00B82BDF">
        <w:t>a</w:t>
      </w:r>
      <w:proofErr w:type="gram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non </w:t>
      </w:r>
      <w:proofErr w:type="spellStart"/>
      <w:r w:rsidRPr="00B82BDF">
        <w:t>respecté</w:t>
      </w:r>
      <w:proofErr w:type="spellEnd"/>
      <w:r w:rsidRPr="00B82BDF">
        <w:t xml:space="preserve"> les obligations positives qui </w:t>
      </w:r>
      <w:proofErr w:type="spellStart"/>
      <w:r w:rsidRPr="00B82BDF">
        <w:t>pèsent</w:t>
      </w:r>
      <w:proofErr w:type="spellEnd"/>
      <w:r w:rsidRPr="00B82BDF">
        <w:t xml:space="preserve"> sur </w:t>
      </w:r>
      <w:proofErr w:type="spellStart"/>
      <w:r w:rsidRPr="00B82BDF">
        <w:t>lui</w:t>
      </w:r>
      <w:proofErr w:type="spellEnd"/>
      <w:r w:rsidRPr="00B82BDF">
        <w:t xml:space="preserve"> au titre des articles 3 et 8 de la Convention, et, </w:t>
      </w:r>
      <w:proofErr w:type="spellStart"/>
      <w:r w:rsidRPr="00B82BDF">
        <w:t>s’agissant</w:t>
      </w:r>
      <w:proofErr w:type="spellEnd"/>
      <w:r w:rsidRPr="00B82BDF">
        <w:t xml:space="preserve"> de la </w:t>
      </w:r>
      <w:proofErr w:type="spellStart"/>
      <w:r w:rsidRPr="00B82BDF">
        <w:t>requête</w:t>
      </w:r>
      <w:proofErr w:type="spellEnd"/>
      <w:r w:rsidRPr="00B82BDF">
        <w:t xml:space="preserve"> n</w:t>
      </w:r>
      <w:r w:rsidRPr="00B82BDF">
        <w:rPr>
          <w:vertAlign w:val="superscript"/>
        </w:rPr>
        <w:t>o </w:t>
      </w:r>
      <w:r w:rsidRPr="00B82BDF">
        <w:t xml:space="preserve">46949/21, </w:t>
      </w:r>
      <w:proofErr w:type="spellStart"/>
      <w:r w:rsidRPr="00B82BDF">
        <w:t>si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a fait </w:t>
      </w:r>
      <w:proofErr w:type="spellStart"/>
      <w:r w:rsidRPr="00B82BDF">
        <w:t>l’objet</w:t>
      </w:r>
      <w:proofErr w:type="spellEnd"/>
      <w:r w:rsidRPr="00B82BDF">
        <w:t xml:space="preserve"> d’un </w:t>
      </w:r>
      <w:proofErr w:type="spellStart"/>
      <w:r w:rsidRPr="00B82BDF">
        <w:t>traitement</w:t>
      </w:r>
      <w:proofErr w:type="spellEnd"/>
      <w:r w:rsidRPr="00B82BDF">
        <w:t xml:space="preserve"> </w:t>
      </w:r>
      <w:proofErr w:type="spellStart"/>
      <w:r w:rsidRPr="00B82BDF">
        <w:t>discriminatoire</w:t>
      </w:r>
      <w:proofErr w:type="spellEnd"/>
      <w:r w:rsidRPr="00B82BDF">
        <w:t xml:space="preserve"> au </w:t>
      </w:r>
      <w:proofErr w:type="spellStart"/>
      <w:r w:rsidRPr="00B82BDF">
        <w:t>sens</w:t>
      </w:r>
      <w:proofErr w:type="spellEnd"/>
      <w:r w:rsidRPr="00B82BDF">
        <w:t xml:space="preserve"> de </w:t>
      </w:r>
      <w:proofErr w:type="spellStart"/>
      <w:r w:rsidRPr="00B82BDF">
        <w:t>l’article</w:t>
      </w:r>
      <w:proofErr w:type="spellEnd"/>
      <w:r w:rsidRPr="00B82BDF">
        <w:t xml:space="preserve"> 14 </w:t>
      </w:r>
      <w:proofErr w:type="spellStart"/>
      <w:r w:rsidRPr="00B82BDF">
        <w:t>combiné</w:t>
      </w:r>
      <w:proofErr w:type="spellEnd"/>
      <w:r w:rsidRPr="00B82BDF">
        <w:t xml:space="preserve"> avec les articles 3 et 8 </w:t>
      </w:r>
      <w:proofErr w:type="spellStart"/>
      <w:r w:rsidRPr="00B82BDF">
        <w:t>précités</w:t>
      </w:r>
      <w:proofErr w:type="spellEnd"/>
      <w:r w:rsidRPr="00B82BDF">
        <w:t>.</w:t>
      </w:r>
    </w:p>
    <w:p w14:paraId="7B525F8F" w14:textId="77777777" w:rsidR="008A7B1D" w:rsidRPr="00B82BDF" w:rsidRDefault="008A7B1D" w:rsidP="008A7B1D">
      <w:pPr>
        <w:pStyle w:val="ECHRHeading6"/>
        <w:numPr>
          <w:ilvl w:val="0"/>
          <w:numId w:val="21"/>
        </w:numPr>
        <w:ind w:left="1373" w:hanging="335"/>
        <w:rPr>
          <w:lang w:val="it-IT"/>
        </w:rPr>
      </w:pPr>
      <w:r w:rsidRPr="00B82BDF">
        <w:rPr>
          <w:lang w:val="it-IT"/>
        </w:rPr>
        <w:lastRenderedPageBreak/>
        <w:t>Requête n</w:t>
      </w:r>
      <w:r w:rsidRPr="00B82BDF">
        <w:rPr>
          <w:vertAlign w:val="superscript"/>
          <w:lang w:val="it-IT"/>
        </w:rPr>
        <w:t>o</w:t>
      </w:r>
      <w:r w:rsidRPr="00B82BDF">
        <w:rPr>
          <w:lang w:val="it-IT"/>
        </w:rPr>
        <w:t> 46949/21 (L. c. France)</w:t>
      </w:r>
    </w:p>
    <w:bookmarkStart w:id="41" w:name="paragraph00216"/>
    <w:p w14:paraId="2228EC49" w14:textId="77777777" w:rsidR="008A7B1D" w:rsidRPr="00B82BDF" w:rsidRDefault="008A7B1D" w:rsidP="008A7B1D">
      <w:pPr>
        <w:pStyle w:val="ECHRPara"/>
        <w:rPr>
          <w:iCs/>
        </w:rPr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216</w:t>
      </w:r>
      <w:r w:rsidRPr="00B82BDF">
        <w:fldChar w:fldCharType="end"/>
      </w:r>
      <w:bookmarkEnd w:id="41"/>
      <w:r w:rsidRPr="00B82BDF">
        <w:t xml:space="preserve">.  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rPr>
          <w:iCs/>
        </w:rPr>
        <w:t>étant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mineure</w:t>
      </w:r>
      <w:proofErr w:type="spellEnd"/>
      <w:r w:rsidRPr="00B82BDF">
        <w:rPr>
          <w:iCs/>
        </w:rPr>
        <w:t xml:space="preserve"> de quinze 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 xml:space="preserve"> à la date des faits </w:t>
      </w:r>
      <w:proofErr w:type="spellStart"/>
      <w:r w:rsidRPr="00B82BDF">
        <w:rPr>
          <w:iCs/>
        </w:rPr>
        <w:t>dénoncés</w:t>
      </w:r>
      <w:proofErr w:type="spellEnd"/>
      <w:r w:rsidRPr="00B82BDF">
        <w:rPr>
          <w:iCs/>
        </w:rPr>
        <w:t xml:space="preserve">, le cadre </w:t>
      </w:r>
      <w:proofErr w:type="spellStart"/>
      <w:r w:rsidRPr="00B82BDF">
        <w:rPr>
          <w:iCs/>
        </w:rPr>
        <w:t>juridique</w:t>
      </w:r>
      <w:proofErr w:type="spellEnd"/>
      <w:r w:rsidRPr="00B82BDF">
        <w:rPr>
          <w:iCs/>
        </w:rPr>
        <w:t xml:space="preserve"> applicable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défini</w:t>
      </w:r>
      <w:proofErr w:type="spellEnd"/>
      <w:r w:rsidRPr="00B82BDF">
        <w:rPr>
          <w:iCs/>
        </w:rPr>
        <w:t xml:space="preserve"> par les dispositions du dernier </w:t>
      </w:r>
      <w:proofErr w:type="spellStart"/>
      <w:r w:rsidRPr="00B82BDF">
        <w:rPr>
          <w:iCs/>
        </w:rPr>
        <w:t>alinéa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l’article</w:t>
      </w:r>
      <w:proofErr w:type="spellEnd"/>
      <w:r w:rsidRPr="00B82BDF">
        <w:rPr>
          <w:iCs/>
        </w:rPr>
        <w:t xml:space="preserve"> 222-22-1 du CP </w:t>
      </w:r>
      <w:r w:rsidRPr="00B82BDF">
        <w:t xml:space="preserve">dans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rédaction</w:t>
      </w:r>
      <w:proofErr w:type="spellEnd"/>
      <w:r w:rsidRPr="00B82BDF">
        <w:t xml:space="preserve"> issue de la </w:t>
      </w:r>
      <w:proofErr w:type="spellStart"/>
      <w:r w:rsidRPr="00B82BDF">
        <w:t>loi</w:t>
      </w:r>
      <w:proofErr w:type="spellEnd"/>
      <w:r w:rsidRPr="00B82BDF">
        <w:t xml:space="preserve"> du 3 </w:t>
      </w:r>
      <w:proofErr w:type="spellStart"/>
      <w:r w:rsidRPr="00B82BDF">
        <w:t>août</w:t>
      </w:r>
      <w:proofErr w:type="spellEnd"/>
      <w:r w:rsidRPr="00B82BDF">
        <w:t xml:space="preserve"> 2018, </w:t>
      </w:r>
      <w:proofErr w:type="spellStart"/>
      <w:r w:rsidRPr="00B82BDF">
        <w:t>d’application</w:t>
      </w:r>
      <w:proofErr w:type="spellEnd"/>
      <w:r w:rsidRPr="00B82BDF">
        <w:t xml:space="preserve"> </w:t>
      </w:r>
      <w:proofErr w:type="spellStart"/>
      <w:r w:rsidRPr="00B82BDF">
        <w:t>immédiate</w:t>
      </w:r>
      <w:proofErr w:type="spellEnd"/>
      <w:r w:rsidRPr="00B82BDF">
        <w:t xml:space="preserve"> </w:t>
      </w:r>
      <w:r w:rsidRPr="00B82BDF">
        <w:rPr>
          <w:iCs/>
        </w:rPr>
        <w:t>(</w:t>
      </w:r>
      <w:proofErr w:type="spellStart"/>
      <w:r w:rsidRPr="00B82BDF">
        <w:rPr>
          <w:iCs/>
        </w:rPr>
        <w:t>paragraphe</w:t>
      </w:r>
      <w:proofErr w:type="spellEnd"/>
      <w:r w:rsidRPr="00B82BDF">
        <w:rPr>
          <w:iCs/>
        </w:rPr>
        <w:t> 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paragraph00095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95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ci-dessus). </w:t>
      </w:r>
      <w:proofErr w:type="spellStart"/>
      <w:r w:rsidRPr="00B82BDF">
        <w:t>Ces</w:t>
      </w:r>
      <w:proofErr w:type="spellEnd"/>
      <w:r w:rsidRPr="00B82BDF">
        <w:t xml:space="preserve"> dispositions </w:t>
      </w:r>
      <w:proofErr w:type="spellStart"/>
      <w:r w:rsidRPr="00B82BDF">
        <w:t>prévoient</w:t>
      </w:r>
      <w:proofErr w:type="spellEnd"/>
      <w:r w:rsidRPr="00B82BDF">
        <w:t xml:space="preserve"> que </w:t>
      </w:r>
      <w:proofErr w:type="spellStart"/>
      <w:r w:rsidRPr="00B82BDF">
        <w:t>lorsque</w:t>
      </w:r>
      <w:proofErr w:type="spellEnd"/>
      <w:r w:rsidRPr="00B82BDF">
        <w:t xml:space="preserve"> les faits </w:t>
      </w:r>
      <w:proofErr w:type="spellStart"/>
      <w:r w:rsidRPr="00B82BDF">
        <w:t>sont</w:t>
      </w:r>
      <w:proofErr w:type="spellEnd"/>
      <w:r w:rsidRPr="00B82BDF">
        <w:t xml:space="preserve"> commis sur un </w:t>
      </w:r>
      <w:proofErr w:type="spellStart"/>
      <w:r w:rsidRPr="00B82BDF">
        <w:t>mineur</w:t>
      </w:r>
      <w:proofErr w:type="spellEnd"/>
      <w:r w:rsidRPr="00B82BDF">
        <w:t xml:space="preserve"> de 15 </w:t>
      </w:r>
      <w:proofErr w:type="spellStart"/>
      <w:r w:rsidRPr="00B82BDF">
        <w:t>ans</w:t>
      </w:r>
      <w:proofErr w:type="spellEnd"/>
      <w:r w:rsidRPr="00B82BDF">
        <w:t xml:space="preserve">, la </w:t>
      </w:r>
      <w:proofErr w:type="spellStart"/>
      <w:r w:rsidRPr="00B82BDF">
        <w:t>contrainte</w:t>
      </w:r>
      <w:proofErr w:type="spellEnd"/>
      <w:r w:rsidRPr="00B82BDF">
        <w:t xml:space="preserve"> morale </w:t>
      </w:r>
      <w:proofErr w:type="spellStart"/>
      <w:r w:rsidRPr="00B82BDF">
        <w:t>ou</w:t>
      </w:r>
      <w:proofErr w:type="spellEnd"/>
      <w:r w:rsidRPr="00B82BDF">
        <w:t xml:space="preserve"> la surprise « 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caractérisées</w:t>
      </w:r>
      <w:proofErr w:type="spellEnd"/>
      <w:r w:rsidRPr="00B82BDF">
        <w:t xml:space="preserve"> par </w:t>
      </w:r>
      <w:proofErr w:type="spellStart"/>
      <w:r w:rsidRPr="00B82BDF">
        <w:t>l’abus</w:t>
      </w:r>
      <w:proofErr w:type="spellEnd"/>
      <w:r w:rsidRPr="00B82BDF">
        <w:t xml:space="preserve"> de la </w:t>
      </w:r>
      <w:proofErr w:type="spellStart"/>
      <w:r w:rsidRPr="00B82BDF">
        <w:t>vulnérabilité</w:t>
      </w:r>
      <w:proofErr w:type="spellEnd"/>
      <w:r w:rsidRPr="00B82BDF">
        <w:t xml:space="preserve"> de la </w:t>
      </w:r>
      <w:proofErr w:type="spellStart"/>
      <w:r w:rsidRPr="00B82BDF">
        <w:t>victime</w:t>
      </w:r>
      <w:proofErr w:type="spellEnd"/>
      <w:r w:rsidRPr="00B82BDF">
        <w:t xml:space="preserve"> ne </w:t>
      </w:r>
      <w:proofErr w:type="spellStart"/>
      <w:r w:rsidRPr="00B82BDF">
        <w:t>disposant</w:t>
      </w:r>
      <w:proofErr w:type="spellEnd"/>
      <w:r w:rsidRPr="00B82BDF">
        <w:t xml:space="preserve"> pas du </w:t>
      </w:r>
      <w:proofErr w:type="spellStart"/>
      <w:r w:rsidRPr="00B82BDF">
        <w:t>discernement</w:t>
      </w:r>
      <w:proofErr w:type="spellEnd"/>
      <w:r w:rsidRPr="00B82BDF">
        <w:t xml:space="preserve"> </w:t>
      </w:r>
      <w:proofErr w:type="spellStart"/>
      <w:r w:rsidRPr="00B82BDF">
        <w:t>nécessaire</w:t>
      </w:r>
      <w:proofErr w:type="spellEnd"/>
      <w:r w:rsidRPr="00B82BDF">
        <w:t xml:space="preserve"> pour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actes</w:t>
      </w:r>
      <w:proofErr w:type="spellEnd"/>
      <w:r w:rsidRPr="00B82BDF">
        <w:t xml:space="preserve"> ». </w:t>
      </w:r>
      <w:r w:rsidRPr="00B82BDF">
        <w:rPr>
          <w:iCs/>
        </w:rPr>
        <w:t xml:space="preserve">Il </w:t>
      </w:r>
      <w:proofErr w:type="spellStart"/>
      <w:r w:rsidRPr="00B82BDF">
        <w:rPr>
          <w:iCs/>
        </w:rPr>
        <w:t>revenait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dès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lors</w:t>
      </w:r>
      <w:proofErr w:type="spellEnd"/>
      <w:r w:rsidRPr="00B82BDF">
        <w:rPr>
          <w:iCs/>
        </w:rPr>
        <w:t xml:space="preserve"> aux </w:t>
      </w:r>
      <w:proofErr w:type="spellStart"/>
      <w:r w:rsidRPr="00B82BDF">
        <w:rPr>
          <w:iCs/>
        </w:rPr>
        <w:t>juridictions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pénales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françaises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rechercher</w:t>
      </w:r>
      <w:proofErr w:type="spellEnd"/>
      <w:r w:rsidRPr="00B82BDF">
        <w:rPr>
          <w:iCs/>
        </w:rPr>
        <w:t xml:space="preserve">, tant dans </w:t>
      </w:r>
      <w:proofErr w:type="spellStart"/>
      <w:r w:rsidRPr="00B82BDF">
        <w:rPr>
          <w:iCs/>
        </w:rPr>
        <w:t>leur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appréciation</w:t>
      </w:r>
      <w:proofErr w:type="spellEnd"/>
      <w:r w:rsidRPr="00B82BDF">
        <w:rPr>
          <w:iCs/>
        </w:rPr>
        <w:t xml:space="preserve"> des faits que dans </w:t>
      </w:r>
      <w:proofErr w:type="spellStart"/>
      <w:r w:rsidRPr="00B82BDF">
        <w:rPr>
          <w:iCs/>
        </w:rPr>
        <w:t>leur</w:t>
      </w:r>
      <w:proofErr w:type="spellEnd"/>
      <w:r w:rsidRPr="00B82BDF">
        <w:rPr>
          <w:iCs/>
        </w:rPr>
        <w:t xml:space="preserve"> application du droit interne, </w:t>
      </w:r>
      <w:proofErr w:type="spellStart"/>
      <w:r w:rsidRPr="00B82BDF">
        <w:rPr>
          <w:iCs/>
        </w:rPr>
        <w:t>s’il</w:t>
      </w:r>
      <w:proofErr w:type="spellEnd"/>
      <w:r w:rsidRPr="00B82BDF">
        <w:rPr>
          <w:iCs/>
        </w:rPr>
        <w:t xml:space="preserve"> y </w:t>
      </w:r>
      <w:proofErr w:type="spellStart"/>
      <w:r w:rsidRPr="00B82BDF">
        <w:rPr>
          <w:iCs/>
        </w:rPr>
        <w:t>avait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non </w:t>
      </w:r>
      <w:proofErr w:type="spellStart"/>
      <w:r w:rsidRPr="00B82BDF">
        <w:rPr>
          <w:iCs/>
        </w:rPr>
        <w:t>recours</w:t>
      </w:r>
      <w:proofErr w:type="spellEnd"/>
      <w:r w:rsidRPr="00B82BDF">
        <w:rPr>
          <w:iCs/>
        </w:rPr>
        <w:t xml:space="preserve"> à la violence, la </w:t>
      </w:r>
      <w:proofErr w:type="spellStart"/>
      <w:r w:rsidRPr="00B82BDF">
        <w:rPr>
          <w:iCs/>
        </w:rPr>
        <w:t>contrainte</w:t>
      </w:r>
      <w:proofErr w:type="spellEnd"/>
      <w:r w:rsidRPr="00B82BDF">
        <w:rPr>
          <w:iCs/>
        </w:rPr>
        <w:t xml:space="preserve"> physique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morale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à la surprise. À </w:t>
      </w:r>
      <w:proofErr w:type="spellStart"/>
      <w:r w:rsidRPr="00B82BDF">
        <w:rPr>
          <w:iCs/>
        </w:rPr>
        <w:t>cet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égard</w:t>
      </w:r>
      <w:proofErr w:type="spellEnd"/>
      <w:r w:rsidRPr="00B82BDF">
        <w:rPr>
          <w:iCs/>
        </w:rPr>
        <w:t xml:space="preserve">, il </w:t>
      </w:r>
      <w:proofErr w:type="spellStart"/>
      <w:r w:rsidRPr="00B82BDF">
        <w:rPr>
          <w:iCs/>
        </w:rPr>
        <w:t>leur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incombait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spécialement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eu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égard</w:t>
      </w:r>
      <w:proofErr w:type="spellEnd"/>
      <w:r w:rsidRPr="00B82BDF">
        <w:rPr>
          <w:iCs/>
        </w:rPr>
        <w:t xml:space="preserve"> à </w:t>
      </w:r>
      <w:proofErr w:type="spellStart"/>
      <w:r w:rsidRPr="00B82BDF">
        <w:rPr>
          <w:iCs/>
        </w:rPr>
        <w:t>l’âge</w:t>
      </w:r>
      <w:proofErr w:type="spellEnd"/>
      <w:r w:rsidRPr="00B82BDF">
        <w:rPr>
          <w:iCs/>
        </w:rPr>
        <w:t xml:space="preserve"> de la </w:t>
      </w:r>
      <w:proofErr w:type="spellStart"/>
      <w:r w:rsidRPr="00B82BDF">
        <w:rPr>
          <w:iCs/>
        </w:rPr>
        <w:t>victime</w:t>
      </w:r>
      <w:proofErr w:type="spellEnd"/>
      <w:r w:rsidRPr="00B82BDF">
        <w:rPr>
          <w:iCs/>
        </w:rPr>
        <w:t xml:space="preserve">, de </w:t>
      </w:r>
      <w:proofErr w:type="spellStart"/>
      <w:r w:rsidRPr="00B82BDF">
        <w:rPr>
          <w:iCs/>
        </w:rPr>
        <w:t>rechercher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si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disposait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non du </w:t>
      </w:r>
      <w:proofErr w:type="spellStart"/>
      <w:r w:rsidRPr="00B82BDF">
        <w:rPr>
          <w:iCs/>
        </w:rPr>
        <w:t>discernement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nécessaire</w:t>
      </w:r>
      <w:proofErr w:type="spellEnd"/>
      <w:r w:rsidRPr="00B82BDF">
        <w:rPr>
          <w:iCs/>
        </w:rPr>
        <w:t xml:space="preserve"> et, dans la </w:t>
      </w:r>
      <w:proofErr w:type="spellStart"/>
      <w:r w:rsidRPr="00B82BDF">
        <w:rPr>
          <w:iCs/>
        </w:rPr>
        <w:t>négative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si</w:t>
      </w:r>
      <w:proofErr w:type="spellEnd"/>
      <w:r w:rsidRPr="00B82BDF">
        <w:rPr>
          <w:iCs/>
        </w:rPr>
        <w:t xml:space="preserve"> les auteurs des faits commis </w:t>
      </w:r>
      <w:proofErr w:type="spellStart"/>
      <w:r w:rsidRPr="00B82BDF">
        <w:rPr>
          <w:iCs/>
        </w:rPr>
        <w:t>avaient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non </w:t>
      </w:r>
      <w:proofErr w:type="spellStart"/>
      <w:r w:rsidRPr="00B82BDF">
        <w:rPr>
          <w:iCs/>
        </w:rPr>
        <w:t>abusé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sa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vulnérabilité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telle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sorte</w:t>
      </w:r>
      <w:proofErr w:type="spellEnd"/>
      <w:r w:rsidRPr="00B82BDF">
        <w:rPr>
          <w:iCs/>
        </w:rPr>
        <w:t xml:space="preserve"> que </w:t>
      </w:r>
      <w:proofErr w:type="spellStart"/>
      <w:r w:rsidRPr="00B82BDF">
        <w:rPr>
          <w:iCs/>
        </w:rPr>
        <w:t>soient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caractérisées</w:t>
      </w:r>
      <w:proofErr w:type="spellEnd"/>
      <w:r w:rsidRPr="00B82BDF">
        <w:rPr>
          <w:iCs/>
        </w:rPr>
        <w:t xml:space="preserve"> la </w:t>
      </w:r>
      <w:proofErr w:type="spellStart"/>
      <w:r w:rsidRPr="00B82BDF">
        <w:rPr>
          <w:iCs/>
        </w:rPr>
        <w:t>contrainte</w:t>
      </w:r>
      <w:proofErr w:type="spellEnd"/>
      <w:r w:rsidRPr="00B82BDF">
        <w:rPr>
          <w:iCs/>
        </w:rPr>
        <w:t xml:space="preserve"> morale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la surprise.</w:t>
      </w:r>
    </w:p>
    <w:p w14:paraId="16FD5F66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217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note que, pour refuser la qualification de viol et confirmer </w:t>
      </w:r>
      <w:proofErr w:type="spellStart"/>
      <w:r w:rsidRPr="00B82BDF">
        <w:t>l’ordonnance</w:t>
      </w:r>
      <w:proofErr w:type="spellEnd"/>
      <w:r w:rsidRPr="00B82BDF">
        <w:t xml:space="preserve"> du </w:t>
      </w:r>
      <w:proofErr w:type="spellStart"/>
      <w:r w:rsidRPr="00B82BDF">
        <w:t>juge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, la chambre de </w:t>
      </w:r>
      <w:proofErr w:type="spellStart"/>
      <w:r w:rsidRPr="00B82BDF">
        <w:t>l’instruction</w:t>
      </w:r>
      <w:proofErr w:type="spellEnd"/>
      <w:r w:rsidRPr="00B82BDF">
        <w:t xml:space="preserve"> de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fondée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premier lieu, sur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crédibilité</w:t>
      </w:r>
      <w:proofErr w:type="spellEnd"/>
      <w:r w:rsidRPr="00B82BDF">
        <w:t xml:space="preserve"> des </w:t>
      </w:r>
      <w:proofErr w:type="spellStart"/>
      <w:r w:rsidRPr="00B82BDF">
        <w:t>déclarations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« qui ne </w:t>
      </w:r>
      <w:proofErr w:type="spellStart"/>
      <w:r w:rsidRPr="00B82BDF">
        <w:t>permett</w:t>
      </w:r>
      <w:proofErr w:type="spellEnd"/>
      <w:r w:rsidRPr="00B82BDF">
        <w:t>[</w:t>
      </w:r>
      <w:proofErr w:type="spellStart"/>
      <w:r w:rsidRPr="00B82BDF">
        <w:t>aient</w:t>
      </w:r>
      <w:proofErr w:type="spellEnd"/>
      <w:r w:rsidRPr="00B82BDF">
        <w:t xml:space="preserve">] pas,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</w:t>
      </w:r>
      <w:proofErr w:type="spellStart"/>
      <w:r w:rsidRPr="00B82BDF">
        <w:t>d’éléments</w:t>
      </w:r>
      <w:proofErr w:type="spellEnd"/>
      <w:r w:rsidRPr="00B82BDF">
        <w:t xml:space="preserve"> </w:t>
      </w:r>
      <w:proofErr w:type="spellStart"/>
      <w:r w:rsidRPr="00B82BDF">
        <w:t>objectifs</w:t>
      </w:r>
      <w:proofErr w:type="spellEnd"/>
      <w:r w:rsidRPr="00B82BDF">
        <w:t xml:space="preserve">, de </w:t>
      </w:r>
      <w:proofErr w:type="spellStart"/>
      <w:r w:rsidRPr="00B82BDF">
        <w:t>caractériser</w:t>
      </w:r>
      <w:proofErr w:type="spellEnd"/>
      <w:r w:rsidRPr="00B82BDF">
        <w:t xml:space="preserve"> le </w:t>
      </w:r>
      <w:proofErr w:type="spellStart"/>
      <w:r w:rsidRPr="00B82BDF">
        <w:t>défaut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>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paragraph00030 \h \* CharFormat </w:instrText>
      </w:r>
      <w:r w:rsidRPr="00B82BDF">
        <w:fldChar w:fldCharType="separate"/>
      </w:r>
      <w:r w:rsidRPr="00B82BDF">
        <w:t>30</w:t>
      </w:r>
      <w:r w:rsidRPr="00B82BDF">
        <w:fldChar w:fldCharType="end"/>
      </w:r>
      <w:r w:rsidRPr="00B82BDF">
        <w:t xml:space="preserve"> ci-dessus).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deuxième</w:t>
      </w:r>
      <w:proofErr w:type="spellEnd"/>
      <w:r w:rsidRPr="00B82BDF">
        <w:t xml:space="preserve"> lieu, </w:t>
      </w:r>
      <w:proofErr w:type="spellStart"/>
      <w:r w:rsidRPr="00B82BDF">
        <w:t>elle</w:t>
      </w:r>
      <w:proofErr w:type="spellEnd"/>
      <w:r w:rsidRPr="00B82BDF">
        <w:t xml:space="preserve"> a pris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à </w:t>
      </w:r>
      <w:proofErr w:type="spellStart"/>
      <w:r w:rsidRPr="00B82BDF">
        <w:t>l’instar</w:t>
      </w:r>
      <w:proofErr w:type="spellEnd"/>
      <w:r w:rsidRPr="00B82BDF">
        <w:t xml:space="preserve"> du </w:t>
      </w:r>
      <w:proofErr w:type="spellStart"/>
      <w:r w:rsidRPr="00B82BDF">
        <w:t>juge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paragraph00027 \h \* CharFormat </w:instrText>
      </w:r>
      <w:r w:rsidRPr="00B82BDF">
        <w:fldChar w:fldCharType="separate"/>
      </w:r>
      <w:r w:rsidRPr="00B82BDF">
        <w:t>27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paragraph00028 \h \* CharFormat </w:instrText>
      </w:r>
      <w:r w:rsidRPr="00B82BDF">
        <w:fldChar w:fldCharType="separate"/>
      </w:r>
      <w:r w:rsidRPr="00B82BDF">
        <w:t>28</w:t>
      </w:r>
      <w:r w:rsidRPr="00B82BDF">
        <w:fldChar w:fldCharType="end"/>
      </w:r>
      <w:r w:rsidRPr="00B82BDF">
        <w:t xml:space="preserve"> ci-dessus), le </w:t>
      </w:r>
      <w:proofErr w:type="spellStart"/>
      <w:r w:rsidRPr="00B82BDF">
        <w:t>comportement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tel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décrit</w:t>
      </w:r>
      <w:proofErr w:type="spellEnd"/>
      <w:r w:rsidRPr="00B82BDF">
        <w:t xml:space="preserve"> par les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et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dépit</w:t>
      </w:r>
      <w:proofErr w:type="spellEnd"/>
      <w:r w:rsidRPr="00B82BDF">
        <w:t xml:space="preserve"> des </w:t>
      </w:r>
      <w:proofErr w:type="spellStart"/>
      <w:r w:rsidRPr="00B82BDF">
        <w:t>dénégations</w:t>
      </w:r>
      <w:proofErr w:type="spellEnd"/>
      <w:r w:rsidRPr="00B82BDF">
        <w:t xml:space="preserve"> de </w:t>
      </w:r>
      <w:proofErr w:type="spellStart"/>
      <w:r w:rsidRPr="00B82BDF">
        <w:t>l’intéressée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relevant un </w:t>
      </w:r>
      <w:proofErr w:type="spellStart"/>
      <w:r w:rsidRPr="00B82BDF">
        <w:t>comportement</w:t>
      </w:r>
      <w:proofErr w:type="spellEnd"/>
      <w:r w:rsidRPr="00B82BDF">
        <w:t xml:space="preserve"> « </w:t>
      </w:r>
      <w:proofErr w:type="spellStart"/>
      <w:r w:rsidRPr="00B82BDF">
        <w:t>entreprenant</w:t>
      </w:r>
      <w:proofErr w:type="spellEnd"/>
      <w:r w:rsidRPr="00B82BDF">
        <w:t xml:space="preserve"> et provocateur », « les initiatives prises [...] pour </w:t>
      </w:r>
      <w:proofErr w:type="spellStart"/>
      <w:r w:rsidRPr="00B82BDF">
        <w:t>lier</w:t>
      </w:r>
      <w:proofErr w:type="spellEnd"/>
      <w:r w:rsidRPr="00B82BDF">
        <w:t xml:space="preserve"> </w:t>
      </w:r>
      <w:proofErr w:type="spellStart"/>
      <w:r w:rsidRPr="00B82BDF">
        <w:t>connaissance</w:t>
      </w:r>
      <w:proofErr w:type="spellEnd"/>
      <w:r w:rsidRPr="00B82BDF">
        <w:t xml:space="preserve"> avec des pompiers </w:t>
      </w:r>
      <w:proofErr w:type="spellStart"/>
      <w:r w:rsidRPr="00B82BDF">
        <w:t>dont</w:t>
      </w:r>
      <w:proofErr w:type="spellEnd"/>
      <w:r w:rsidRPr="00B82BDF">
        <w:t xml:space="preserve"> le </w:t>
      </w:r>
      <w:proofErr w:type="spellStart"/>
      <w:r w:rsidRPr="00B82BDF">
        <w:t>métier</w:t>
      </w:r>
      <w:proofErr w:type="spellEnd"/>
      <w:r w:rsidRPr="00B82BDF">
        <w:t xml:space="preserve"> la </w:t>
      </w:r>
      <w:proofErr w:type="spellStart"/>
      <w:r w:rsidRPr="00B82BDF">
        <w:t>fascinait</w:t>
      </w:r>
      <w:proofErr w:type="spellEnd"/>
      <w:r w:rsidRPr="00B82BDF">
        <w:t xml:space="preserve"> et </w:t>
      </w:r>
      <w:proofErr w:type="spellStart"/>
      <w:r w:rsidRPr="00B82BDF">
        <w:t>avoir</w:t>
      </w:r>
      <w:proofErr w:type="spellEnd"/>
      <w:r w:rsidRPr="00B82BDF">
        <w:t xml:space="preserve"> avec </w:t>
      </w:r>
      <w:proofErr w:type="spellStart"/>
      <w:r w:rsidRPr="00B82BDF">
        <w:t>eux</w:t>
      </w:r>
      <w:proofErr w:type="spellEnd"/>
      <w:r w:rsidRPr="00B82BDF">
        <w:t xml:space="preserve"> des rapports </w:t>
      </w:r>
      <w:proofErr w:type="spellStart"/>
      <w:r w:rsidRPr="00B82BDF">
        <w:t>sexuels</w:t>
      </w:r>
      <w:proofErr w:type="spellEnd"/>
      <w:r w:rsidRPr="00B82BDF">
        <w:t xml:space="preserve">, dans des </w:t>
      </w:r>
      <w:proofErr w:type="spellStart"/>
      <w:r w:rsidRPr="00B82BDF">
        <w:t>lieux</w:t>
      </w:r>
      <w:proofErr w:type="spellEnd"/>
      <w:r w:rsidRPr="00B82BDF">
        <w:t xml:space="preserve"> </w:t>
      </w:r>
      <w:proofErr w:type="spellStart"/>
      <w:r w:rsidRPr="00B82BDF">
        <w:t>souvent</w:t>
      </w:r>
      <w:proofErr w:type="spellEnd"/>
      <w:r w:rsidRPr="00B82BDF">
        <w:t xml:space="preserve"> publics </w:t>
      </w:r>
      <w:proofErr w:type="spellStart"/>
      <w:r w:rsidRPr="00B82BDF">
        <w:t>choisis</w:t>
      </w:r>
      <w:proofErr w:type="spellEnd"/>
      <w:r w:rsidRPr="00B82BDF">
        <w:t xml:space="preserve"> par </w:t>
      </w:r>
      <w:proofErr w:type="spellStart"/>
      <w:r w:rsidRPr="00B82BDF">
        <w:t>elle</w:t>
      </w:r>
      <w:proofErr w:type="spellEnd"/>
      <w:r w:rsidRPr="00B82BDF">
        <w:t xml:space="preserve"> et pour </w:t>
      </w:r>
      <w:proofErr w:type="spellStart"/>
      <w:r w:rsidRPr="00B82BDF">
        <w:t>lesquels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fournissait</w:t>
      </w:r>
      <w:proofErr w:type="spellEnd"/>
      <w:r w:rsidRPr="00B82BDF">
        <w:t xml:space="preserve"> </w:t>
      </w:r>
      <w:proofErr w:type="spellStart"/>
      <w:r w:rsidRPr="00B82BDF">
        <w:t>fréquemment</w:t>
      </w:r>
      <w:proofErr w:type="spellEnd"/>
      <w:r w:rsidRPr="00B82BDF">
        <w:t xml:space="preserve"> des </w:t>
      </w:r>
      <w:proofErr w:type="spellStart"/>
      <w:r w:rsidRPr="00B82BDF">
        <w:t>préservatifs</w:t>
      </w:r>
      <w:proofErr w:type="spellEnd"/>
      <w:r w:rsidRPr="00B82BDF">
        <w:t xml:space="preserve"> », </w:t>
      </w:r>
      <w:proofErr w:type="spellStart"/>
      <w:r w:rsidRPr="00B82BDF">
        <w:t>sa</w:t>
      </w:r>
      <w:proofErr w:type="spellEnd"/>
      <w:r w:rsidRPr="00B82BDF">
        <w:t xml:space="preserve"> « participation active </w:t>
      </w:r>
      <w:proofErr w:type="spellStart"/>
      <w:r w:rsidRPr="00B82BDF">
        <w:t>lors</w:t>
      </w:r>
      <w:proofErr w:type="spellEnd"/>
      <w:r w:rsidRPr="00B82BDF">
        <w:t xml:space="preserve"> des </w:t>
      </w:r>
      <w:proofErr w:type="spellStart"/>
      <w:r w:rsidRPr="00B82BDF">
        <w:t>ébats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réalisation</w:t>
      </w:r>
      <w:proofErr w:type="spellEnd"/>
      <w:r w:rsidRPr="00B82BDF">
        <w:t xml:space="preserve"> de </w:t>
      </w:r>
      <w:proofErr w:type="spellStart"/>
      <w:r w:rsidRPr="00B82BDF">
        <w:t>fellations</w:t>
      </w:r>
      <w:proofErr w:type="spellEnd"/>
      <w:r w:rsidRPr="00B82BDF">
        <w:t xml:space="preserve"> », </w:t>
      </w:r>
      <w:proofErr w:type="spellStart"/>
      <w:r w:rsidRPr="00B82BDF">
        <w:t>ainsi</w:t>
      </w:r>
      <w:proofErr w:type="spellEnd"/>
      <w:r w:rsidRPr="00B82BDF">
        <w:t xml:space="preserve"> que « 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capacité</w:t>
      </w:r>
      <w:proofErr w:type="spellEnd"/>
      <w:r w:rsidRPr="00B82BDF">
        <w:t xml:space="preserve"> à refuser </w:t>
      </w:r>
      <w:proofErr w:type="spellStart"/>
      <w:r w:rsidRPr="00B82BDF">
        <w:t>certains</w:t>
      </w:r>
      <w:proofErr w:type="spellEnd"/>
      <w:r w:rsidRPr="00B82BDF">
        <w:t xml:space="preserve"> </w:t>
      </w:r>
      <w:proofErr w:type="spellStart"/>
      <w:r w:rsidRPr="00B82BDF">
        <w:t>actes</w:t>
      </w:r>
      <w:proofErr w:type="spellEnd"/>
      <w:r w:rsidRPr="00B82BDF">
        <w:t xml:space="preserve">, </w:t>
      </w:r>
      <w:proofErr w:type="spellStart"/>
      <w:r w:rsidRPr="00B82BDF">
        <w:t>comme</w:t>
      </w:r>
      <w:proofErr w:type="spellEnd"/>
      <w:r w:rsidRPr="00B82BDF">
        <w:t xml:space="preserve"> la </w:t>
      </w:r>
      <w:proofErr w:type="spellStart"/>
      <w:r w:rsidRPr="00B82BDF">
        <w:t>pénétration</w:t>
      </w:r>
      <w:proofErr w:type="spellEnd"/>
      <w:r w:rsidRPr="00B82BDF">
        <w:t xml:space="preserve"> </w:t>
      </w:r>
      <w:proofErr w:type="spellStart"/>
      <w:r w:rsidRPr="00B82BDF">
        <w:t>anale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le cunnilingus, et à </w:t>
      </w:r>
      <w:proofErr w:type="spellStart"/>
      <w:r w:rsidRPr="00B82BDF">
        <w:t>repousser</w:t>
      </w:r>
      <w:proofErr w:type="spellEnd"/>
      <w:r w:rsidRPr="00B82BDF">
        <w:t xml:space="preserve"> </w:t>
      </w:r>
      <w:proofErr w:type="spellStart"/>
      <w:r w:rsidRPr="00B82BDF">
        <w:t>certains</w:t>
      </w:r>
      <w:proofErr w:type="spellEnd"/>
      <w:r w:rsidRPr="00B82BDF">
        <w:t xml:space="preserve"> de </w:t>
      </w:r>
      <w:proofErr w:type="spellStart"/>
      <w:r w:rsidRPr="00B82BDF">
        <w:t>ses</w:t>
      </w:r>
      <w:proofErr w:type="spellEnd"/>
      <w:r w:rsidRPr="00B82BDF">
        <w:t xml:space="preserve"> </w:t>
      </w:r>
      <w:proofErr w:type="spellStart"/>
      <w:r w:rsidRPr="00B82BDF">
        <w:t>partenaires</w:t>
      </w:r>
      <w:proofErr w:type="spellEnd"/>
      <w:r w:rsidRPr="00B82BDF">
        <w:t>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paragraph00031 \h \* CharFormat </w:instrText>
      </w:r>
      <w:r w:rsidRPr="00B82BDF">
        <w:fldChar w:fldCharType="separate"/>
      </w:r>
      <w:r w:rsidRPr="00B82BDF">
        <w:t>31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a </w:t>
      </w:r>
      <w:proofErr w:type="spellStart"/>
      <w:r w:rsidRPr="00B82BDF">
        <w:t>déduit</w:t>
      </w:r>
      <w:proofErr w:type="spellEnd"/>
      <w:r w:rsidRPr="00B82BDF">
        <w:t xml:space="preserve"> </w:t>
      </w:r>
      <w:proofErr w:type="spellStart"/>
      <w:r w:rsidRPr="00B82BDF">
        <w:t>qu’en</w:t>
      </w:r>
      <w:proofErr w:type="spellEnd"/>
      <w:r w:rsidRPr="00B82BDF">
        <w:t xml:space="preserve"> </w:t>
      </w:r>
      <w:proofErr w:type="spellStart"/>
      <w:r w:rsidRPr="00B82BDF">
        <w:t>dépit</w:t>
      </w:r>
      <w:proofErr w:type="spellEnd"/>
      <w:r w:rsidRPr="00B82BDF">
        <w:t xml:space="preserve"> de la </w:t>
      </w:r>
      <w:proofErr w:type="spellStart"/>
      <w:r w:rsidRPr="00B82BDF">
        <w:t>différence</w:t>
      </w:r>
      <w:proofErr w:type="spellEnd"/>
      <w:r w:rsidRPr="00B82BDF">
        <w:t xml:space="preserve"> </w:t>
      </w:r>
      <w:proofErr w:type="spellStart"/>
      <w:r w:rsidRPr="00B82BDF">
        <w:t>d’âge</w:t>
      </w:r>
      <w:proofErr w:type="spellEnd"/>
      <w:r w:rsidRPr="00B82BDF">
        <w:t xml:space="preserve"> entre la </w:t>
      </w:r>
      <w:proofErr w:type="spellStart"/>
      <w:r w:rsidRPr="00B82BDF">
        <w:t>requérante</w:t>
      </w:r>
      <w:proofErr w:type="spellEnd"/>
      <w:r w:rsidRPr="00B82BDF">
        <w:t xml:space="preserve"> et les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cause, </w:t>
      </w:r>
      <w:proofErr w:type="spellStart"/>
      <w:r w:rsidRPr="00B82BDF">
        <w:t>toutes</w:t>
      </w:r>
      <w:proofErr w:type="spellEnd"/>
      <w:r w:rsidRPr="00B82BDF">
        <w:t xml:space="preserve"> majeures, les </w:t>
      </w:r>
      <w:proofErr w:type="spellStart"/>
      <w:r w:rsidRPr="00B82BDF">
        <w:t>circonstances</w:t>
      </w:r>
      <w:proofErr w:type="spellEnd"/>
      <w:r w:rsidRPr="00B82BDF">
        <w:t xml:space="preserve"> de </w:t>
      </w:r>
      <w:proofErr w:type="spellStart"/>
      <w:r w:rsidRPr="00B82BDF">
        <w:t>l’espèce</w:t>
      </w:r>
      <w:proofErr w:type="spellEnd"/>
      <w:r w:rsidRPr="00B82BDF">
        <w:t xml:space="preserve"> ne </w:t>
      </w:r>
      <w:proofErr w:type="spellStart"/>
      <w:r w:rsidRPr="00B82BDF">
        <w:t>permettaient</w:t>
      </w:r>
      <w:proofErr w:type="spellEnd"/>
      <w:r w:rsidRPr="00B82BDF">
        <w:t xml:space="preserve"> pas de </w:t>
      </w:r>
      <w:proofErr w:type="spellStart"/>
      <w:r w:rsidRPr="00B82BDF">
        <w:t>caractériser</w:t>
      </w:r>
      <w:proofErr w:type="spellEnd"/>
      <w:r w:rsidRPr="00B82BDF">
        <w:t xml:space="preserve"> la violence, la </w:t>
      </w:r>
      <w:proofErr w:type="spellStart"/>
      <w:r w:rsidRPr="00B82BDF">
        <w:t>contrainte</w:t>
      </w:r>
      <w:proofErr w:type="spellEnd"/>
      <w:r w:rsidRPr="00B82BDF">
        <w:t xml:space="preserve"> physique </w:t>
      </w:r>
      <w:proofErr w:type="spellStart"/>
      <w:r w:rsidRPr="00B82BDF">
        <w:t>ou</w:t>
      </w:r>
      <w:proofErr w:type="spellEnd"/>
      <w:r w:rsidRPr="00B82BDF">
        <w:t xml:space="preserve"> morale </w:t>
      </w:r>
      <w:proofErr w:type="spellStart"/>
      <w:r w:rsidRPr="00B82BDF">
        <w:t>ou</w:t>
      </w:r>
      <w:proofErr w:type="spellEnd"/>
      <w:r w:rsidRPr="00B82BDF">
        <w:t xml:space="preserve"> la surprise.</w:t>
      </w:r>
    </w:p>
    <w:p w14:paraId="11418C59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218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S’agissant</w:t>
      </w:r>
      <w:proofErr w:type="spellEnd"/>
      <w:r w:rsidRPr="00B82BDF">
        <w:t xml:space="preserve"> de la </w:t>
      </w:r>
      <w:proofErr w:type="spellStart"/>
      <w:r w:rsidRPr="00B82BDF">
        <w:t>vulnérabilité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, les </w:t>
      </w:r>
      <w:proofErr w:type="spellStart"/>
      <w:r w:rsidRPr="00B82BDF">
        <w:t>juges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estimé</w:t>
      </w:r>
      <w:proofErr w:type="spellEnd"/>
      <w:r w:rsidRPr="00B82BDF">
        <w:t xml:space="preserve"> que les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</w:t>
      </w:r>
      <w:proofErr w:type="spellStart"/>
      <w:r w:rsidRPr="00B82BDF">
        <w:t>n’étaient</w:t>
      </w:r>
      <w:proofErr w:type="spellEnd"/>
      <w:r w:rsidRPr="00B82BDF">
        <w:t xml:space="preserve"> pas </w:t>
      </w:r>
      <w:proofErr w:type="spellStart"/>
      <w:r w:rsidRPr="00B82BDF">
        <w:t>nécessairement</w:t>
      </w:r>
      <w:proofErr w:type="spellEnd"/>
      <w:r w:rsidRPr="00B82BDF">
        <w:t xml:space="preserve"> à </w:t>
      </w:r>
      <w:proofErr w:type="spellStart"/>
      <w:r w:rsidRPr="00B82BDF">
        <w:t>même</w:t>
      </w:r>
      <w:proofErr w:type="spellEnd"/>
      <w:r w:rsidRPr="00B82BDF">
        <w:t xml:space="preserve"> de la </w:t>
      </w:r>
      <w:proofErr w:type="spellStart"/>
      <w:r w:rsidRPr="00B82BDF">
        <w:t>constater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relevant </w:t>
      </w:r>
      <w:proofErr w:type="spellStart"/>
      <w:r w:rsidRPr="00B82BDF">
        <w:t>notamment</w:t>
      </w:r>
      <w:proofErr w:type="spellEnd"/>
      <w:r w:rsidRPr="00B82BDF">
        <w:t xml:space="preserve"> « la dissimulation de son </w:t>
      </w:r>
      <w:proofErr w:type="spellStart"/>
      <w:r w:rsidRPr="00B82BDF">
        <w:t>âge</w:t>
      </w:r>
      <w:proofErr w:type="spellEnd"/>
      <w:r w:rsidRPr="00B82BDF">
        <w:t xml:space="preserve">,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morphologie</w:t>
      </w:r>
      <w:proofErr w:type="spellEnd"/>
      <w:r w:rsidRPr="00B82BDF">
        <w:t> », la « </w:t>
      </w:r>
      <w:proofErr w:type="spellStart"/>
      <w:r w:rsidRPr="00B82BDF">
        <w:t>brièveté</w:t>
      </w:r>
      <w:proofErr w:type="spellEnd"/>
      <w:r w:rsidRPr="00B82BDF">
        <w:t xml:space="preserve"> des contacts » et la </w:t>
      </w:r>
      <w:proofErr w:type="spellStart"/>
      <w:r w:rsidRPr="00B82BDF">
        <w:t>circonstance</w:t>
      </w:r>
      <w:proofErr w:type="spellEnd"/>
      <w:r w:rsidRPr="00B82BDF">
        <w:t xml:space="preserve"> que « </w:t>
      </w:r>
      <w:proofErr w:type="spellStart"/>
      <w:r w:rsidRPr="00B82BDF">
        <w:t>ses</w:t>
      </w:r>
      <w:proofErr w:type="spellEnd"/>
      <w:r w:rsidRPr="00B82BDF">
        <w:t xml:space="preserve"> traces de scarification ne </w:t>
      </w:r>
      <w:proofErr w:type="spellStart"/>
      <w:r w:rsidRPr="00B82BDF">
        <w:t>démontraient</w:t>
      </w:r>
      <w:proofErr w:type="spellEnd"/>
      <w:r w:rsidRPr="00B82BDF">
        <w:t xml:space="preserve"> pas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fragilité</w:t>
      </w:r>
      <w:proofErr w:type="spellEnd"/>
      <w:r w:rsidRPr="00B82BDF">
        <w:t xml:space="preserve"> ». </w:t>
      </w:r>
      <w:proofErr w:type="spellStart"/>
      <w:r w:rsidRPr="00B82BDF">
        <w:t>Ils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outre</w:t>
      </w:r>
      <w:proofErr w:type="spellEnd"/>
      <w:r w:rsidRPr="00B82BDF">
        <w:t xml:space="preserve"> </w:t>
      </w:r>
      <w:proofErr w:type="spellStart"/>
      <w:r w:rsidRPr="00B82BDF">
        <w:t>considéré</w:t>
      </w:r>
      <w:proofErr w:type="spellEnd"/>
      <w:r w:rsidRPr="00B82BDF">
        <w:t xml:space="preserve"> que « </w:t>
      </w:r>
      <w:proofErr w:type="spellStart"/>
      <w:r w:rsidRPr="00B82BDF">
        <w:t>sa</w:t>
      </w:r>
      <w:proofErr w:type="spellEnd"/>
      <w:r w:rsidRPr="00B82BDF">
        <w:t xml:space="preserve"> participation active pendant les rapports </w:t>
      </w:r>
      <w:proofErr w:type="spellStart"/>
      <w:r w:rsidRPr="00B82BDF">
        <w:t>sexuels</w:t>
      </w:r>
      <w:proofErr w:type="spellEnd"/>
      <w:r w:rsidRPr="00B82BDF">
        <w:t xml:space="preserve"> [...] ne </w:t>
      </w:r>
      <w:proofErr w:type="spellStart"/>
      <w:r w:rsidRPr="00B82BDF">
        <w:t>révélait</w:t>
      </w:r>
      <w:proofErr w:type="spellEnd"/>
      <w:r w:rsidRPr="00B82BDF">
        <w:t xml:space="preserve"> pas </w:t>
      </w:r>
      <w:proofErr w:type="spellStart"/>
      <w:r w:rsidRPr="00B82BDF">
        <w:t>qu’elle</w:t>
      </w:r>
      <w:proofErr w:type="spellEnd"/>
      <w:r w:rsidRPr="00B82BDF">
        <w:t xml:space="preserve"> </w:t>
      </w:r>
      <w:proofErr w:type="spellStart"/>
      <w:r w:rsidRPr="00B82BDF">
        <w:t>était</w:t>
      </w:r>
      <w:proofErr w:type="spellEnd"/>
      <w:r w:rsidRPr="00B82BDF">
        <w:t xml:space="preserve"> sous un </w:t>
      </w:r>
      <w:proofErr w:type="spellStart"/>
      <w:r w:rsidRPr="00B82BDF">
        <w:t>traitement</w:t>
      </w:r>
      <w:proofErr w:type="spellEnd"/>
      <w:r w:rsidRPr="00B82BDF">
        <w:t xml:space="preserve"> </w:t>
      </w:r>
      <w:proofErr w:type="spellStart"/>
      <w:r w:rsidRPr="00B82BDF">
        <w:t>médicamenteux</w:t>
      </w:r>
      <w:proofErr w:type="spellEnd"/>
      <w:r w:rsidRPr="00B82BDF">
        <w:t xml:space="preserve"> </w:t>
      </w:r>
      <w:proofErr w:type="spellStart"/>
      <w:r w:rsidRPr="00B82BDF">
        <w:t>lourd</w:t>
      </w:r>
      <w:proofErr w:type="spellEnd"/>
      <w:r w:rsidRPr="00B82BDF">
        <w:t xml:space="preserve"> ». </w:t>
      </w:r>
      <w:proofErr w:type="spellStart"/>
      <w:r w:rsidRPr="00B82BDF">
        <w:t>Enfin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gramStart"/>
      <w:r w:rsidRPr="00B82BDF">
        <w:t>a</w:t>
      </w:r>
      <w:proofErr w:type="gramEnd"/>
      <w:r w:rsidRPr="00B82BDF">
        <w:t xml:space="preserve"> </w:t>
      </w:r>
      <w:proofErr w:type="spellStart"/>
      <w:r w:rsidRPr="00B82BDF">
        <w:t>ajouté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qui </w:t>
      </w:r>
      <w:proofErr w:type="spellStart"/>
      <w:r w:rsidRPr="00B82BDF">
        <w:t>concerne</w:t>
      </w:r>
      <w:proofErr w:type="spellEnd"/>
      <w:r w:rsidRPr="00B82BDF">
        <w:t xml:space="preserve"> les pompiers mis </w:t>
      </w:r>
      <w:proofErr w:type="spellStart"/>
      <w:r w:rsidRPr="00B82BDF">
        <w:t>en</w:t>
      </w:r>
      <w:proofErr w:type="spellEnd"/>
      <w:r w:rsidRPr="00B82BDF">
        <w:t xml:space="preserve"> cause, que « </w:t>
      </w:r>
      <w:proofErr w:type="spellStart"/>
      <w:r w:rsidRPr="00B82BDF">
        <w:t>leur</w:t>
      </w:r>
      <w:proofErr w:type="spellEnd"/>
      <w:r w:rsidRPr="00B82BDF">
        <w:t xml:space="preserve"> succès </w:t>
      </w:r>
      <w:proofErr w:type="spellStart"/>
      <w:r w:rsidRPr="00B82BDF">
        <w:lastRenderedPageBreak/>
        <w:t>habituel</w:t>
      </w:r>
      <w:proofErr w:type="spellEnd"/>
      <w:r w:rsidRPr="00B82BDF">
        <w:t xml:space="preserve"> </w:t>
      </w:r>
      <w:proofErr w:type="spellStart"/>
      <w:r w:rsidRPr="00B82BDF">
        <w:t>auprès</w:t>
      </w:r>
      <w:proofErr w:type="spellEnd"/>
      <w:r w:rsidRPr="00B82BDF">
        <w:t xml:space="preserve"> de la gent </w:t>
      </w:r>
      <w:proofErr w:type="spellStart"/>
      <w:r w:rsidRPr="00B82BDF">
        <w:t>féminine</w:t>
      </w:r>
      <w:proofErr w:type="spellEnd"/>
      <w:r w:rsidRPr="00B82BDF">
        <w:t xml:space="preserve"> et le </w:t>
      </w:r>
      <w:proofErr w:type="spellStart"/>
      <w:r w:rsidRPr="00B82BDF">
        <w:t>comportement</w:t>
      </w:r>
      <w:proofErr w:type="spellEnd"/>
      <w:r w:rsidRPr="00B82BDF">
        <w:t xml:space="preserve"> </w:t>
      </w:r>
      <w:proofErr w:type="spellStart"/>
      <w:r w:rsidRPr="00B82BDF">
        <w:t>parfois</w:t>
      </w:r>
      <w:proofErr w:type="spellEnd"/>
      <w:r w:rsidRPr="00B82BDF">
        <w:t xml:space="preserve"> </w:t>
      </w:r>
      <w:proofErr w:type="spellStart"/>
      <w:r w:rsidRPr="00B82BDF">
        <w:t>débridé</w:t>
      </w:r>
      <w:proofErr w:type="spellEnd"/>
      <w:r w:rsidRPr="00B82BDF">
        <w:t xml:space="preserve"> de </w:t>
      </w:r>
      <w:proofErr w:type="spellStart"/>
      <w:r w:rsidRPr="00B82BDF">
        <w:t>celle</w:t>
      </w:r>
      <w:proofErr w:type="spellEnd"/>
      <w:r w:rsidRPr="00B82BDF">
        <w:t xml:space="preserve">-ci à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endroit</w:t>
      </w:r>
      <w:proofErr w:type="spellEnd"/>
      <w:r w:rsidRPr="00B82BDF">
        <w:t xml:space="preserve"> ne les </w:t>
      </w:r>
      <w:proofErr w:type="spellStart"/>
      <w:r w:rsidRPr="00B82BDF">
        <w:t>ont</w:t>
      </w:r>
      <w:proofErr w:type="spellEnd"/>
      <w:r w:rsidRPr="00B82BDF">
        <w:t xml:space="preserve"> pas </w:t>
      </w:r>
      <w:proofErr w:type="spellStart"/>
      <w:r w:rsidRPr="00B82BDF">
        <w:t>incités</w:t>
      </w:r>
      <w:proofErr w:type="spellEnd"/>
      <w:r w:rsidRPr="00B82BDF">
        <w:t xml:space="preserve"> à la </w:t>
      </w:r>
      <w:proofErr w:type="spellStart"/>
      <w:r w:rsidRPr="00B82BDF">
        <w:t>réflexion</w:t>
      </w:r>
      <w:proofErr w:type="spellEnd"/>
      <w:r w:rsidRPr="00B82BDF">
        <w:t> » (</w:t>
      </w:r>
      <w:r w:rsidRPr="00B82BDF">
        <w:rPr>
          <w:i/>
          <w:iCs/>
        </w:rPr>
        <w:t>ibidem</w:t>
      </w:r>
      <w:r w:rsidRPr="00B82BDF">
        <w:t>).</w:t>
      </w:r>
    </w:p>
    <w:p w14:paraId="1AB1DFF7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219</w:t>
      </w:r>
      <w:r w:rsidRPr="00B82BDF">
        <w:rPr>
          <w:noProof/>
        </w:rPr>
        <w:fldChar w:fldCharType="end"/>
      </w:r>
      <w:r w:rsidRPr="00B82BDF">
        <w:t xml:space="preserve">.  Si </w:t>
      </w:r>
      <w:proofErr w:type="spellStart"/>
      <w:r w:rsidRPr="00B82BDF">
        <w:t>elle</w:t>
      </w:r>
      <w:proofErr w:type="spellEnd"/>
      <w:r w:rsidRPr="00B82BDF">
        <w:t xml:space="preserve"> a </w:t>
      </w:r>
      <w:proofErr w:type="spellStart"/>
      <w:r w:rsidRPr="00B82BDF">
        <w:t>cassé</w:t>
      </w:r>
      <w:proofErr w:type="spellEnd"/>
      <w:r w:rsidRPr="00B82BDF">
        <w:t xml:space="preserve"> </w:t>
      </w:r>
      <w:proofErr w:type="spellStart"/>
      <w:r w:rsidRPr="00B82BDF">
        <w:t>l’arrêt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qui </w:t>
      </w:r>
      <w:proofErr w:type="spellStart"/>
      <w:r w:rsidRPr="00B82BDF">
        <w:t>concerne</w:t>
      </w:r>
      <w:proofErr w:type="spellEnd"/>
      <w:r w:rsidRPr="00B82BDF">
        <w:t xml:space="preserve"> le </w:t>
      </w:r>
      <w:proofErr w:type="spellStart"/>
      <w:r w:rsidRPr="00B82BDF">
        <w:t>délit</w:t>
      </w:r>
      <w:proofErr w:type="spellEnd"/>
      <w:r w:rsidRPr="00B82BDF">
        <w:t xml:space="preserve"> de corruption de </w:t>
      </w:r>
      <w:proofErr w:type="spellStart"/>
      <w:r w:rsidRPr="00B82BDF">
        <w:t>mineur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de cassation </w:t>
      </w:r>
      <w:proofErr w:type="spellStart"/>
      <w:r w:rsidRPr="00B82BDF">
        <w:t>l’a</w:t>
      </w:r>
      <w:proofErr w:type="spellEnd"/>
      <w:r w:rsidRPr="00B82BDF">
        <w:t xml:space="preserve"> </w:t>
      </w:r>
      <w:proofErr w:type="spellStart"/>
      <w:r w:rsidRPr="00B82BDF">
        <w:t>confirmé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tant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admis le </w:t>
      </w:r>
      <w:proofErr w:type="spellStart"/>
      <w:r w:rsidRPr="00B82BDF">
        <w:t>consentement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 que les motifs </w:t>
      </w:r>
      <w:proofErr w:type="spellStart"/>
      <w:r w:rsidRPr="00B82BDF">
        <w:t>retenus</w:t>
      </w:r>
      <w:proofErr w:type="spellEnd"/>
      <w:r w:rsidRPr="00B82BDF">
        <w:t xml:space="preserve"> pour </w:t>
      </w:r>
      <w:proofErr w:type="spellStart"/>
      <w:r w:rsidRPr="00B82BDF">
        <w:t>ce</w:t>
      </w:r>
      <w:proofErr w:type="spellEnd"/>
      <w:r w:rsidRPr="00B82BDF">
        <w:t xml:space="preserve"> faire </w:t>
      </w:r>
      <w:proofErr w:type="spellStart"/>
      <w:r w:rsidRPr="00B82BDF">
        <w:t>étaient</w:t>
      </w:r>
      <w:proofErr w:type="spellEnd"/>
      <w:r w:rsidRPr="00B82BDF">
        <w:t xml:space="preserve"> « exempts </w:t>
      </w:r>
      <w:proofErr w:type="spellStart"/>
      <w:r w:rsidRPr="00B82BDF">
        <w:t>d’insuffisance</w:t>
      </w:r>
      <w:proofErr w:type="spellEnd"/>
      <w:r w:rsidRPr="00B82BDF">
        <w:t xml:space="preserve"> </w:t>
      </w:r>
      <w:proofErr w:type="spellStart"/>
      <w:r w:rsidRPr="00B82BDF">
        <w:t>comme</w:t>
      </w:r>
      <w:proofErr w:type="spellEnd"/>
      <w:r w:rsidRPr="00B82BDF">
        <w:t xml:space="preserve"> de contradiction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paragraph00035 \h \* CharFormat </w:instrText>
      </w:r>
      <w:r w:rsidRPr="00B82BDF">
        <w:fldChar w:fldCharType="separate"/>
      </w:r>
      <w:r w:rsidRPr="00B82BDF">
        <w:t>35</w:t>
      </w:r>
      <w:r w:rsidRPr="00B82BDF">
        <w:fldChar w:fldCharType="end"/>
      </w:r>
      <w:r w:rsidRPr="00B82BDF">
        <w:t xml:space="preserve"> ci-dessus).</w:t>
      </w:r>
    </w:p>
    <w:p w14:paraId="34E9D1F6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220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souligne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premier lieu, la situation </w:t>
      </w:r>
      <w:proofErr w:type="spellStart"/>
      <w:r w:rsidRPr="00B82BDF">
        <w:t>d’extrême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qui </w:t>
      </w:r>
      <w:proofErr w:type="spellStart"/>
      <w:r w:rsidRPr="00B82BDF">
        <w:t>était</w:t>
      </w:r>
      <w:proofErr w:type="spellEnd"/>
      <w:r w:rsidRPr="00B82BDF">
        <w:t xml:space="preserve"> </w:t>
      </w:r>
      <w:proofErr w:type="spellStart"/>
      <w:r w:rsidRPr="00B82BDF">
        <w:t>âgée</w:t>
      </w:r>
      <w:proofErr w:type="spellEnd"/>
      <w:r w:rsidRPr="00B82BDF">
        <w:t xml:space="preserve"> de 13 </w:t>
      </w:r>
      <w:proofErr w:type="spellStart"/>
      <w:r w:rsidRPr="00B82BDF">
        <w:t>ans</w:t>
      </w:r>
      <w:proofErr w:type="spellEnd"/>
      <w:r w:rsidRPr="00B82BDF">
        <w:t xml:space="preserve"> à la date des premiers faits </w:t>
      </w:r>
      <w:proofErr w:type="spellStart"/>
      <w:r w:rsidRPr="00B82BDF">
        <w:t>dénoncés</w:t>
      </w:r>
      <w:proofErr w:type="spellEnd"/>
      <w:r w:rsidRPr="00B82BDF">
        <w:t xml:space="preserve">. Elle </w:t>
      </w:r>
      <w:proofErr w:type="spellStart"/>
      <w:r w:rsidRPr="00B82BDF">
        <w:t>relève</w:t>
      </w:r>
      <w:proofErr w:type="spellEnd"/>
      <w:r w:rsidRPr="00B82BDF">
        <w:t xml:space="preserve"> par </w:t>
      </w:r>
      <w:proofErr w:type="spellStart"/>
      <w:r w:rsidRPr="00B82BDF">
        <w:t>ailleurs</w:t>
      </w:r>
      <w:proofErr w:type="spellEnd"/>
      <w:r w:rsidRPr="00B82BDF">
        <w:t xml:space="preserve"> la </w:t>
      </w:r>
      <w:proofErr w:type="spellStart"/>
      <w:r w:rsidRPr="00B82BDF">
        <w:t>fragilité</w:t>
      </w:r>
      <w:proofErr w:type="spellEnd"/>
      <w:r w:rsidRPr="00B82BDF">
        <w:t xml:space="preserve"> </w:t>
      </w:r>
      <w:proofErr w:type="spellStart"/>
      <w:r w:rsidRPr="00B82BDF">
        <w:t>psychologique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qui a </w:t>
      </w:r>
      <w:proofErr w:type="spellStart"/>
      <w:r w:rsidRPr="00B82BDF">
        <w:t>été</w:t>
      </w:r>
      <w:proofErr w:type="spellEnd"/>
      <w:r w:rsidRPr="00B82BDF">
        <w:t xml:space="preserve"> à </w:t>
      </w:r>
      <w:proofErr w:type="spellStart"/>
      <w:r w:rsidRPr="00B82BDF">
        <w:t>l’origine</w:t>
      </w:r>
      <w:proofErr w:type="spellEnd"/>
      <w:r w:rsidRPr="00B82BDF">
        <w:t xml:space="preserve"> des </w:t>
      </w:r>
      <w:proofErr w:type="spellStart"/>
      <w:r w:rsidRPr="00B82BDF">
        <w:t>nombreuses</w:t>
      </w:r>
      <w:proofErr w:type="spellEnd"/>
      <w:r w:rsidRPr="00B82BDF">
        <w:t xml:space="preserve"> interventions de secours des </w:t>
      </w:r>
      <w:proofErr w:type="spellStart"/>
      <w:r w:rsidRPr="00B82BDF">
        <w:t>sapeurs</w:t>
      </w:r>
      <w:proofErr w:type="spellEnd"/>
      <w:r w:rsidRPr="00B82BDF">
        <w:t xml:space="preserve">-pompiers à son domicile, plus </w:t>
      </w:r>
      <w:proofErr w:type="spellStart"/>
      <w:r w:rsidRPr="00B82BDF">
        <w:t>d’une</w:t>
      </w:r>
      <w:proofErr w:type="spellEnd"/>
      <w:r w:rsidRPr="00B82BDF">
        <w:t xml:space="preserve"> </w:t>
      </w:r>
      <w:proofErr w:type="spellStart"/>
      <w:r w:rsidRPr="00B82BDF">
        <w:t>centaine</w:t>
      </w:r>
      <w:proofErr w:type="spellEnd"/>
      <w:r w:rsidRPr="00B82BDF">
        <w:t xml:space="preserve"> à </w:t>
      </w:r>
      <w:proofErr w:type="spellStart"/>
      <w:r w:rsidRPr="00B82BDF">
        <w:t>partir</w:t>
      </w:r>
      <w:proofErr w:type="spellEnd"/>
      <w:r w:rsidRPr="00B82BDF">
        <w:t xml:space="preserve"> de 2008. Elle note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outre</w:t>
      </w:r>
      <w:proofErr w:type="spellEnd"/>
      <w:r w:rsidRPr="00B82BDF">
        <w:t xml:space="preserve"> que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déclaré</w:t>
      </w:r>
      <w:proofErr w:type="spellEnd"/>
      <w:r w:rsidRPr="00B82BDF">
        <w:t xml:space="preserve">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victime</w:t>
      </w:r>
      <w:proofErr w:type="spellEnd"/>
      <w:r w:rsidRPr="00B82BDF">
        <w:t xml:space="preserve"> </w:t>
      </w:r>
      <w:proofErr w:type="spellStart"/>
      <w:r w:rsidRPr="00B82BDF">
        <w:t>antérieurement</w:t>
      </w:r>
      <w:proofErr w:type="spellEnd"/>
      <w:r w:rsidRPr="00B82BDF">
        <w:t xml:space="preserve"> aux faits </w:t>
      </w:r>
      <w:proofErr w:type="spellStart"/>
      <w:r w:rsidRPr="00B82BDF">
        <w:t>dénoncés</w:t>
      </w:r>
      <w:proofErr w:type="spellEnd"/>
      <w:r w:rsidRPr="00B82BDF">
        <w:t xml:space="preserve"> d’un </w:t>
      </w:r>
      <w:proofErr w:type="spellStart"/>
      <w:r w:rsidRPr="00B82BDF">
        <w:t>harcèlement</w:t>
      </w:r>
      <w:proofErr w:type="spellEnd"/>
      <w:r w:rsidRPr="00B82BDF">
        <w:t xml:space="preserve"> </w:t>
      </w:r>
      <w:proofErr w:type="spellStart"/>
      <w:r w:rsidRPr="00B82BDF">
        <w:t>scolaire</w:t>
      </w:r>
      <w:proofErr w:type="spellEnd"/>
      <w:r w:rsidRPr="00B82BDF">
        <w:t xml:space="preserve"> </w:t>
      </w:r>
      <w:proofErr w:type="spellStart"/>
      <w:r w:rsidRPr="00B82BDF">
        <w:t>ayant</w:t>
      </w:r>
      <w:proofErr w:type="spellEnd"/>
      <w:r w:rsidRPr="00B82BDF">
        <w:t xml:space="preserve"> </w:t>
      </w:r>
      <w:proofErr w:type="spellStart"/>
      <w:r w:rsidRPr="00B82BDF">
        <w:t>eu</w:t>
      </w:r>
      <w:proofErr w:type="spellEnd"/>
      <w:r w:rsidRPr="00B82BDF">
        <w:t xml:space="preserve"> des </w:t>
      </w:r>
      <w:proofErr w:type="spellStart"/>
      <w:r w:rsidRPr="00B82BDF">
        <w:t>conséquences</w:t>
      </w:r>
      <w:proofErr w:type="spellEnd"/>
      <w:r w:rsidRPr="00B82BDF">
        <w:t xml:space="preserve"> </w:t>
      </w:r>
      <w:proofErr w:type="spellStart"/>
      <w:r w:rsidRPr="00B82BDF">
        <w:t>psychologiques</w:t>
      </w:r>
      <w:proofErr w:type="spellEnd"/>
      <w:r w:rsidRPr="00B82BDF">
        <w:t xml:space="preserve"> graves, </w:t>
      </w:r>
      <w:proofErr w:type="spellStart"/>
      <w:r w:rsidRPr="00B82BDF">
        <w:t>entrainant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déscolarisation</w:t>
      </w:r>
      <w:proofErr w:type="spellEnd"/>
      <w:r w:rsidRPr="00B82BDF">
        <w:t xml:space="preserve"> et un </w:t>
      </w:r>
      <w:proofErr w:type="spellStart"/>
      <w:r w:rsidRPr="00B82BDF">
        <w:t>isolement</w:t>
      </w:r>
      <w:proofErr w:type="spellEnd"/>
      <w:r w:rsidRPr="00B82BDF">
        <w:t xml:space="preserve"> important, </w:t>
      </w:r>
      <w:proofErr w:type="spellStart"/>
      <w:r w:rsidRPr="00B82BDF">
        <w:t>ainsi</w:t>
      </w:r>
      <w:proofErr w:type="spellEnd"/>
      <w:r w:rsidRPr="00B82BDF">
        <w:t xml:space="preserve"> </w:t>
      </w:r>
      <w:proofErr w:type="spellStart"/>
      <w:r w:rsidRPr="00B82BDF">
        <w:t>qu’un</w:t>
      </w:r>
      <w:proofErr w:type="spellEnd"/>
      <w:r w:rsidRPr="00B82BDF">
        <w:t xml:space="preserve"> </w:t>
      </w:r>
      <w:proofErr w:type="spellStart"/>
      <w:r w:rsidRPr="00B82BDF">
        <w:t>traitement</w:t>
      </w:r>
      <w:proofErr w:type="spellEnd"/>
      <w:r w:rsidRPr="00B82BDF">
        <w:t xml:space="preserve"> </w:t>
      </w:r>
      <w:proofErr w:type="spellStart"/>
      <w:r w:rsidRPr="00B82BDF">
        <w:t>médical</w:t>
      </w:r>
      <w:proofErr w:type="spellEnd"/>
      <w:r w:rsidRPr="00B82BDF">
        <w:t xml:space="preserve"> </w:t>
      </w:r>
      <w:proofErr w:type="spellStart"/>
      <w:r w:rsidRPr="00B82BDF">
        <w:t>très</w:t>
      </w:r>
      <w:proofErr w:type="spellEnd"/>
      <w:r w:rsidRPr="00B82BDF">
        <w:t xml:space="preserve"> </w:t>
      </w:r>
      <w:proofErr w:type="spellStart"/>
      <w:r w:rsidRPr="00B82BDF">
        <w:t>lourd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raison de crises de </w:t>
      </w:r>
      <w:proofErr w:type="spellStart"/>
      <w:r w:rsidRPr="00B82BDF">
        <w:t>panique</w:t>
      </w:r>
      <w:proofErr w:type="spellEnd"/>
      <w:r w:rsidRPr="00B82BDF">
        <w:t xml:space="preserve"> et de </w:t>
      </w:r>
      <w:proofErr w:type="spellStart"/>
      <w:r w:rsidRPr="00B82BDF">
        <w:t>tétanie</w:t>
      </w:r>
      <w:proofErr w:type="spellEnd"/>
      <w:r w:rsidRPr="00B82BDF">
        <w:t xml:space="preserve"> </w:t>
      </w:r>
      <w:proofErr w:type="spellStart"/>
      <w:r w:rsidRPr="00B82BDF">
        <w:t>récurrentes</w:t>
      </w:r>
      <w:proofErr w:type="spellEnd"/>
      <w:r w:rsidRPr="00B82BDF">
        <w:t xml:space="preserve">. Au moment de </w:t>
      </w:r>
      <w:proofErr w:type="spellStart"/>
      <w:r w:rsidRPr="00B82BDF">
        <w:t>sa</w:t>
      </w:r>
      <w:proofErr w:type="spellEnd"/>
      <w:r w:rsidRPr="00B82BDF">
        <w:t xml:space="preserve"> première rencontre avec les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cause,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déjà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hospitalisée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psychiatrie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raison de </w:t>
      </w:r>
      <w:proofErr w:type="spellStart"/>
      <w:r w:rsidRPr="00B82BDF">
        <w:t>scarifications</w:t>
      </w:r>
      <w:proofErr w:type="spellEnd"/>
      <w:r w:rsidRPr="00B82BDF">
        <w:t xml:space="preserve"> et de </w:t>
      </w:r>
      <w:proofErr w:type="spellStart"/>
      <w:r w:rsidRPr="00B82BDF">
        <w:t>tentatives</w:t>
      </w:r>
      <w:proofErr w:type="spellEnd"/>
      <w:r w:rsidRPr="00B82BDF">
        <w:t xml:space="preserve"> de suicide, hospitalisations qui se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poursuivies</w:t>
      </w:r>
      <w:proofErr w:type="spellEnd"/>
      <w:r w:rsidRPr="00B82BDF">
        <w:t xml:space="preserve"> pendant </w:t>
      </w:r>
      <w:proofErr w:type="spellStart"/>
      <w:r w:rsidRPr="00B82BDF">
        <w:t>toute</w:t>
      </w:r>
      <w:proofErr w:type="spellEnd"/>
      <w:r w:rsidRPr="00B82BDF">
        <w:t xml:space="preserve"> la </w:t>
      </w:r>
      <w:proofErr w:type="spellStart"/>
      <w:r w:rsidRPr="00B82BDF">
        <w:t>période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litige</w:t>
      </w:r>
      <w:proofErr w:type="spellEnd"/>
      <w:r w:rsidRPr="00B82BDF">
        <w:t xml:space="preserve">, y </w:t>
      </w:r>
      <w:proofErr w:type="spellStart"/>
      <w:r w:rsidRPr="00B82BDF">
        <w:t>compris</w:t>
      </w:r>
      <w:proofErr w:type="spellEnd"/>
      <w:r w:rsidRPr="00B82BDF">
        <w:t xml:space="preserve"> au </w:t>
      </w:r>
      <w:proofErr w:type="spellStart"/>
      <w:r w:rsidRPr="00B82BDF">
        <w:t>cours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paragraph00005 \h \* CharFormat </w:instrText>
      </w:r>
      <w:r w:rsidRPr="00B82BDF">
        <w:fldChar w:fldCharType="separate"/>
      </w:r>
      <w:r w:rsidRPr="00B82BDF">
        <w:t>5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paragraph00007 \h \* CharFormat </w:instrText>
      </w:r>
      <w:r w:rsidRPr="00B82BDF">
        <w:fldChar w:fldCharType="separate"/>
      </w:r>
      <w:r w:rsidRPr="00B82BDF">
        <w:t>7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paragraph00016 \h \* CharFormat </w:instrText>
      </w:r>
      <w:r w:rsidRPr="00B82BDF">
        <w:fldChar w:fldCharType="separate"/>
      </w:r>
      <w:r w:rsidRPr="00B82BDF">
        <w:t>16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paragraph00022 \h \* CharFormat </w:instrText>
      </w:r>
      <w:r w:rsidRPr="00B82BDF">
        <w:fldChar w:fldCharType="separate"/>
      </w:r>
      <w:r w:rsidRPr="00B82BDF">
        <w:t>22</w:t>
      </w:r>
      <w:r w:rsidRPr="00B82BDF">
        <w:fldChar w:fldCharType="end"/>
      </w:r>
      <w:r w:rsidRPr="00B82BDF">
        <w:t xml:space="preserve"> ci-dessus). </w:t>
      </w:r>
      <w:proofErr w:type="spellStart"/>
      <w:r w:rsidRPr="00B82BDF">
        <w:t>Enfin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considère</w:t>
      </w:r>
      <w:proofErr w:type="spellEnd"/>
      <w:r w:rsidRPr="00B82BDF">
        <w:t xml:space="preserve"> que </w:t>
      </w:r>
      <w:proofErr w:type="spellStart"/>
      <w:r w:rsidRPr="00B82BDF">
        <w:t>l’intérêt</w:t>
      </w:r>
      <w:proofErr w:type="spellEnd"/>
      <w:r w:rsidRPr="00B82BDF">
        <w:t xml:space="preserve"> </w:t>
      </w:r>
      <w:proofErr w:type="spellStart"/>
      <w:r w:rsidRPr="00B82BDF">
        <w:t>notoire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pour les pompiers </w:t>
      </w:r>
      <w:proofErr w:type="spellStart"/>
      <w:r w:rsidRPr="00B82BDF">
        <w:t>confinant</w:t>
      </w:r>
      <w:proofErr w:type="spellEnd"/>
      <w:r w:rsidRPr="00B82BDF">
        <w:t xml:space="preserve"> à </w:t>
      </w:r>
      <w:proofErr w:type="spellStart"/>
      <w:r w:rsidRPr="00B82BDF">
        <w:t>l’obsession</w:t>
      </w:r>
      <w:proofErr w:type="spellEnd"/>
      <w:r w:rsidRPr="00B82BDF">
        <w:t xml:space="preserve"> la </w:t>
      </w:r>
      <w:proofErr w:type="spellStart"/>
      <w:r w:rsidRPr="00B82BDF">
        <w:t>rendait</w:t>
      </w:r>
      <w:proofErr w:type="spellEnd"/>
      <w:r w:rsidRPr="00B82BDF">
        <w:t xml:space="preserve"> </w:t>
      </w:r>
      <w:proofErr w:type="spellStart"/>
      <w:r w:rsidRPr="00B82BDF">
        <w:t>particulièrement</w:t>
      </w:r>
      <w:proofErr w:type="spellEnd"/>
      <w:r w:rsidRPr="00B82BDF">
        <w:t xml:space="preserve"> </w:t>
      </w:r>
      <w:proofErr w:type="spellStart"/>
      <w:r w:rsidRPr="00B82BDF">
        <w:t>vulnérable</w:t>
      </w:r>
      <w:proofErr w:type="spellEnd"/>
      <w:r w:rsidRPr="00B82BDF">
        <w:t xml:space="preserve"> face à </w:t>
      </w:r>
      <w:proofErr w:type="spellStart"/>
      <w:r w:rsidRPr="00B82BDF">
        <w:t>leurs</w:t>
      </w:r>
      <w:proofErr w:type="spellEnd"/>
      <w:r w:rsidRPr="00B82BDF">
        <w:t xml:space="preserve"> marques </w:t>
      </w:r>
      <w:proofErr w:type="spellStart"/>
      <w:r w:rsidRPr="00B82BDF">
        <w:t>d’attention</w:t>
      </w:r>
      <w:proofErr w:type="spellEnd"/>
      <w:r w:rsidRPr="00B82BDF">
        <w:t xml:space="preserve"> et </w:t>
      </w:r>
      <w:proofErr w:type="spellStart"/>
      <w:r w:rsidRPr="00B82BDF">
        <w:t>leurs</w:t>
      </w:r>
      <w:proofErr w:type="spellEnd"/>
      <w:r w:rsidRPr="00B82BDF">
        <w:t xml:space="preserve"> </w:t>
      </w:r>
      <w:proofErr w:type="spellStart"/>
      <w:r w:rsidRPr="00B82BDF">
        <w:t>sollicitations</w:t>
      </w:r>
      <w:proofErr w:type="spellEnd"/>
      <w:r w:rsidRPr="00B82BDF">
        <w:t xml:space="preserve"> </w:t>
      </w:r>
      <w:proofErr w:type="spellStart"/>
      <w:r w:rsidRPr="00B82BDF">
        <w:t>sexuelles</w:t>
      </w:r>
      <w:proofErr w:type="spellEnd"/>
      <w:r w:rsidRPr="00B82BDF">
        <w:t>.</w:t>
      </w:r>
    </w:p>
    <w:p w14:paraId="09288BEF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221</w:t>
      </w:r>
      <w:r w:rsidRPr="00B82BDF">
        <w:rPr>
          <w:noProof/>
        </w:rPr>
        <w:fldChar w:fldCharType="end"/>
      </w:r>
      <w:r w:rsidRPr="00B82BDF">
        <w:t xml:space="preserve">.  Or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que, dans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du </w:t>
      </w:r>
      <w:proofErr w:type="spellStart"/>
      <w:r w:rsidRPr="00B82BDF">
        <w:t>comportement</w:t>
      </w:r>
      <w:proofErr w:type="spellEnd"/>
      <w:r w:rsidRPr="00B82BDF">
        <w:t xml:space="preserve"> et du </w:t>
      </w:r>
      <w:proofErr w:type="spellStart"/>
      <w:r w:rsidRPr="00B82BDF">
        <w:t>consentement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, les </w:t>
      </w:r>
      <w:proofErr w:type="spellStart"/>
      <w:r w:rsidRPr="00B82BDF">
        <w:t>juges</w:t>
      </w:r>
      <w:proofErr w:type="spellEnd"/>
      <w:r w:rsidRPr="00B82BDF">
        <w:t xml:space="preserve"> internes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omis</w:t>
      </w:r>
      <w:proofErr w:type="spellEnd"/>
      <w:r w:rsidRPr="00B82BDF">
        <w:t xml:space="preserve"> de </w:t>
      </w:r>
      <w:proofErr w:type="spellStart"/>
      <w:r w:rsidRPr="00B82BDF">
        <w:t>procéder</w:t>
      </w:r>
      <w:proofErr w:type="spellEnd"/>
      <w:r w:rsidRPr="00B82BDF">
        <w:t xml:space="preserve"> à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évaluation</w:t>
      </w:r>
      <w:proofErr w:type="spellEnd"/>
      <w:r w:rsidRPr="00B82BDF">
        <w:t xml:space="preserve"> </w:t>
      </w:r>
      <w:proofErr w:type="spellStart"/>
      <w:r w:rsidRPr="00B82BDF">
        <w:t>contextuelle</w:t>
      </w:r>
      <w:proofErr w:type="spellEnd"/>
      <w:r w:rsidRPr="00B82BDF">
        <w:t xml:space="preserve"> des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environnantes</w:t>
      </w:r>
      <w:proofErr w:type="spellEnd"/>
      <w:r w:rsidRPr="00B82BDF">
        <w:t xml:space="preserve"> de </w:t>
      </w:r>
      <w:proofErr w:type="spellStart"/>
      <w:r w:rsidRPr="00B82BDF">
        <w:t>l’espèce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qui </w:t>
      </w:r>
      <w:proofErr w:type="spellStart"/>
      <w:r w:rsidRPr="00B82BDF">
        <w:t>concerne</w:t>
      </w:r>
      <w:proofErr w:type="spellEnd"/>
      <w:r w:rsidRPr="00B82BDF">
        <w:t xml:space="preserve"> le </w:t>
      </w:r>
      <w:proofErr w:type="spellStart"/>
      <w:r w:rsidRPr="00B82BDF">
        <w:t>déséquilibre</w:t>
      </w:r>
      <w:proofErr w:type="spellEnd"/>
      <w:r w:rsidRPr="00B82BDF">
        <w:t xml:space="preserve"> des relations entre la </w:t>
      </w:r>
      <w:proofErr w:type="spellStart"/>
      <w:r w:rsidRPr="00B82BDF">
        <w:t>requérante</w:t>
      </w:r>
      <w:proofErr w:type="spellEnd"/>
      <w:r w:rsidRPr="00B82BDF">
        <w:t xml:space="preserve"> et les </w:t>
      </w:r>
      <w:proofErr w:type="spellStart"/>
      <w:r w:rsidRPr="00B82BDF">
        <w:t>personnes</w:t>
      </w:r>
      <w:proofErr w:type="spellEnd"/>
      <w:r w:rsidRPr="00B82BDF">
        <w:t xml:space="preserve"> avec </w:t>
      </w:r>
      <w:proofErr w:type="spellStart"/>
      <w:r w:rsidRPr="00B82BDF">
        <w:t>lesquelles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eu</w:t>
      </w:r>
      <w:proofErr w:type="spellEnd"/>
      <w:r w:rsidRPr="00B82BDF">
        <w:t xml:space="preserve"> des relations </w:t>
      </w:r>
      <w:proofErr w:type="spellStart"/>
      <w:r w:rsidRPr="00B82BDF">
        <w:t>sexuelles</w:t>
      </w:r>
      <w:proofErr w:type="spellEnd"/>
      <w:r w:rsidRPr="00B82BDF">
        <w:t xml:space="preserve">. </w:t>
      </w:r>
      <w:proofErr w:type="spellStart"/>
      <w:r w:rsidRPr="00B82BDF">
        <w:t>Ainsi</w:t>
      </w:r>
      <w:proofErr w:type="spellEnd"/>
      <w:r w:rsidRPr="00B82BDF">
        <w:t xml:space="preserve">, </w:t>
      </w:r>
      <w:proofErr w:type="spellStart"/>
      <w:r w:rsidRPr="00B82BDF">
        <w:t>alors</w:t>
      </w:r>
      <w:proofErr w:type="spellEnd"/>
      <w:r w:rsidRPr="00B82BDF">
        <w:t xml:space="preserve"> que les investigations </w:t>
      </w:r>
      <w:proofErr w:type="spellStart"/>
      <w:r w:rsidRPr="00B82BDF">
        <w:t>avaient</w:t>
      </w:r>
      <w:proofErr w:type="spellEnd"/>
      <w:r w:rsidRPr="00B82BDF">
        <w:t xml:space="preserve"> </w:t>
      </w:r>
      <w:proofErr w:type="spellStart"/>
      <w:r w:rsidRPr="00B82BDF">
        <w:t>établi</w:t>
      </w:r>
      <w:proofErr w:type="spellEnd"/>
      <w:r w:rsidRPr="00B82BDF">
        <w:t xml:space="preserve"> que </w:t>
      </w:r>
      <w:proofErr w:type="spellStart"/>
      <w:r w:rsidRPr="00B82BDF">
        <w:t>certaines</w:t>
      </w:r>
      <w:proofErr w:type="spellEnd"/>
      <w:r w:rsidRPr="00B82BDF">
        <w:t xml:space="preserve"> des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</w:t>
      </w:r>
      <w:proofErr w:type="spellStart"/>
      <w:r w:rsidRPr="00B82BDF">
        <w:t>connaissaient</w:t>
      </w:r>
      <w:proofErr w:type="spellEnd"/>
      <w:r w:rsidRPr="00B82BDF">
        <w:t xml:space="preserve"> son </w:t>
      </w:r>
      <w:proofErr w:type="spellStart"/>
      <w:r w:rsidRPr="00B82BDF">
        <w:t>parcours</w:t>
      </w:r>
      <w:proofErr w:type="spellEnd"/>
      <w:r w:rsidRPr="00B82BDF">
        <w:t xml:space="preserve"> </w:t>
      </w:r>
      <w:proofErr w:type="spellStart"/>
      <w:r w:rsidRPr="00B82BDF">
        <w:t>médical</w:t>
      </w:r>
      <w:proofErr w:type="spellEnd"/>
      <w:r w:rsidRPr="00B82BDF">
        <w:t xml:space="preserve"> et son </w:t>
      </w:r>
      <w:proofErr w:type="spellStart"/>
      <w:r w:rsidRPr="00B82BDF">
        <w:t>très</w:t>
      </w:r>
      <w:proofErr w:type="spellEnd"/>
      <w:r w:rsidRPr="00B82BDF">
        <w:t xml:space="preserve"> </w:t>
      </w:r>
      <w:proofErr w:type="spellStart"/>
      <w:r w:rsidRPr="00B82BDF">
        <w:t>jeune</w:t>
      </w:r>
      <w:proofErr w:type="spellEnd"/>
      <w:r w:rsidRPr="00B82BDF">
        <w:t xml:space="preserve"> </w:t>
      </w:r>
      <w:proofErr w:type="spellStart"/>
      <w:r w:rsidRPr="00B82BDF">
        <w:t>âge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paragraph00005 \h \* CharFormat </w:instrText>
      </w:r>
      <w:r w:rsidRPr="00B82BDF">
        <w:fldChar w:fldCharType="separate"/>
      </w:r>
      <w:r w:rsidRPr="00B82BDF">
        <w:t>5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paragraph00023 \h \* CharFormat </w:instrText>
      </w:r>
      <w:r w:rsidRPr="00B82BDF">
        <w:fldChar w:fldCharType="separate"/>
      </w:r>
      <w:r w:rsidRPr="00B82BDF">
        <w:t>23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dessus), </w:t>
      </w:r>
      <w:proofErr w:type="spellStart"/>
      <w:r w:rsidRPr="00B82BDF">
        <w:t>ils</w:t>
      </w:r>
      <w:proofErr w:type="spellEnd"/>
      <w:r w:rsidRPr="00B82BDF">
        <w:t xml:space="preserve"> </w:t>
      </w:r>
      <w:proofErr w:type="spellStart"/>
      <w:r w:rsidRPr="00B82BDF">
        <w:t>n’ont</w:t>
      </w:r>
      <w:proofErr w:type="spellEnd"/>
      <w:r w:rsidRPr="00B82BDF">
        <w:t xml:space="preserve"> </w:t>
      </w:r>
      <w:proofErr w:type="spellStart"/>
      <w:r w:rsidRPr="00B82BDF">
        <w:t>dûment</w:t>
      </w:r>
      <w:proofErr w:type="spellEnd"/>
      <w:r w:rsidRPr="00B82BDF">
        <w:t xml:space="preserve"> </w:t>
      </w:r>
      <w:proofErr w:type="spellStart"/>
      <w:r w:rsidRPr="00B82BDF">
        <w:t>analysé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éléments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les </w:t>
      </w:r>
      <w:proofErr w:type="spellStart"/>
      <w:r w:rsidRPr="00B82BDF">
        <w:t>déclarations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présentant</w:t>
      </w:r>
      <w:proofErr w:type="spellEnd"/>
      <w:r w:rsidRPr="00B82BDF">
        <w:t xml:space="preserve"> les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avec P.C.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résultant</w:t>
      </w:r>
      <w:proofErr w:type="spellEnd"/>
      <w:r w:rsidRPr="00B82BDF">
        <w:t xml:space="preserve"> </w:t>
      </w:r>
      <w:proofErr w:type="spellStart"/>
      <w:r w:rsidRPr="00B82BDF">
        <w:t>systématiquement</w:t>
      </w:r>
      <w:proofErr w:type="spellEnd"/>
      <w:r w:rsidRPr="00B82BDF">
        <w:t xml:space="preserve"> des </w:t>
      </w:r>
      <w:proofErr w:type="spellStart"/>
      <w:r w:rsidRPr="00B82BDF">
        <w:t>demandes</w:t>
      </w:r>
      <w:proofErr w:type="spellEnd"/>
      <w:r w:rsidRPr="00B82BDF">
        <w:t xml:space="preserve"> de </w:t>
      </w:r>
      <w:proofErr w:type="spellStart"/>
      <w:r w:rsidRPr="00B82BDF">
        <w:t>celui</w:t>
      </w:r>
      <w:proofErr w:type="spellEnd"/>
      <w:r w:rsidRPr="00B82BDF">
        <w:t xml:space="preserve">-ci </w:t>
      </w:r>
      <w:proofErr w:type="spellStart"/>
      <w:r w:rsidRPr="00B82BDF">
        <w:t>alors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gagné</w:t>
      </w:r>
      <w:proofErr w:type="spellEnd"/>
      <w:r w:rsidRPr="00B82BDF">
        <w:t xml:space="preserve">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confiance</w:t>
      </w:r>
      <w:proofErr w:type="spellEnd"/>
      <w:r w:rsidRPr="00B82BDF">
        <w:t xml:space="preserve"> </w:t>
      </w:r>
      <w:proofErr w:type="spellStart"/>
      <w:r w:rsidRPr="00B82BDF">
        <w:t>ainsi</w:t>
      </w:r>
      <w:proofErr w:type="spellEnd"/>
      <w:r w:rsidRPr="00B82BDF">
        <w:t xml:space="preserve"> que </w:t>
      </w:r>
      <w:proofErr w:type="spellStart"/>
      <w:r w:rsidRPr="00B82BDF">
        <w:t>celle</w:t>
      </w:r>
      <w:proofErr w:type="spellEnd"/>
      <w:r w:rsidRPr="00B82BDF">
        <w:t xml:space="preserve"> de </w:t>
      </w:r>
      <w:proofErr w:type="spellStart"/>
      <w:r w:rsidRPr="00B82BDF">
        <w:t>ses</w:t>
      </w:r>
      <w:proofErr w:type="spellEnd"/>
      <w:r w:rsidRPr="00B82BDF">
        <w:t xml:space="preserve"> parents au </w:t>
      </w:r>
      <w:proofErr w:type="spellStart"/>
      <w:r w:rsidRPr="00B82BDF">
        <w:t>cours</w:t>
      </w:r>
      <w:proofErr w:type="spellEnd"/>
      <w:r w:rsidRPr="00B82BDF">
        <w:t xml:space="preserve"> de </w:t>
      </w:r>
      <w:proofErr w:type="spellStart"/>
      <w:r w:rsidRPr="00B82BDF">
        <w:t>précédentes</w:t>
      </w:r>
      <w:proofErr w:type="spellEnd"/>
      <w:r w:rsidRPr="00B82BDF">
        <w:t xml:space="preserve"> interventions de </w:t>
      </w:r>
      <w:proofErr w:type="spellStart"/>
      <w:r w:rsidRPr="00B82BDF">
        <w:t>secours.</w:t>
      </w:r>
      <w:r w:rsidRPr="00B82BDF">
        <w:rPr>
          <w:color w:val="0072BC" w:themeColor="background1"/>
        </w:rPr>
        <w:t>.</w:t>
      </w:r>
      <w:r w:rsidRPr="00B82BDF">
        <w:t>De</w:t>
      </w:r>
      <w:proofErr w:type="spellEnd"/>
      <w:r w:rsidRPr="00B82BDF">
        <w:t xml:space="preserve"> </w:t>
      </w:r>
      <w:proofErr w:type="spellStart"/>
      <w:r w:rsidRPr="00B82BDF">
        <w:t>même</w:t>
      </w:r>
      <w:proofErr w:type="spellEnd"/>
      <w:r w:rsidRPr="00B82BDF">
        <w:t xml:space="preserve">, </w:t>
      </w:r>
      <w:proofErr w:type="spellStart"/>
      <w:r w:rsidRPr="00B82BDF">
        <w:t>ils</w:t>
      </w:r>
      <w:proofErr w:type="spellEnd"/>
      <w:r w:rsidRPr="00B82BDF">
        <w:t xml:space="preserve"> </w:t>
      </w:r>
      <w:proofErr w:type="spellStart"/>
      <w:r w:rsidRPr="00B82BDF">
        <w:t>n’ont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</w:t>
      </w:r>
      <w:proofErr w:type="spellStart"/>
      <w:r w:rsidRPr="00B82BDF">
        <w:t>aucun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des </w:t>
      </w:r>
      <w:proofErr w:type="spellStart"/>
      <w:r w:rsidRPr="00B82BDF">
        <w:t>éléments</w:t>
      </w:r>
      <w:proofErr w:type="spellEnd"/>
      <w:r w:rsidRPr="00B82BDF">
        <w:t xml:space="preserve"> du dossier qui </w:t>
      </w:r>
      <w:proofErr w:type="spellStart"/>
      <w:r w:rsidRPr="00B82BDF">
        <w:t>étaient</w:t>
      </w:r>
      <w:proofErr w:type="spellEnd"/>
      <w:r w:rsidRPr="00B82BDF">
        <w:t xml:space="preserve"> </w:t>
      </w:r>
      <w:proofErr w:type="spellStart"/>
      <w:r w:rsidRPr="00B82BDF">
        <w:t>susceptibles</w:t>
      </w:r>
      <w:proofErr w:type="spellEnd"/>
      <w:r w:rsidRPr="00B82BDF">
        <w:t xml:space="preserve"> </w:t>
      </w:r>
      <w:proofErr w:type="spellStart"/>
      <w:r w:rsidRPr="00B82BDF">
        <w:t>d’étayer</w:t>
      </w:r>
      <w:proofErr w:type="spellEnd"/>
      <w:r w:rsidRPr="00B82BDF">
        <w:t xml:space="preserve"> les </w:t>
      </w:r>
      <w:proofErr w:type="spellStart"/>
      <w:r w:rsidRPr="00B82BDF">
        <w:t>allégations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selon</w:t>
      </w:r>
      <w:proofErr w:type="spellEnd"/>
      <w:r w:rsidRPr="00B82BDF">
        <w:t xml:space="preserve"> </w:t>
      </w:r>
      <w:proofErr w:type="spellStart"/>
      <w:r w:rsidRPr="00B82BDF">
        <w:t>lesquelles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considérée</w:t>
      </w:r>
      <w:proofErr w:type="spellEnd"/>
      <w:r w:rsidRPr="00B82BDF">
        <w:t xml:space="preserve">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« </w:t>
      </w:r>
      <w:proofErr w:type="spellStart"/>
      <w:r w:rsidRPr="00B82BDF">
        <w:t>proie</w:t>
      </w:r>
      <w:proofErr w:type="spellEnd"/>
      <w:r w:rsidRPr="00B82BDF">
        <w:t xml:space="preserve"> </w:t>
      </w:r>
      <w:proofErr w:type="spellStart"/>
      <w:r w:rsidRPr="00B82BDF">
        <w:t>sexuelle</w:t>
      </w:r>
      <w:proofErr w:type="spellEnd"/>
      <w:r w:rsidRPr="00B82BDF">
        <w:t xml:space="preserve"> facile » </w:t>
      </w:r>
      <w:proofErr w:type="spellStart"/>
      <w:r w:rsidRPr="00B82BDF">
        <w:t>dès</w:t>
      </w:r>
      <w:proofErr w:type="spellEnd"/>
      <w:r w:rsidRPr="00B82BDF">
        <w:t xml:space="preserve"> </w:t>
      </w:r>
      <w:proofErr w:type="spellStart"/>
      <w:r w:rsidRPr="00B82BDF">
        <w:t>lors</w:t>
      </w:r>
      <w:proofErr w:type="spellEnd"/>
      <w:r w:rsidRPr="00B82BDF">
        <w:t xml:space="preserve"> que son nom </w:t>
      </w:r>
      <w:proofErr w:type="spellStart"/>
      <w:r w:rsidRPr="00B82BDF">
        <w:t>circulait</w:t>
      </w:r>
      <w:proofErr w:type="spellEnd"/>
      <w:r w:rsidRPr="00B82BDF">
        <w:t xml:space="preserve"> dans la </w:t>
      </w:r>
      <w:proofErr w:type="spellStart"/>
      <w:r w:rsidRPr="00B82BDF">
        <w:t>caserne</w:t>
      </w:r>
      <w:proofErr w:type="spellEnd"/>
      <w:r w:rsidRPr="00B82BDF">
        <w:t xml:space="preserve"> des mis </w:t>
      </w:r>
      <w:proofErr w:type="spellStart"/>
      <w:r w:rsidRPr="00B82BDF">
        <w:t>en</w:t>
      </w:r>
      <w:proofErr w:type="spellEnd"/>
      <w:r w:rsidRPr="00B82BDF">
        <w:t xml:space="preserve"> examens et au sein </w:t>
      </w:r>
      <w:proofErr w:type="spellStart"/>
      <w:r w:rsidRPr="00B82BDF">
        <w:t>d’autres</w:t>
      </w:r>
      <w:proofErr w:type="spellEnd"/>
      <w:r w:rsidRPr="00B82BDF">
        <w:t xml:space="preserve"> </w:t>
      </w:r>
      <w:proofErr w:type="spellStart"/>
      <w:r w:rsidRPr="00B82BDF">
        <w:t>casernes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paragraph00005 \h \* CharFormat </w:instrText>
      </w:r>
      <w:r w:rsidRPr="00B82BDF">
        <w:fldChar w:fldCharType="separate"/>
      </w:r>
      <w:r w:rsidRPr="00B82BDF">
        <w:t>5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paragraph00013 \h \* CharFormat </w:instrText>
      </w:r>
      <w:r w:rsidRPr="00B82BDF">
        <w:fldChar w:fldCharType="separate"/>
      </w:r>
      <w:r w:rsidRPr="00B82BDF">
        <w:t>13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paragraph00024 \h \* CharFormat </w:instrText>
      </w:r>
      <w:r w:rsidRPr="00B82BDF">
        <w:fldChar w:fldCharType="separate"/>
      </w:r>
      <w:r w:rsidRPr="00B82BDF">
        <w:t>24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paragraph00032 \h \* CharFormat </w:instrText>
      </w:r>
      <w:r w:rsidRPr="00B82BDF">
        <w:fldChar w:fldCharType="separate"/>
      </w:r>
      <w:r w:rsidRPr="00B82BDF">
        <w:t>32</w:t>
      </w:r>
      <w:r w:rsidRPr="00B82BDF">
        <w:fldChar w:fldCharType="end"/>
      </w:r>
      <w:r w:rsidRPr="00B82BDF">
        <w:t xml:space="preserve"> ci-dessus). La </w:t>
      </w:r>
      <w:proofErr w:type="spellStart"/>
      <w:r w:rsidRPr="00B82BDF">
        <w:t>Cour</w:t>
      </w:r>
      <w:proofErr w:type="spellEnd"/>
      <w:r w:rsidRPr="00B82BDF">
        <w:t xml:space="preserve"> constate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outre</w:t>
      </w:r>
      <w:proofErr w:type="spellEnd"/>
      <w:r w:rsidRPr="00B82BDF">
        <w:t xml:space="preserve"> </w:t>
      </w:r>
      <w:proofErr w:type="spellStart"/>
      <w:r w:rsidRPr="00B82BDF">
        <w:t>l’absence</w:t>
      </w:r>
      <w:proofErr w:type="spellEnd"/>
      <w:r w:rsidRPr="00B82BDF">
        <w:t xml:space="preserve"> de mise </w:t>
      </w:r>
      <w:proofErr w:type="spellStart"/>
      <w:r w:rsidRPr="00B82BDF">
        <w:t>en</w:t>
      </w:r>
      <w:proofErr w:type="spellEnd"/>
      <w:r w:rsidRPr="00B82BDF">
        <w:t xml:space="preserve"> balance suffisante entre le </w:t>
      </w:r>
      <w:proofErr w:type="spellStart"/>
      <w:r w:rsidRPr="00B82BDF">
        <w:t>comportement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et les </w:t>
      </w:r>
      <w:proofErr w:type="spellStart"/>
      <w:r w:rsidRPr="00B82BDF">
        <w:t>effets</w:t>
      </w:r>
      <w:proofErr w:type="spellEnd"/>
      <w:r w:rsidRPr="00B82BDF">
        <w:t xml:space="preserve"> des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environnantes</w:t>
      </w:r>
      <w:proofErr w:type="spellEnd"/>
      <w:r w:rsidRPr="00B82BDF">
        <w:t xml:space="preserve"> sur </w:t>
      </w:r>
      <w:proofErr w:type="spellStart"/>
      <w:r w:rsidRPr="00B82BDF">
        <w:t>celle</w:t>
      </w:r>
      <w:proofErr w:type="spellEnd"/>
      <w:r w:rsidRPr="00B82BDF">
        <w:t xml:space="preserve">-ci </w:t>
      </w:r>
      <w:proofErr w:type="spellStart"/>
      <w:r w:rsidRPr="00B82BDF">
        <w:t>ainsi</w:t>
      </w:r>
      <w:proofErr w:type="spellEnd"/>
      <w:r w:rsidRPr="00B82BDF">
        <w:t xml:space="preserve"> que les </w:t>
      </w:r>
      <w:proofErr w:type="spellStart"/>
      <w:r w:rsidRPr="00B82BDF">
        <w:t>éléments</w:t>
      </w:r>
      <w:proofErr w:type="spellEnd"/>
      <w:r w:rsidRPr="00B82BDF">
        <w:t xml:space="preserve"> </w:t>
      </w:r>
      <w:proofErr w:type="spellStart"/>
      <w:r w:rsidRPr="00B82BDF">
        <w:t>caractérisant</w:t>
      </w:r>
      <w:proofErr w:type="spellEnd"/>
      <w:r w:rsidRPr="00B82BDF">
        <w:t xml:space="preserve">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,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s’agisse</w:t>
      </w:r>
      <w:proofErr w:type="spellEnd"/>
      <w:r w:rsidRPr="00B82BDF">
        <w:t xml:space="preserve"> de son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santé</w:t>
      </w:r>
      <w:proofErr w:type="spellEnd"/>
      <w:r w:rsidRPr="00B82BDF">
        <w:t xml:space="preserve"> qui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décrit</w:t>
      </w:r>
      <w:proofErr w:type="spellEnd"/>
      <w:r w:rsidRPr="00B82BDF">
        <w:t xml:space="preserve"> </w:t>
      </w:r>
      <w:proofErr w:type="spellStart"/>
      <w:r w:rsidRPr="00B82BDF">
        <w:t>dès</w:t>
      </w:r>
      <w:proofErr w:type="spellEnd"/>
      <w:r w:rsidRPr="00B82BDF">
        <w:t xml:space="preserve"> le </w:t>
      </w:r>
      <w:proofErr w:type="spellStart"/>
      <w:r w:rsidRPr="00B82BDF">
        <w:t>dépôt</w:t>
      </w:r>
      <w:proofErr w:type="spellEnd"/>
      <w:r w:rsidRPr="00B82BDF">
        <w:t xml:space="preserve"> des </w:t>
      </w:r>
      <w:proofErr w:type="spellStart"/>
      <w:r w:rsidRPr="00B82BDF">
        <w:t>plaintes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paragraph00005 \h \* CharFormat </w:instrText>
      </w:r>
      <w:r w:rsidRPr="00B82BDF">
        <w:fldChar w:fldCharType="separate"/>
      </w:r>
      <w:r w:rsidRPr="00B82BDF">
        <w:t>5</w:t>
      </w:r>
      <w:r w:rsidRPr="00B82BDF">
        <w:fldChar w:fldCharType="end"/>
      </w:r>
      <w:r w:rsidRPr="00B82BDF">
        <w:t xml:space="preserve">, </w:t>
      </w:r>
      <w:r w:rsidRPr="00B82BDF">
        <w:fldChar w:fldCharType="begin"/>
      </w:r>
      <w:r w:rsidRPr="00B82BDF">
        <w:instrText xml:space="preserve">REF paragraph00007 \h \* CharFormat </w:instrText>
      </w:r>
      <w:r w:rsidRPr="00B82BDF">
        <w:fldChar w:fldCharType="separate"/>
      </w:r>
      <w:r w:rsidRPr="00B82BDF">
        <w:t>7</w:t>
      </w:r>
      <w:r w:rsidRPr="00B82BDF">
        <w:fldChar w:fldCharType="end"/>
      </w:r>
      <w:r w:rsidRPr="00B82BDF">
        <w:noBreakHyphen/>
      </w:r>
      <w:r w:rsidRPr="00B82BDF">
        <w:fldChar w:fldCharType="begin"/>
      </w:r>
      <w:r w:rsidRPr="00B82BDF">
        <w:instrText xml:space="preserve">REF paragraph00008 \h \* CharFormat </w:instrText>
      </w:r>
      <w:r w:rsidRPr="00B82BDF">
        <w:fldChar w:fldCharType="separate"/>
      </w:r>
      <w:r w:rsidRPr="00B82BDF">
        <w:t>8</w:t>
      </w:r>
      <w:r w:rsidRPr="00B82BDF">
        <w:fldChar w:fldCharType="end"/>
      </w:r>
      <w:r w:rsidRPr="00B82BDF">
        <w:t xml:space="preserve"> </w:t>
      </w:r>
      <w:r w:rsidRPr="00B82BDF">
        <w:lastRenderedPageBreak/>
        <w:t>et </w:t>
      </w:r>
      <w:r w:rsidRPr="00B82BDF">
        <w:fldChar w:fldCharType="begin"/>
      </w:r>
      <w:r w:rsidRPr="00B82BDF">
        <w:instrText xml:space="preserve">REF paragraph00016 \h \* CharFormat </w:instrText>
      </w:r>
      <w:r w:rsidRPr="00B82BDF">
        <w:fldChar w:fldCharType="separate"/>
      </w:r>
      <w:r w:rsidRPr="00B82BDF">
        <w:t>16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 </w:t>
      </w:r>
      <w:proofErr w:type="spellStart"/>
      <w:r w:rsidRPr="00B82BDF">
        <w:t>ou</w:t>
      </w:r>
      <w:proofErr w:type="spellEnd"/>
      <w:r w:rsidRPr="00B82BDF">
        <w:t xml:space="preserve"> des conclusions des </w:t>
      </w:r>
      <w:proofErr w:type="spellStart"/>
      <w:r w:rsidRPr="00B82BDF">
        <w:t>expertises</w:t>
      </w:r>
      <w:proofErr w:type="spellEnd"/>
      <w:r w:rsidRPr="00B82BDF">
        <w:t xml:space="preserve"> </w:t>
      </w:r>
      <w:proofErr w:type="spellStart"/>
      <w:r w:rsidRPr="00B82BDF">
        <w:t>psychiatriques</w:t>
      </w:r>
      <w:proofErr w:type="spellEnd"/>
      <w:r w:rsidRPr="00B82BDF">
        <w:t xml:space="preserve"> </w:t>
      </w:r>
      <w:proofErr w:type="spellStart"/>
      <w:r w:rsidRPr="00B82BDF">
        <w:t>déposées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2010 et 2013. Or, il </w:t>
      </w:r>
      <w:proofErr w:type="spellStart"/>
      <w:r w:rsidRPr="00B82BDF">
        <w:t>résulte</w:t>
      </w:r>
      <w:proofErr w:type="spellEnd"/>
      <w:r w:rsidRPr="00B82BDF">
        <w:t xml:space="preserve"> de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dernières</w:t>
      </w:r>
      <w:proofErr w:type="spellEnd"/>
      <w:r w:rsidRPr="00B82BDF">
        <w:t xml:space="preserve"> que la </w:t>
      </w:r>
      <w:proofErr w:type="spellStart"/>
      <w:r w:rsidRPr="00B82BDF">
        <w:t>pathologie</w:t>
      </w:r>
      <w:proofErr w:type="spellEnd"/>
      <w:r w:rsidRPr="00B82BDF">
        <w:t xml:space="preserve"> de L. </w:t>
      </w:r>
      <w:proofErr w:type="spellStart"/>
      <w:r w:rsidRPr="00B82BDF">
        <w:t>pouvait</w:t>
      </w:r>
      <w:proofErr w:type="spellEnd"/>
      <w:r w:rsidRPr="00B82BDF">
        <w:t xml:space="preserve"> </w:t>
      </w:r>
      <w:proofErr w:type="spellStart"/>
      <w:r w:rsidRPr="00B82BDF">
        <w:t>expliquer</w:t>
      </w:r>
      <w:proofErr w:type="spellEnd"/>
      <w:r w:rsidRPr="00B82BDF">
        <w:t xml:space="preserve"> des « </w:t>
      </w:r>
      <w:proofErr w:type="spellStart"/>
      <w:r w:rsidRPr="00B82BDF">
        <w:t>conduites</w:t>
      </w:r>
      <w:proofErr w:type="spellEnd"/>
      <w:r w:rsidRPr="00B82BDF">
        <w:t xml:space="preserve"> </w:t>
      </w:r>
      <w:proofErr w:type="spellStart"/>
      <w:r w:rsidRPr="00B82BDF">
        <w:t>autopunitives</w:t>
      </w:r>
      <w:proofErr w:type="spellEnd"/>
      <w:r w:rsidRPr="00B82BDF">
        <w:t> » de « </w:t>
      </w:r>
      <w:proofErr w:type="spellStart"/>
      <w:r w:rsidRPr="00B82BDF">
        <w:t>séduction</w:t>
      </w:r>
      <w:proofErr w:type="spellEnd"/>
      <w:r w:rsidRPr="00B82BDF">
        <w:t xml:space="preserve"> </w:t>
      </w:r>
      <w:proofErr w:type="spellStart"/>
      <w:r w:rsidRPr="00B82BDF">
        <w:t>sexuelle</w:t>
      </w:r>
      <w:proofErr w:type="spellEnd"/>
      <w:r w:rsidRPr="00B82BDF">
        <w:t xml:space="preserve"> </w:t>
      </w:r>
      <w:proofErr w:type="spellStart"/>
      <w:r w:rsidRPr="00B82BDF">
        <w:t>inadaptée</w:t>
      </w:r>
      <w:proofErr w:type="spellEnd"/>
      <w:r w:rsidRPr="00B82BDF">
        <w:t> » et un « </w:t>
      </w:r>
      <w:proofErr w:type="spellStart"/>
      <w:r w:rsidRPr="00B82BDF">
        <w:t>besoin</w:t>
      </w:r>
      <w:proofErr w:type="spellEnd"/>
      <w:r w:rsidRPr="00B82BDF">
        <w:t xml:space="preserve"> de </w:t>
      </w:r>
      <w:proofErr w:type="spellStart"/>
      <w:r w:rsidRPr="00B82BDF">
        <w:t>s’avilir</w:t>
      </w:r>
      <w:proofErr w:type="spellEnd"/>
      <w:r w:rsidRPr="00B82BDF">
        <w:t xml:space="preserve"> » la </w:t>
      </w:r>
      <w:proofErr w:type="spellStart"/>
      <w:r w:rsidRPr="00B82BDF">
        <w:t>rendant</w:t>
      </w:r>
      <w:proofErr w:type="spellEnd"/>
      <w:r w:rsidRPr="00B82BDF">
        <w:t xml:space="preserve"> « </w:t>
      </w:r>
      <w:proofErr w:type="spellStart"/>
      <w:r w:rsidRPr="00B82BDF">
        <w:t>particulièrement</w:t>
      </w:r>
      <w:proofErr w:type="spellEnd"/>
      <w:r w:rsidRPr="00B82BDF">
        <w:t xml:space="preserve"> </w:t>
      </w:r>
      <w:proofErr w:type="spellStart"/>
      <w:r w:rsidRPr="00B82BDF">
        <w:t>influençable</w:t>
      </w:r>
      <w:proofErr w:type="spellEnd"/>
      <w:r w:rsidRPr="00B82BDF">
        <w:t xml:space="preserve">, </w:t>
      </w:r>
      <w:proofErr w:type="spellStart"/>
      <w:r w:rsidRPr="00B82BDF">
        <w:t>impressionnable</w:t>
      </w:r>
      <w:proofErr w:type="spellEnd"/>
      <w:r w:rsidRPr="00B82BDF">
        <w:t xml:space="preserve"> et suggestible », </w:t>
      </w:r>
      <w:proofErr w:type="spellStart"/>
      <w:r w:rsidRPr="00B82BDF">
        <w:t>vulnérabilité</w:t>
      </w:r>
      <w:proofErr w:type="spellEnd"/>
      <w:r w:rsidRPr="00B82BDF">
        <w:t xml:space="preserve"> qui ne </w:t>
      </w:r>
      <w:proofErr w:type="spellStart"/>
      <w:r w:rsidRPr="00B82BDF">
        <w:t>permettait</w:t>
      </w:r>
      <w:proofErr w:type="spellEnd"/>
      <w:r w:rsidRPr="00B82BDF">
        <w:t xml:space="preserve"> pas </w:t>
      </w:r>
      <w:proofErr w:type="spellStart"/>
      <w:r w:rsidRPr="00B82BDF">
        <w:t>l’expression</w:t>
      </w:r>
      <w:proofErr w:type="spellEnd"/>
      <w:r w:rsidRPr="00B82BDF">
        <w:t xml:space="preserve"> d’un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éclairé</w:t>
      </w:r>
      <w:proofErr w:type="spellEnd"/>
      <w:r w:rsidRPr="00B82BDF">
        <w:t xml:space="preserve"> et </w:t>
      </w:r>
      <w:proofErr w:type="spellStart"/>
      <w:r w:rsidRPr="00B82BDF">
        <w:t>était</w:t>
      </w:r>
      <w:proofErr w:type="spellEnd"/>
      <w:r w:rsidRPr="00B82BDF">
        <w:t xml:space="preserve"> « perceptible par les tiers »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paragraph00010 \h \* CharFormat </w:instrText>
      </w:r>
      <w:r w:rsidRPr="00B82BDF">
        <w:fldChar w:fldCharType="separate"/>
      </w:r>
      <w:r w:rsidRPr="00B82BDF">
        <w:t>10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paragraph00020 \h \* CharFormat </w:instrText>
      </w:r>
      <w:r w:rsidRPr="00B82BDF">
        <w:fldChar w:fldCharType="separate"/>
      </w:r>
      <w:r w:rsidRPr="00B82BDF">
        <w:t>20</w:t>
      </w:r>
      <w:r w:rsidRPr="00B82BDF">
        <w:fldChar w:fldCharType="end"/>
      </w:r>
      <w:r w:rsidRPr="00B82BDF">
        <w:t xml:space="preserve"> ci-dessus).</w:t>
      </w:r>
    </w:p>
    <w:p w14:paraId="738D00D3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222</w:t>
      </w:r>
      <w:r w:rsidRPr="00B82BDF">
        <w:rPr>
          <w:noProof/>
        </w:rPr>
        <w:fldChar w:fldCharType="end"/>
      </w:r>
      <w:r w:rsidRPr="00B82BDF">
        <w:t xml:space="preserve">.  Dans </w:t>
      </w:r>
      <w:proofErr w:type="spellStart"/>
      <w:r w:rsidRPr="00B82BDF">
        <w:t>ces</w:t>
      </w:r>
      <w:proofErr w:type="spellEnd"/>
      <w:r w:rsidRPr="00B82BDF">
        <w:t xml:space="preserve"> conditions et à </w:t>
      </w:r>
      <w:proofErr w:type="spellStart"/>
      <w:r w:rsidRPr="00B82BDF">
        <w:t>l’instar</w:t>
      </w:r>
      <w:proofErr w:type="spellEnd"/>
      <w:r w:rsidRPr="00B82BDF">
        <w:t xml:space="preserve"> de la position </w:t>
      </w:r>
      <w:proofErr w:type="spellStart"/>
      <w:r w:rsidRPr="00B82BDF">
        <w:t>exprimée</w:t>
      </w:r>
      <w:proofErr w:type="spellEnd"/>
      <w:r w:rsidRPr="00B82BDF">
        <w:t xml:space="preserve"> par </w:t>
      </w:r>
      <w:proofErr w:type="spellStart"/>
      <w:r w:rsidRPr="00B82BDF">
        <w:t>l’avocate</w:t>
      </w:r>
      <w:proofErr w:type="spellEnd"/>
      <w:r w:rsidRPr="00B82BDF">
        <w:t xml:space="preserve"> </w:t>
      </w:r>
      <w:proofErr w:type="spellStart"/>
      <w:r w:rsidRPr="00B82BDF">
        <w:t>générale</w:t>
      </w:r>
      <w:proofErr w:type="spellEnd"/>
      <w:r w:rsidRPr="00B82BDF">
        <w:t xml:space="preserve"> </w:t>
      </w:r>
      <w:proofErr w:type="spellStart"/>
      <w:r w:rsidRPr="00B82BDF">
        <w:t>près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paragraph00033 \h \* CharFormat </w:instrText>
      </w:r>
      <w:r w:rsidRPr="00B82BDF">
        <w:fldChar w:fldCharType="separate"/>
      </w:r>
      <w:r w:rsidRPr="00B82BDF">
        <w:t>33</w:t>
      </w:r>
      <w:r w:rsidRPr="00B82BDF">
        <w:fldChar w:fldCharType="end"/>
      </w:r>
      <w:r w:rsidRPr="00B82BDF">
        <w:t xml:space="preserve"> ci-dessus),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</w:t>
      </w:r>
      <w:proofErr w:type="spellStart"/>
      <w:r w:rsidRPr="00B82BDF">
        <w:t>d’avis</w:t>
      </w:r>
      <w:proofErr w:type="spellEnd"/>
      <w:r w:rsidRPr="00B82BDF">
        <w:t xml:space="preserve"> que le </w:t>
      </w:r>
      <w:proofErr w:type="spellStart"/>
      <w:r w:rsidRPr="00B82BDF">
        <w:t>raisonnement</w:t>
      </w:r>
      <w:proofErr w:type="spellEnd"/>
      <w:r w:rsidRPr="00B82BDF">
        <w:t xml:space="preserve"> </w:t>
      </w:r>
      <w:proofErr w:type="spellStart"/>
      <w:r w:rsidRPr="00B82BDF">
        <w:t>suivi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</w:t>
      </w:r>
      <w:proofErr w:type="spellStart"/>
      <w:r w:rsidRPr="00B82BDF">
        <w:t>entaché</w:t>
      </w:r>
      <w:proofErr w:type="spellEnd"/>
      <w:r w:rsidRPr="00B82BDF">
        <w:t xml:space="preserve"> de graves </w:t>
      </w:r>
      <w:proofErr w:type="spellStart"/>
      <w:r w:rsidRPr="00B82BDF">
        <w:t>défaillances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ce</w:t>
      </w:r>
      <w:proofErr w:type="spellEnd"/>
      <w:r w:rsidRPr="00B82BDF">
        <w:t xml:space="preserve"> qui </w:t>
      </w:r>
      <w:proofErr w:type="spellStart"/>
      <w:r w:rsidRPr="00B82BDF">
        <w:t>concerne</w:t>
      </w:r>
      <w:proofErr w:type="spellEnd"/>
      <w:r w:rsidRPr="00B82BDF">
        <w:t xml:space="preserve"> </w:t>
      </w:r>
      <w:proofErr w:type="spellStart"/>
      <w:r w:rsidRPr="00B82BDF">
        <w:t>l’appréciation</w:t>
      </w:r>
      <w:proofErr w:type="spellEnd"/>
      <w:r w:rsidRPr="00B82BDF">
        <w:t xml:space="preserve"> du </w:t>
      </w:r>
      <w:proofErr w:type="spellStart"/>
      <w:r w:rsidRPr="00B82BDF">
        <w:t>discernement</w:t>
      </w:r>
      <w:proofErr w:type="spellEnd"/>
      <w:r w:rsidRPr="00B82BDF">
        <w:t xml:space="preserve"> </w:t>
      </w:r>
      <w:proofErr w:type="spellStart"/>
      <w:r w:rsidRPr="00B82BDF">
        <w:t>suffisant</w:t>
      </w:r>
      <w:proofErr w:type="spellEnd"/>
      <w:r w:rsidRPr="00B82BDF">
        <w:t xml:space="preserve"> de L. pour </w:t>
      </w:r>
      <w:proofErr w:type="spellStart"/>
      <w:r w:rsidRPr="00B82BDF">
        <w:t>consentir</w:t>
      </w:r>
      <w:proofErr w:type="spellEnd"/>
      <w:r w:rsidRPr="00B82BDF">
        <w:t xml:space="preserve"> </w:t>
      </w:r>
      <w:proofErr w:type="spellStart"/>
      <w:r w:rsidRPr="00B82BDF">
        <w:t>réellement</w:t>
      </w:r>
      <w:proofErr w:type="spellEnd"/>
      <w:r w:rsidRPr="00B82BDF">
        <w:t xml:space="preserve"> à des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</w:t>
      </w:r>
      <w:proofErr w:type="spellStart"/>
      <w:r w:rsidRPr="00B82BDF">
        <w:t>répétés</w:t>
      </w:r>
      <w:proofErr w:type="spellEnd"/>
      <w:r w:rsidRPr="00B82BDF">
        <w:t xml:space="preserve"> avec </w:t>
      </w:r>
      <w:proofErr w:type="spellStart"/>
      <w:r w:rsidRPr="00B82BDF">
        <w:t>plusieurs</w:t>
      </w:r>
      <w:proofErr w:type="spellEnd"/>
      <w:r w:rsidRPr="00B82BDF">
        <w:t xml:space="preserve"> </w:t>
      </w:r>
      <w:proofErr w:type="spellStart"/>
      <w:r w:rsidRPr="00B82BDF">
        <w:t>partenaires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de son </w:t>
      </w:r>
      <w:proofErr w:type="spellStart"/>
      <w:r w:rsidRPr="00B82BDF">
        <w:t>extrême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qui </w:t>
      </w:r>
      <w:proofErr w:type="spellStart"/>
      <w:r w:rsidRPr="00B82BDF">
        <w:t>résultait</w:t>
      </w:r>
      <w:proofErr w:type="spellEnd"/>
      <w:r w:rsidRPr="00B82BDF">
        <w:t xml:space="preserve"> de son </w:t>
      </w:r>
      <w:proofErr w:type="spellStart"/>
      <w:r w:rsidRPr="00B82BDF">
        <w:t>très</w:t>
      </w:r>
      <w:proofErr w:type="spellEnd"/>
      <w:r w:rsidRPr="00B82BDF">
        <w:t xml:space="preserve"> </w:t>
      </w:r>
      <w:proofErr w:type="spellStart"/>
      <w:r w:rsidRPr="00B82BDF">
        <w:t>jeune</w:t>
      </w:r>
      <w:proofErr w:type="spellEnd"/>
      <w:r w:rsidRPr="00B82BDF">
        <w:t xml:space="preserve"> </w:t>
      </w:r>
      <w:proofErr w:type="spellStart"/>
      <w:r w:rsidRPr="00B82BDF">
        <w:t>âge</w:t>
      </w:r>
      <w:proofErr w:type="spellEnd"/>
      <w:r w:rsidRPr="00B82BDF">
        <w:t xml:space="preserve"> et de son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santé</w:t>
      </w:r>
      <w:proofErr w:type="spellEnd"/>
      <w:r w:rsidRPr="00B82BDF">
        <w:t>.</w:t>
      </w:r>
    </w:p>
    <w:p w14:paraId="036596EB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223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note au </w:t>
      </w:r>
      <w:proofErr w:type="spellStart"/>
      <w:r w:rsidRPr="00B82BDF">
        <w:t>demeurant</w:t>
      </w:r>
      <w:proofErr w:type="spellEnd"/>
      <w:r w:rsidRPr="00B82BDF">
        <w:t xml:space="preserve"> que, dans des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similaires</w:t>
      </w:r>
      <w:proofErr w:type="spellEnd"/>
      <w:r w:rsidRPr="00B82BDF">
        <w:t xml:space="preserve"> aux faits de </w:t>
      </w:r>
      <w:proofErr w:type="spellStart"/>
      <w:r w:rsidRPr="00B82BDF">
        <w:t>l’espèce</w:t>
      </w:r>
      <w:proofErr w:type="spellEnd"/>
      <w:r w:rsidRPr="00B82BDF">
        <w:t xml:space="preserve">, la </w:t>
      </w:r>
      <w:proofErr w:type="spellStart"/>
      <w:r w:rsidRPr="00B82BDF">
        <w:t>réforme</w:t>
      </w:r>
      <w:proofErr w:type="spellEnd"/>
      <w:r w:rsidRPr="00B82BDF">
        <w:t xml:space="preserve"> issue de la </w:t>
      </w:r>
      <w:proofErr w:type="spellStart"/>
      <w:r w:rsidRPr="00B82BDF">
        <w:t>loi</w:t>
      </w:r>
      <w:proofErr w:type="spellEnd"/>
      <w:r w:rsidRPr="00B82BDF">
        <w:t xml:space="preserve"> du 21 </w:t>
      </w:r>
      <w:proofErr w:type="spellStart"/>
      <w:r w:rsidRPr="00B82BDF">
        <w:t>avril</w:t>
      </w:r>
      <w:proofErr w:type="spellEnd"/>
      <w:r w:rsidRPr="00B82BDF">
        <w:t xml:space="preserve"> 2021 qui a </w:t>
      </w:r>
      <w:proofErr w:type="spellStart"/>
      <w:r w:rsidRPr="00B82BDF">
        <w:t>introduit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incrimination </w:t>
      </w:r>
      <w:proofErr w:type="spellStart"/>
      <w:r w:rsidRPr="00B82BDF">
        <w:t>autonome</w:t>
      </w:r>
      <w:proofErr w:type="spellEnd"/>
      <w:r w:rsidRPr="00B82BDF">
        <w:t xml:space="preserve"> de viol par un </w:t>
      </w:r>
      <w:proofErr w:type="spellStart"/>
      <w:r w:rsidRPr="00B82BDF">
        <w:t>majeur</w:t>
      </w:r>
      <w:proofErr w:type="spellEnd"/>
      <w:r w:rsidRPr="00B82BDF">
        <w:t xml:space="preserve"> sur </w:t>
      </w:r>
      <w:proofErr w:type="spellStart"/>
      <w:r w:rsidRPr="00B82BDF">
        <w:t>mineur</w:t>
      </w:r>
      <w:proofErr w:type="spellEnd"/>
      <w:r w:rsidRPr="00B82BDF">
        <w:t xml:space="preserve"> de quinze </w:t>
      </w:r>
      <w:proofErr w:type="spellStart"/>
      <w:r w:rsidRPr="00B82BDF">
        <w:t>ans</w:t>
      </w:r>
      <w:proofErr w:type="spellEnd"/>
      <w:r w:rsidRPr="00B82BDF">
        <w:t xml:space="preserve"> à </w:t>
      </w:r>
      <w:proofErr w:type="spellStart"/>
      <w:r w:rsidRPr="00B82BDF">
        <w:t>l’article</w:t>
      </w:r>
      <w:proofErr w:type="spellEnd"/>
      <w:r w:rsidRPr="00B82BDF">
        <w:t xml:space="preserve"> 222-23-1 du CP, </w:t>
      </w:r>
      <w:proofErr w:type="spellStart"/>
      <w:r w:rsidRPr="00B82BDF">
        <w:t>serait</w:t>
      </w:r>
      <w:proofErr w:type="spellEnd"/>
      <w:r w:rsidRPr="00B82BDF">
        <w:t xml:space="preserve"> susceptible </w:t>
      </w:r>
      <w:proofErr w:type="spellStart"/>
      <w:r w:rsidRPr="00B82BDF">
        <w:t>d’entrainer</w:t>
      </w:r>
      <w:proofErr w:type="spellEnd"/>
      <w:r w:rsidRPr="00B82BDF">
        <w:t xml:space="preserve">, sans </w:t>
      </w:r>
      <w:proofErr w:type="spellStart"/>
      <w:r w:rsidRPr="00B82BDF">
        <w:t>autre</w:t>
      </w:r>
      <w:proofErr w:type="spellEnd"/>
      <w:r w:rsidRPr="00B82BDF">
        <w:t xml:space="preserve"> examen, le renvoi </w:t>
      </w:r>
      <w:proofErr w:type="spellStart"/>
      <w:r w:rsidRPr="00B82BDF">
        <w:t>devant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d’assises</w:t>
      </w:r>
      <w:proofErr w:type="spellEnd"/>
      <w:r w:rsidRPr="00B82BDF">
        <w:t xml:space="preserve"> des </w:t>
      </w:r>
      <w:proofErr w:type="spellStart"/>
      <w:r w:rsidRPr="00B82BDF">
        <w:t>personnes</w:t>
      </w:r>
      <w:proofErr w:type="spellEnd"/>
      <w:r w:rsidRPr="00B82BDF">
        <w:t xml:space="preserve"> </w:t>
      </w:r>
      <w:proofErr w:type="spellStart"/>
      <w:r w:rsidRPr="00B82BDF">
        <w:t>ayant</w:t>
      </w:r>
      <w:proofErr w:type="spellEnd"/>
      <w:r w:rsidRPr="00B82BDF">
        <w:t xml:space="preserve"> commis un </w:t>
      </w:r>
      <w:proofErr w:type="spellStart"/>
      <w:r w:rsidRPr="00B82BDF">
        <w:t>acte</w:t>
      </w:r>
      <w:proofErr w:type="spellEnd"/>
      <w:r w:rsidRPr="00B82BDF">
        <w:t xml:space="preserve"> de </w:t>
      </w:r>
      <w:proofErr w:type="spellStart"/>
      <w:r w:rsidRPr="00B82BDF">
        <w:t>pénétration</w:t>
      </w:r>
      <w:proofErr w:type="spellEnd"/>
      <w:r w:rsidRPr="00B82BDF">
        <w:t xml:space="preserve"> sur la </w:t>
      </w:r>
      <w:proofErr w:type="spellStart"/>
      <w:r w:rsidRPr="00B82BDF">
        <w:t>requérante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raison du </w:t>
      </w:r>
      <w:proofErr w:type="spellStart"/>
      <w:r w:rsidRPr="00B82BDF">
        <w:t>seul</w:t>
      </w:r>
      <w:proofErr w:type="spellEnd"/>
      <w:r w:rsidRPr="00B82BDF">
        <w:t xml:space="preserve"> </w:t>
      </w:r>
      <w:proofErr w:type="spellStart"/>
      <w:r w:rsidRPr="00B82BDF">
        <w:t>constat</w:t>
      </w:r>
      <w:proofErr w:type="spellEnd"/>
      <w:r w:rsidRPr="00B82BDF">
        <w:t xml:space="preserve"> de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écart</w:t>
      </w:r>
      <w:proofErr w:type="spellEnd"/>
      <w:r w:rsidRPr="00B82BDF">
        <w:t xml:space="preserve"> </w:t>
      </w:r>
      <w:proofErr w:type="spellStart"/>
      <w:r w:rsidRPr="00B82BDF">
        <w:t>d’âge</w:t>
      </w:r>
      <w:proofErr w:type="spellEnd"/>
      <w:r w:rsidRPr="00B82BDF">
        <w:t xml:space="preserve"> </w:t>
      </w:r>
      <w:proofErr w:type="spellStart"/>
      <w:r w:rsidRPr="00B82BDF">
        <w:t>d’au</w:t>
      </w:r>
      <w:proofErr w:type="spellEnd"/>
      <w:r w:rsidRPr="00B82BDF">
        <w:t xml:space="preserve"> </w:t>
      </w:r>
      <w:proofErr w:type="spellStart"/>
      <w:r w:rsidRPr="00B82BDF">
        <w:t>moins</w:t>
      </w:r>
      <w:proofErr w:type="spellEnd"/>
      <w:r w:rsidRPr="00B82BDF">
        <w:t xml:space="preserve"> cinq </w:t>
      </w:r>
      <w:proofErr w:type="spellStart"/>
      <w:r w:rsidRPr="00B82BDF">
        <w:t>ans</w:t>
      </w:r>
      <w:proofErr w:type="spellEnd"/>
      <w:r w:rsidRPr="00B82BDF">
        <w:t xml:space="preserve"> avec </w:t>
      </w:r>
      <w:proofErr w:type="spellStart"/>
      <w:r w:rsidRPr="00B82BDF">
        <w:t>elle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paragraph00100 \h \* CharFormat </w:instrText>
      </w:r>
      <w:r w:rsidRPr="00B82BDF">
        <w:fldChar w:fldCharType="separate"/>
      </w:r>
      <w:r w:rsidRPr="00B82BDF">
        <w:t>100</w:t>
      </w:r>
      <w:r w:rsidRPr="00B82BDF">
        <w:fldChar w:fldCharType="end"/>
      </w:r>
      <w:r w:rsidRPr="00B82BDF">
        <w:t xml:space="preserve"> ci</w:t>
      </w:r>
      <w:r w:rsidRPr="00B82BDF">
        <w:noBreakHyphen/>
        <w:t>dessus).</w:t>
      </w:r>
    </w:p>
    <w:bookmarkStart w:id="42" w:name="paragraph00224"/>
    <w:p w14:paraId="6B5B5703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224</w:t>
      </w:r>
      <w:r w:rsidRPr="00B82BDF">
        <w:fldChar w:fldCharType="end"/>
      </w:r>
      <w:bookmarkEnd w:id="42"/>
      <w:r w:rsidRPr="00B82BDF">
        <w:t>.  </w:t>
      </w:r>
      <w:proofErr w:type="spellStart"/>
      <w:r w:rsidRPr="00B82BDF">
        <w:t>S’agissant</w:t>
      </w:r>
      <w:proofErr w:type="spellEnd"/>
      <w:r w:rsidRPr="00B82BDF">
        <w:t xml:space="preserve"> </w:t>
      </w:r>
      <w:proofErr w:type="spellStart"/>
      <w:r w:rsidRPr="00B82BDF">
        <w:t>ensuite</w:t>
      </w:r>
      <w:proofErr w:type="spellEnd"/>
      <w:r w:rsidRPr="00B82BDF">
        <w:t xml:space="preserve"> de </w:t>
      </w:r>
      <w:proofErr w:type="spellStart"/>
      <w:r w:rsidRPr="00B82BDF">
        <w:t>l’exigence</w:t>
      </w:r>
      <w:proofErr w:type="spellEnd"/>
      <w:r w:rsidRPr="00B82BDF">
        <w:t xml:space="preserve"> </w:t>
      </w:r>
      <w:proofErr w:type="spellStart"/>
      <w:r w:rsidRPr="00B82BDF">
        <w:t>d’effectivité</w:t>
      </w:r>
      <w:proofErr w:type="spellEnd"/>
      <w:r w:rsidRPr="00B82BDF">
        <w:t xml:space="preserve"> de </w:t>
      </w:r>
      <w:proofErr w:type="spellStart"/>
      <w:r w:rsidRPr="00B82BDF">
        <w:t>l’enquête</w:t>
      </w:r>
      <w:proofErr w:type="spellEnd"/>
      <w:r w:rsidRPr="00B82BDF">
        <w:t xml:space="preserve">, qui </w:t>
      </w:r>
      <w:proofErr w:type="spellStart"/>
      <w:r w:rsidRPr="00B82BDF">
        <w:t>inclut</w:t>
      </w:r>
      <w:proofErr w:type="spellEnd"/>
      <w:r w:rsidRPr="00B82BDF">
        <w:t xml:space="preserve"> </w:t>
      </w:r>
      <w:proofErr w:type="spellStart"/>
      <w:r w:rsidRPr="00B82BDF">
        <w:t>notamment</w:t>
      </w:r>
      <w:proofErr w:type="spellEnd"/>
      <w:r w:rsidRPr="00B82BDF">
        <w:t xml:space="preserve"> la </w:t>
      </w:r>
      <w:proofErr w:type="spellStart"/>
      <w:r w:rsidRPr="00B82BDF">
        <w:t>célérité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paragraph00199 \h \* CharFormat </w:instrText>
      </w:r>
      <w:r w:rsidRPr="00B82BDF">
        <w:fldChar w:fldCharType="separate"/>
      </w:r>
      <w:r w:rsidRPr="00B82BDF">
        <w:t>199</w:t>
      </w:r>
      <w:r w:rsidRPr="00B82BDF">
        <w:fldChar w:fldCharType="end"/>
      </w:r>
      <w:r w:rsidRPr="00B82BDF">
        <w:t xml:space="preserve"> ci-dessus),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rappelle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convient</w:t>
      </w:r>
      <w:proofErr w:type="spellEnd"/>
      <w:r w:rsidRPr="00B82BDF">
        <w:t xml:space="preserve"> 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</w:t>
      </w:r>
      <w:proofErr w:type="spellStart"/>
      <w:r w:rsidRPr="00B82BDF">
        <w:t>d’examiner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 les </w:t>
      </w:r>
      <w:proofErr w:type="spellStart"/>
      <w:r w:rsidRPr="00B82BDF">
        <w:t>autorités</w:t>
      </w:r>
      <w:proofErr w:type="spellEnd"/>
      <w:r w:rsidRPr="00B82BDF">
        <w:t xml:space="preserve"> internes se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livrées</w:t>
      </w:r>
      <w:proofErr w:type="spellEnd"/>
      <w:r w:rsidRPr="00B82BDF">
        <w:t xml:space="preserve"> à </w:t>
      </w:r>
      <w:proofErr w:type="spellStart"/>
      <w:r w:rsidRPr="00B82BDF">
        <w:t>l’examen</w:t>
      </w:r>
      <w:proofErr w:type="spellEnd"/>
      <w:r w:rsidRPr="00B82BDF">
        <w:t xml:space="preserve"> des faits de viol </w:t>
      </w:r>
      <w:proofErr w:type="spellStart"/>
      <w:r w:rsidRPr="00B82BDF">
        <w:t>dénoncés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avec la </w:t>
      </w:r>
      <w:proofErr w:type="spellStart"/>
      <w:r w:rsidRPr="00B82BDF">
        <w:t>célérité</w:t>
      </w:r>
      <w:proofErr w:type="spellEnd"/>
      <w:r w:rsidRPr="00B82BDF">
        <w:t xml:space="preserve"> </w:t>
      </w:r>
      <w:proofErr w:type="spellStart"/>
      <w:r w:rsidRPr="00B82BDF">
        <w:t>requise</w:t>
      </w:r>
      <w:proofErr w:type="spellEnd"/>
      <w:r w:rsidRPr="00B82BDF">
        <w:t xml:space="preserve">.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l’espèce</w:t>
      </w:r>
      <w:proofErr w:type="spellEnd"/>
      <w:r w:rsidRPr="00B82BDF">
        <w:t xml:space="preserve">,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que les </w:t>
      </w:r>
      <w:proofErr w:type="spellStart"/>
      <w:r w:rsidRPr="00B82BDF">
        <w:t>principaux</w:t>
      </w:r>
      <w:proofErr w:type="spellEnd"/>
      <w:r w:rsidRPr="00B82BDF">
        <w:t xml:space="preserve">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réalisés</w:t>
      </w:r>
      <w:proofErr w:type="spellEnd"/>
      <w:r w:rsidRPr="00B82BDF">
        <w:t xml:space="preserve"> sur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période</w:t>
      </w:r>
      <w:proofErr w:type="spellEnd"/>
      <w:r w:rsidRPr="00B82BDF">
        <w:t xml:space="preserve"> de plus de dix </w:t>
      </w:r>
      <w:proofErr w:type="spellStart"/>
      <w:r w:rsidRPr="00B82BDF">
        <w:t>ans</w:t>
      </w:r>
      <w:proofErr w:type="spellEnd"/>
      <w:r w:rsidRPr="00B82BDF">
        <w:t xml:space="preserve"> et demi qui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écoulée</w:t>
      </w:r>
      <w:proofErr w:type="spellEnd"/>
      <w:r w:rsidRPr="00B82BDF">
        <w:t xml:space="preserve"> entre le </w:t>
      </w:r>
      <w:proofErr w:type="spellStart"/>
      <w:r w:rsidRPr="00B82BDF">
        <w:t>dépôt</w:t>
      </w:r>
      <w:proofErr w:type="spellEnd"/>
      <w:r w:rsidRPr="00B82BDF">
        <w:t xml:space="preserve"> de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plainte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le 31 </w:t>
      </w:r>
      <w:proofErr w:type="spellStart"/>
      <w:r w:rsidRPr="00B82BDF">
        <w:t>août</w:t>
      </w:r>
      <w:proofErr w:type="spellEnd"/>
      <w:r w:rsidRPr="00B82BDF">
        <w:t xml:space="preserve"> 2010 et </w:t>
      </w:r>
      <w:proofErr w:type="spellStart"/>
      <w:r w:rsidRPr="00B82BDF">
        <w:t>l’intervention</w:t>
      </w:r>
      <w:proofErr w:type="spellEnd"/>
      <w:r w:rsidRPr="00B82BDF">
        <w:t xml:space="preserve"> du premier </w:t>
      </w:r>
      <w:proofErr w:type="spellStart"/>
      <w:r w:rsidRPr="00B82BDF">
        <w:t>arrêt</w:t>
      </w:r>
      <w:proofErr w:type="spellEnd"/>
      <w:r w:rsidRPr="00B82BDF">
        <w:t xml:space="preserve"> de cassation </w:t>
      </w:r>
      <w:proofErr w:type="spellStart"/>
      <w:r w:rsidRPr="00B82BDF">
        <w:t>partielle</w:t>
      </w:r>
      <w:proofErr w:type="spellEnd"/>
      <w:r w:rsidRPr="00B82BDF">
        <w:t xml:space="preserve"> de la </w:t>
      </w:r>
      <w:proofErr w:type="spellStart"/>
      <w:r w:rsidRPr="00B82BDF">
        <w:t>Cour</w:t>
      </w:r>
      <w:proofErr w:type="spellEnd"/>
      <w:r w:rsidRPr="00B82BDF">
        <w:t xml:space="preserve"> de cassation du 17 mars 2021. </w:t>
      </w:r>
      <w:proofErr w:type="spellStart"/>
      <w:r w:rsidRPr="00B82BDF">
        <w:t>Cette</w:t>
      </w:r>
      <w:proofErr w:type="spellEnd"/>
      <w:r w:rsidRPr="00B82BDF">
        <w:t xml:space="preserve"> durée doit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portée</w:t>
      </w:r>
      <w:proofErr w:type="spellEnd"/>
      <w:r w:rsidRPr="00B82BDF">
        <w:t xml:space="preserve"> à </w:t>
      </w:r>
      <w:proofErr w:type="spellStart"/>
      <w:r w:rsidRPr="00B82BDF">
        <w:t>onze</w:t>
      </w:r>
      <w:proofErr w:type="spellEnd"/>
      <w:r w:rsidRPr="00B82BDF">
        <w:t xml:space="preserve"> </w:t>
      </w:r>
      <w:proofErr w:type="spellStart"/>
      <w:r w:rsidRPr="00B82BDF">
        <w:t>ans</w:t>
      </w:r>
      <w:proofErr w:type="spellEnd"/>
      <w:r w:rsidRPr="00B82BDF">
        <w:t xml:space="preserve"> et </w:t>
      </w:r>
      <w:proofErr w:type="spellStart"/>
      <w:r w:rsidRPr="00B82BDF">
        <w:t>presque</w:t>
      </w:r>
      <w:proofErr w:type="spellEnd"/>
      <w:r w:rsidRPr="00B82BDF">
        <w:t xml:space="preserve"> </w:t>
      </w:r>
      <w:proofErr w:type="spellStart"/>
      <w:r w:rsidRPr="00B82BDF">
        <w:t>neuf</w:t>
      </w:r>
      <w:proofErr w:type="spellEnd"/>
      <w:r w:rsidRPr="00B82BDF">
        <w:t xml:space="preserve"> </w:t>
      </w:r>
      <w:proofErr w:type="spellStart"/>
      <w:r w:rsidRPr="00B82BDF">
        <w:t>mois</w:t>
      </w:r>
      <w:proofErr w:type="spellEnd"/>
      <w:r w:rsidRPr="00B82BDF">
        <w:t xml:space="preserve"> </w:t>
      </w:r>
      <w:proofErr w:type="spellStart"/>
      <w:r w:rsidRPr="00B82BDF">
        <w:t>jusqu’à</w:t>
      </w:r>
      <w:proofErr w:type="spellEnd"/>
      <w:r w:rsidRPr="00B82BDF">
        <w:t xml:space="preserve"> </w:t>
      </w:r>
      <w:proofErr w:type="spellStart"/>
      <w:r w:rsidRPr="00B82BDF">
        <w:t>l’arrêt</w:t>
      </w:r>
      <w:proofErr w:type="spellEnd"/>
      <w:r w:rsidRPr="00B82BDF">
        <w:t xml:space="preserve"> de la </w:t>
      </w:r>
      <w:proofErr w:type="spellStart"/>
      <w:r w:rsidRPr="00B82BDF">
        <w:t>Cour</w:t>
      </w:r>
      <w:proofErr w:type="spellEnd"/>
      <w:r w:rsidRPr="00B82BDF">
        <w:t xml:space="preserve"> de cassation du 18 </w:t>
      </w:r>
      <w:proofErr w:type="spellStart"/>
      <w:r w:rsidRPr="00B82BDF">
        <w:t>mai</w:t>
      </w:r>
      <w:proofErr w:type="spellEnd"/>
      <w:r w:rsidRPr="00B82BDF">
        <w:t xml:space="preserve"> 2022 qui a </w:t>
      </w:r>
      <w:proofErr w:type="spellStart"/>
      <w:r w:rsidRPr="00B82BDF">
        <w:t>confirmé</w:t>
      </w:r>
      <w:proofErr w:type="spellEnd"/>
      <w:r w:rsidRPr="00B82BDF">
        <w:t xml:space="preserve"> </w:t>
      </w:r>
      <w:proofErr w:type="spellStart"/>
      <w:r w:rsidRPr="00B82BDF">
        <w:t>définitivement</w:t>
      </w:r>
      <w:proofErr w:type="spellEnd"/>
      <w:r w:rsidRPr="00B82BDF">
        <w:t xml:space="preserve"> le non-lieu </w:t>
      </w:r>
      <w:proofErr w:type="gramStart"/>
      <w:r w:rsidRPr="00B82BDF">
        <w:t>pour</w:t>
      </w:r>
      <w:proofErr w:type="gramEnd"/>
      <w:r w:rsidRPr="00B82BDF">
        <w:t xml:space="preserve"> </w:t>
      </w:r>
      <w:proofErr w:type="spellStart"/>
      <w:r w:rsidRPr="00B82BDF">
        <w:t>tous</w:t>
      </w:r>
      <w:proofErr w:type="spellEnd"/>
      <w:r w:rsidRPr="00B82BDF">
        <w:t xml:space="preserve"> les faits de viols sur </w:t>
      </w:r>
      <w:proofErr w:type="spellStart"/>
      <w:r w:rsidRPr="00B82BDF">
        <w:t>mineure</w:t>
      </w:r>
      <w:proofErr w:type="spellEnd"/>
      <w:r w:rsidRPr="00B82BDF">
        <w:t xml:space="preserve"> de quinze ans.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reconnaît</w:t>
      </w:r>
      <w:proofErr w:type="spellEnd"/>
      <w:r w:rsidRPr="00B82BDF">
        <w:t xml:space="preserve"> que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 </w:t>
      </w:r>
      <w:proofErr w:type="spellStart"/>
      <w:r w:rsidRPr="00B82BDF">
        <w:t>présentait</w:t>
      </w:r>
      <w:proofErr w:type="spellEnd"/>
      <w:r w:rsidRPr="00B82BDF">
        <w:t xml:space="preserve"> </w:t>
      </w:r>
      <w:proofErr w:type="spellStart"/>
      <w:r w:rsidRPr="00B82BDF">
        <w:t>certaines</w:t>
      </w:r>
      <w:proofErr w:type="spellEnd"/>
      <w:r w:rsidRPr="00B82BDF">
        <w:t xml:space="preserve"> </w:t>
      </w:r>
      <w:proofErr w:type="spellStart"/>
      <w:r w:rsidRPr="00B82BDF">
        <w:t>difficultés</w:t>
      </w:r>
      <w:proofErr w:type="spellEnd"/>
      <w:r w:rsidRPr="00B82BDF">
        <w:t xml:space="preserve">,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raison du </w:t>
      </w:r>
      <w:proofErr w:type="spellStart"/>
      <w:r w:rsidRPr="00B82BDF">
        <w:t>nombre</w:t>
      </w:r>
      <w:proofErr w:type="spellEnd"/>
      <w:r w:rsidRPr="00B82BDF">
        <w:t xml:space="preserve"> important de </w:t>
      </w:r>
      <w:proofErr w:type="spellStart"/>
      <w:r w:rsidRPr="00B82BDF">
        <w:t>personnes</w:t>
      </w:r>
      <w:proofErr w:type="spellEnd"/>
      <w:r w:rsidRPr="00B82BDF">
        <w:t xml:space="preserve"> mises </w:t>
      </w:r>
      <w:proofErr w:type="spellStart"/>
      <w:r w:rsidRPr="00B82BDF">
        <w:t>en</w:t>
      </w:r>
      <w:proofErr w:type="spellEnd"/>
      <w:r w:rsidRPr="00B82BDF">
        <w:t xml:space="preserve"> cause par la </w:t>
      </w:r>
      <w:proofErr w:type="spellStart"/>
      <w:r w:rsidRPr="00B82BDF">
        <w:t>requérante</w:t>
      </w:r>
      <w:proofErr w:type="spellEnd"/>
      <w:r w:rsidRPr="00B82BDF">
        <w:t xml:space="preserve"> et des </w:t>
      </w:r>
      <w:proofErr w:type="spellStart"/>
      <w:r w:rsidRPr="00B82BDF">
        <w:t>éléments</w:t>
      </w:r>
      <w:proofErr w:type="spellEnd"/>
      <w:r w:rsidRPr="00B82BDF">
        <w:t xml:space="preserve"> </w:t>
      </w:r>
      <w:proofErr w:type="spellStart"/>
      <w:r w:rsidRPr="00B82BDF">
        <w:t>médicaux</w:t>
      </w:r>
      <w:proofErr w:type="spellEnd"/>
      <w:r w:rsidRPr="00B82BDF">
        <w:t xml:space="preserve"> </w:t>
      </w:r>
      <w:proofErr w:type="spellStart"/>
      <w:r w:rsidRPr="00B82BDF">
        <w:t>versés</w:t>
      </w:r>
      <w:proofErr w:type="spellEnd"/>
      <w:r w:rsidRPr="00B82BDF">
        <w:t xml:space="preserve"> au dossier, qui </w:t>
      </w:r>
      <w:proofErr w:type="spellStart"/>
      <w:r w:rsidRPr="00B82BDF">
        <w:t>étaient</w:t>
      </w:r>
      <w:proofErr w:type="spellEnd"/>
      <w:r w:rsidRPr="00B82BDF">
        <w:t xml:space="preserve"> </w:t>
      </w:r>
      <w:proofErr w:type="spellStart"/>
      <w:r w:rsidRPr="00B82BDF">
        <w:t>volumineux</w:t>
      </w:r>
      <w:proofErr w:type="spellEnd"/>
      <w:r w:rsidRPr="00B82BDF">
        <w:t xml:space="preserve"> et divers. </w:t>
      </w:r>
      <w:proofErr w:type="spellStart"/>
      <w:r w:rsidRPr="00B82BDF">
        <w:t>Toutefois</w:t>
      </w:r>
      <w:proofErr w:type="spellEnd"/>
      <w:r w:rsidRPr="00B82BDF">
        <w:t xml:space="preserve">,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souligne</w:t>
      </w:r>
      <w:proofErr w:type="spellEnd"/>
      <w:r w:rsidRPr="00B82BDF">
        <w:t xml:space="preserve"> que la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, </w:t>
      </w:r>
      <w:proofErr w:type="spellStart"/>
      <w:r w:rsidRPr="00B82BDF">
        <w:t>attestée</w:t>
      </w:r>
      <w:proofErr w:type="spellEnd"/>
      <w:r w:rsidRPr="00B82BDF">
        <w:t xml:space="preserve"> par les </w:t>
      </w:r>
      <w:proofErr w:type="spellStart"/>
      <w:r w:rsidRPr="00B82BDF">
        <w:t>tentatives</w:t>
      </w:r>
      <w:proofErr w:type="spellEnd"/>
      <w:r w:rsidRPr="00B82BDF">
        <w:t xml:space="preserve"> de suicide </w:t>
      </w:r>
      <w:proofErr w:type="spellStart"/>
      <w:r w:rsidRPr="00B82BDF">
        <w:t>survenues</w:t>
      </w:r>
      <w:proofErr w:type="spellEnd"/>
      <w:r w:rsidRPr="00B82BDF">
        <w:t xml:space="preserve"> </w:t>
      </w:r>
      <w:proofErr w:type="spellStart"/>
      <w:r w:rsidRPr="00B82BDF">
        <w:t>avant</w:t>
      </w:r>
      <w:proofErr w:type="spellEnd"/>
      <w:r w:rsidRPr="00B82BDF">
        <w:t xml:space="preserve"> et au </w:t>
      </w:r>
      <w:proofErr w:type="spellStart"/>
      <w:r w:rsidRPr="00B82BDF">
        <w:t>cours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, </w:t>
      </w:r>
      <w:proofErr w:type="spellStart"/>
      <w:r w:rsidRPr="00B82BDF">
        <w:t>impliquait</w:t>
      </w:r>
      <w:proofErr w:type="spellEnd"/>
      <w:r w:rsidRPr="00B82BDF">
        <w:t xml:space="preserve"> de </w:t>
      </w:r>
      <w:proofErr w:type="spellStart"/>
      <w:r w:rsidRPr="00B82BDF">
        <w:t>traiter</w:t>
      </w:r>
      <w:proofErr w:type="spellEnd"/>
      <w:r w:rsidRPr="00B82BDF">
        <w:t xml:space="preserve"> le dossier avec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particulière</w:t>
      </w:r>
      <w:proofErr w:type="spellEnd"/>
      <w:r w:rsidRPr="00B82BDF">
        <w:t xml:space="preserve"> diligence. </w:t>
      </w:r>
      <w:proofErr w:type="spellStart"/>
      <w:r w:rsidRPr="00B82BDF">
        <w:t>Ces</w:t>
      </w:r>
      <w:proofErr w:type="spellEnd"/>
      <w:r w:rsidRPr="00B82BDF">
        <w:t xml:space="preserve"> constatations </w:t>
      </w:r>
      <w:proofErr w:type="spellStart"/>
      <w:r w:rsidRPr="00B82BDF">
        <w:t>suffisent</w:t>
      </w:r>
      <w:proofErr w:type="spellEnd"/>
      <w:r w:rsidRPr="00B82BDF">
        <w:t xml:space="preserve"> à la </w:t>
      </w:r>
      <w:proofErr w:type="spellStart"/>
      <w:r w:rsidRPr="00B82BDF">
        <w:t>Cour</w:t>
      </w:r>
      <w:proofErr w:type="spellEnd"/>
      <w:r w:rsidRPr="00B82BDF">
        <w:t xml:space="preserve"> pour </w:t>
      </w:r>
      <w:proofErr w:type="spellStart"/>
      <w:r w:rsidRPr="00B82BDF">
        <w:t>retenir</w:t>
      </w:r>
      <w:proofErr w:type="spellEnd"/>
      <w:r w:rsidRPr="00B82BDF">
        <w:t xml:space="preserve"> que, dans les </w:t>
      </w:r>
      <w:proofErr w:type="spellStart"/>
      <w:r w:rsidRPr="00B82BDF">
        <w:t>circonstances</w:t>
      </w:r>
      <w:proofErr w:type="spellEnd"/>
      <w:r w:rsidRPr="00B82BDF">
        <w:t xml:space="preserve"> de </w:t>
      </w:r>
      <w:proofErr w:type="spellStart"/>
      <w:r w:rsidRPr="00B82BDF">
        <w:t>l’espèce</w:t>
      </w:r>
      <w:proofErr w:type="spellEnd"/>
      <w:r w:rsidRPr="00B82BDF">
        <w:t xml:space="preserve"> et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du </w:t>
      </w:r>
      <w:proofErr w:type="spellStart"/>
      <w:r w:rsidRPr="00B82BDF">
        <w:t>parcours</w:t>
      </w:r>
      <w:proofErr w:type="spellEnd"/>
      <w:r w:rsidRPr="00B82BDF">
        <w:t xml:space="preserve"> </w:t>
      </w:r>
      <w:proofErr w:type="spellStart"/>
      <w:r w:rsidRPr="00B82BDF">
        <w:t>médical</w:t>
      </w:r>
      <w:proofErr w:type="spellEnd"/>
      <w:r w:rsidRPr="00B82BDF">
        <w:t xml:space="preserve"> </w:t>
      </w:r>
      <w:proofErr w:type="spellStart"/>
      <w:r w:rsidRPr="00B82BDF">
        <w:t>particulièrement</w:t>
      </w:r>
      <w:proofErr w:type="spellEnd"/>
      <w:r w:rsidRPr="00B82BDF">
        <w:t xml:space="preserve"> douloureux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dont</w:t>
      </w:r>
      <w:proofErr w:type="spellEnd"/>
      <w:r w:rsidRPr="00B82BDF">
        <w:t xml:space="preserve">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avaient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parfaite</w:t>
      </w:r>
      <w:proofErr w:type="spellEnd"/>
      <w:r w:rsidRPr="00B82BDF">
        <w:t xml:space="preserve"> </w:t>
      </w:r>
      <w:proofErr w:type="spellStart"/>
      <w:r w:rsidRPr="00B82BDF">
        <w:t>connaissance</w:t>
      </w:r>
      <w:proofErr w:type="spellEnd"/>
      <w:r w:rsidRPr="00B82BDF">
        <w:t xml:space="preserve">,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</w:t>
      </w:r>
      <w:proofErr w:type="spellStart"/>
      <w:r w:rsidRPr="00B82BDF">
        <w:t>s’écoulant</w:t>
      </w:r>
      <w:proofErr w:type="spellEnd"/>
      <w:r w:rsidRPr="00B82BDF">
        <w:t xml:space="preserve"> sur plus de </w:t>
      </w:r>
      <w:proofErr w:type="spellStart"/>
      <w:r w:rsidRPr="00B82BDF">
        <w:t>onze</w:t>
      </w:r>
      <w:proofErr w:type="spellEnd"/>
      <w:r w:rsidRPr="00B82BDF">
        <w:t xml:space="preserve"> </w:t>
      </w:r>
      <w:proofErr w:type="spellStart"/>
      <w:r w:rsidRPr="00B82BDF">
        <w:t>ans</w:t>
      </w:r>
      <w:proofErr w:type="spellEnd"/>
      <w:r w:rsidRPr="00B82BDF">
        <w:t xml:space="preserve"> et </w:t>
      </w:r>
      <w:proofErr w:type="spellStart"/>
      <w:r w:rsidRPr="00B82BDF">
        <w:t>aboutissant</w:t>
      </w:r>
      <w:proofErr w:type="spellEnd"/>
      <w:r w:rsidRPr="00B82BDF">
        <w:t xml:space="preserve"> </w:t>
      </w:r>
      <w:proofErr w:type="spellStart"/>
      <w:r w:rsidRPr="00B82BDF">
        <w:t>notamment</w:t>
      </w:r>
      <w:proofErr w:type="spellEnd"/>
      <w:r w:rsidRPr="00B82BDF">
        <w:t xml:space="preserve"> à </w:t>
      </w:r>
      <w:proofErr w:type="spellStart"/>
      <w:r w:rsidRPr="00B82BDF">
        <w:t>ce</w:t>
      </w:r>
      <w:proofErr w:type="spellEnd"/>
      <w:r w:rsidRPr="00B82BDF">
        <w:t xml:space="preserve"> que </w:t>
      </w:r>
      <w:proofErr w:type="spellStart"/>
      <w:r w:rsidRPr="00B82BDF">
        <w:t>l’incrimination</w:t>
      </w:r>
      <w:proofErr w:type="spellEnd"/>
      <w:r w:rsidRPr="00B82BDF">
        <w:t xml:space="preserve"> de viol </w:t>
      </w:r>
      <w:proofErr w:type="spellStart"/>
      <w:r w:rsidRPr="00B82BDF">
        <w:t>soit</w:t>
      </w:r>
      <w:proofErr w:type="spellEnd"/>
      <w:r w:rsidRPr="00B82BDF">
        <w:t xml:space="preserve"> </w:t>
      </w:r>
      <w:proofErr w:type="spellStart"/>
      <w:r w:rsidRPr="00B82BDF">
        <w:t>écartée</w:t>
      </w:r>
      <w:proofErr w:type="spellEnd"/>
      <w:r w:rsidRPr="00B82BDF">
        <w:t xml:space="preserve">, ne </w:t>
      </w:r>
      <w:proofErr w:type="spellStart"/>
      <w:r w:rsidRPr="00B82BDF">
        <w:lastRenderedPageBreak/>
        <w:t>saurait</w:t>
      </w:r>
      <w:proofErr w:type="spellEnd"/>
      <w:r w:rsidRPr="00B82BDF">
        <w:t xml:space="preserve"> </w:t>
      </w:r>
      <w:proofErr w:type="spellStart"/>
      <w:r w:rsidRPr="00B82BDF">
        <w:t>être</w:t>
      </w:r>
      <w:proofErr w:type="spellEnd"/>
      <w:r w:rsidRPr="00B82BDF">
        <w:t xml:space="preserve"> </w:t>
      </w:r>
      <w:proofErr w:type="spellStart"/>
      <w:r w:rsidRPr="00B82BDF">
        <w:t>regardée</w:t>
      </w:r>
      <w:proofErr w:type="spellEnd"/>
      <w:r w:rsidRPr="00B82BDF">
        <w:t xml:space="preserve">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satisfaisant</w:t>
      </w:r>
      <w:proofErr w:type="spellEnd"/>
      <w:r w:rsidRPr="00B82BDF">
        <w:t xml:space="preserve"> la condition </w:t>
      </w:r>
      <w:proofErr w:type="spellStart"/>
      <w:r w:rsidRPr="00B82BDF">
        <w:t>de</w:t>
      </w:r>
      <w:proofErr w:type="spellEnd"/>
      <w:r w:rsidRPr="00B82BDF">
        <w:t xml:space="preserve"> diligence </w:t>
      </w:r>
      <w:proofErr w:type="spellStart"/>
      <w:r w:rsidRPr="00B82BDF">
        <w:t>exigée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la matière.</w:t>
      </w:r>
    </w:p>
    <w:bookmarkStart w:id="43" w:name="paragraph00225"/>
    <w:p w14:paraId="2A25FD49" w14:textId="77777777" w:rsidR="008A7B1D" w:rsidRPr="00B82BDF" w:rsidRDefault="008A7B1D" w:rsidP="008A7B1D">
      <w:pPr>
        <w:pStyle w:val="ECHRPara"/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225</w:t>
      </w:r>
      <w:r w:rsidRPr="00B82BDF">
        <w:fldChar w:fldCharType="end"/>
      </w:r>
      <w:bookmarkEnd w:id="43"/>
      <w:r w:rsidRPr="00B82BDF">
        <w:t>.  </w:t>
      </w:r>
      <w:proofErr w:type="spellStart"/>
      <w:r w:rsidRPr="00B82BDF">
        <w:t>S’agissant</w:t>
      </w:r>
      <w:proofErr w:type="spellEnd"/>
      <w:r w:rsidRPr="00B82BDF">
        <w:t xml:space="preserve"> </w:t>
      </w:r>
      <w:proofErr w:type="spellStart"/>
      <w:r w:rsidRPr="00B82BDF">
        <w:t>enfin</w:t>
      </w:r>
      <w:proofErr w:type="spellEnd"/>
      <w:r w:rsidRPr="00B82BDF">
        <w:t xml:space="preserve"> de la victimisation </w:t>
      </w:r>
      <w:proofErr w:type="spellStart"/>
      <w:r w:rsidRPr="00B82BDF">
        <w:t>secondaire</w:t>
      </w:r>
      <w:proofErr w:type="spellEnd"/>
      <w:r w:rsidRPr="00B82BDF">
        <w:t xml:space="preserve"> que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allègue</w:t>
      </w:r>
      <w:proofErr w:type="spellEnd"/>
      <w:r w:rsidRPr="00B82BDF">
        <w:t xml:space="preserve">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subie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note </w:t>
      </w:r>
      <w:proofErr w:type="spellStart"/>
      <w:r w:rsidRPr="00B82BDF">
        <w:t>en</w:t>
      </w:r>
      <w:proofErr w:type="spellEnd"/>
      <w:r w:rsidRPr="00B82BDF">
        <w:t xml:space="preserve"> premier lieu que son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santé</w:t>
      </w:r>
      <w:proofErr w:type="spellEnd"/>
      <w:r w:rsidRPr="00B82BDF">
        <w:t xml:space="preserve">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dégradé</w:t>
      </w:r>
      <w:proofErr w:type="spellEnd"/>
      <w:r w:rsidRPr="00B82BDF">
        <w:t xml:space="preserve"> au </w:t>
      </w:r>
      <w:proofErr w:type="spellStart"/>
      <w:r w:rsidRPr="00B82BDF">
        <w:t>cours</w:t>
      </w:r>
      <w:proofErr w:type="spellEnd"/>
      <w:r w:rsidRPr="00B82BDF">
        <w:t xml:space="preserve"> des investigations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paragraph00022 \h \* CharFormat </w:instrText>
      </w:r>
      <w:r w:rsidRPr="00B82BDF">
        <w:fldChar w:fldCharType="separate"/>
      </w:r>
      <w:r w:rsidRPr="00B82BDF">
        <w:t>22</w:t>
      </w:r>
      <w:r w:rsidRPr="00B82BDF">
        <w:fldChar w:fldCharType="end"/>
      </w:r>
      <w:r w:rsidRPr="00B82BDF">
        <w:t xml:space="preserve"> et </w:t>
      </w:r>
      <w:r w:rsidRPr="00B82BDF">
        <w:fldChar w:fldCharType="begin"/>
      </w:r>
      <w:r w:rsidRPr="00B82BDF">
        <w:instrText xml:space="preserve">REF paragraph00025 \h \* CharFormat </w:instrText>
      </w:r>
      <w:r w:rsidRPr="00B82BDF">
        <w:fldChar w:fldCharType="separate"/>
      </w:r>
      <w:r w:rsidRPr="00B82BDF">
        <w:t>25</w:t>
      </w:r>
      <w:r w:rsidRPr="00B82BDF">
        <w:fldChar w:fldCharType="end"/>
      </w:r>
      <w:r w:rsidRPr="00B82BDF">
        <w:t xml:space="preserve"> ci-dessus), </w:t>
      </w:r>
      <w:proofErr w:type="spellStart"/>
      <w:r w:rsidRPr="00B82BDF">
        <w:t>ce</w:t>
      </w:r>
      <w:proofErr w:type="spellEnd"/>
      <w:r w:rsidRPr="00B82BDF">
        <w:t xml:space="preserve"> qui a </w:t>
      </w:r>
      <w:proofErr w:type="spellStart"/>
      <w:r w:rsidRPr="00B82BDF">
        <w:t>justifié</w:t>
      </w:r>
      <w:proofErr w:type="spellEnd"/>
      <w:r w:rsidRPr="00B82BDF">
        <w:t xml:space="preserve"> la </w:t>
      </w:r>
      <w:proofErr w:type="spellStart"/>
      <w:r w:rsidRPr="00B82BDF">
        <w:t>clôture</w:t>
      </w:r>
      <w:proofErr w:type="spellEnd"/>
      <w:r w:rsidRPr="00B82BDF">
        <w:t xml:space="preserve"> de </w:t>
      </w:r>
      <w:proofErr w:type="spellStart"/>
      <w:r w:rsidRPr="00B82BDF">
        <w:t>l’information</w:t>
      </w:r>
      <w:proofErr w:type="spellEnd"/>
      <w:r w:rsidRPr="00B82BDF">
        <w:t xml:space="preserve"> </w:t>
      </w:r>
      <w:proofErr w:type="spellStart"/>
      <w:r w:rsidRPr="00B82BDF">
        <w:t>judiciaire</w:t>
      </w:r>
      <w:proofErr w:type="spellEnd"/>
      <w:r w:rsidRPr="00B82BDF">
        <w:t xml:space="preserve"> par le </w:t>
      </w:r>
      <w:proofErr w:type="spellStart"/>
      <w:r w:rsidRPr="00B82BDF">
        <w:t>juge</w:t>
      </w:r>
      <w:proofErr w:type="spellEnd"/>
      <w:r w:rsidRPr="00B82BDF">
        <w:t xml:space="preserve"> </w:t>
      </w:r>
      <w:proofErr w:type="spellStart"/>
      <w:r w:rsidRPr="00B82BDF">
        <w:t>d’instruction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paragraph00026 \h \* CharFormat </w:instrText>
      </w:r>
      <w:r w:rsidRPr="00B82BDF">
        <w:fldChar w:fldCharType="separate"/>
      </w:r>
      <w:r w:rsidRPr="00B82BDF">
        <w:t>26</w:t>
      </w:r>
      <w:r w:rsidRPr="00B82BDF">
        <w:fldChar w:fldCharType="end"/>
      </w:r>
      <w:r w:rsidRPr="00B82BDF">
        <w:t xml:space="preserve"> ci-dessus).</w:t>
      </w:r>
    </w:p>
    <w:p w14:paraId="0E72A247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226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En</w:t>
      </w:r>
      <w:proofErr w:type="spellEnd"/>
      <w:r w:rsidRPr="00B82BDF">
        <w:t xml:space="preserve"> second lieu,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considère</w:t>
      </w:r>
      <w:proofErr w:type="spellEnd"/>
      <w:r w:rsidRPr="00B82BDF">
        <w:t xml:space="preserve"> </w:t>
      </w:r>
      <w:proofErr w:type="spellStart"/>
      <w:r w:rsidRPr="00B82BDF">
        <w:t>qu’à</w:t>
      </w:r>
      <w:proofErr w:type="spellEnd"/>
      <w:r w:rsidRPr="00B82BDF">
        <w:t xml:space="preserve"> deux reprises au </w:t>
      </w:r>
      <w:proofErr w:type="spellStart"/>
      <w:r w:rsidRPr="00B82BDF">
        <w:t>moins</w:t>
      </w:r>
      <w:proofErr w:type="spellEnd"/>
      <w:r w:rsidRPr="00B82BDF">
        <w:t xml:space="preserve">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nationales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manqué à </w:t>
      </w:r>
      <w:proofErr w:type="spellStart"/>
      <w:r w:rsidRPr="00B82BDF">
        <w:t>leur</w:t>
      </w:r>
      <w:proofErr w:type="spellEnd"/>
      <w:r w:rsidRPr="00B82BDF">
        <w:t xml:space="preserve"> obligation de </w:t>
      </w:r>
      <w:proofErr w:type="spellStart"/>
      <w:r w:rsidRPr="00B82BDF">
        <w:t>protéger</w:t>
      </w:r>
      <w:proofErr w:type="spellEnd"/>
      <w:r w:rsidRPr="00B82BDF">
        <w:t xml:space="preserve"> la </w:t>
      </w:r>
      <w:proofErr w:type="spellStart"/>
      <w:r w:rsidRPr="00B82BDF">
        <w:t>dignité</w:t>
      </w:r>
      <w:proofErr w:type="spellEnd"/>
      <w:r w:rsidRPr="00B82BDF">
        <w:t xml:space="preserve"> de </w:t>
      </w:r>
      <w:proofErr w:type="spellStart"/>
      <w:r w:rsidRPr="00B82BDF">
        <w:t>l’intéressée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l’exposant</w:t>
      </w:r>
      <w:proofErr w:type="spellEnd"/>
      <w:r w:rsidRPr="00B82BDF">
        <w:t xml:space="preserve"> à des </w:t>
      </w:r>
      <w:proofErr w:type="spellStart"/>
      <w:r w:rsidRPr="00B82BDF">
        <w:t>propos</w:t>
      </w:r>
      <w:proofErr w:type="spellEnd"/>
      <w:r w:rsidRPr="00B82BDF">
        <w:t xml:space="preserve"> </w:t>
      </w:r>
      <w:proofErr w:type="spellStart"/>
      <w:r w:rsidRPr="00B82BDF">
        <w:t>culpabilisants</w:t>
      </w:r>
      <w:proofErr w:type="spellEnd"/>
      <w:r w:rsidRPr="00B82BDF">
        <w:t xml:space="preserve">, </w:t>
      </w:r>
      <w:proofErr w:type="spellStart"/>
      <w:r w:rsidRPr="00B82BDF">
        <w:t>moralisateurs</w:t>
      </w:r>
      <w:proofErr w:type="spellEnd"/>
      <w:r w:rsidRPr="00B82BDF">
        <w:t xml:space="preserve"> et </w:t>
      </w:r>
      <w:proofErr w:type="spellStart"/>
      <w:r w:rsidRPr="00B82BDF">
        <w:t>véhiculant</w:t>
      </w:r>
      <w:proofErr w:type="spellEnd"/>
      <w:r w:rsidRPr="00B82BDF">
        <w:t xml:space="preserve"> des </w:t>
      </w:r>
      <w:proofErr w:type="spellStart"/>
      <w:r w:rsidRPr="00B82BDF">
        <w:t>stéréotypes</w:t>
      </w:r>
      <w:proofErr w:type="spellEnd"/>
      <w:r w:rsidRPr="00B82BDF">
        <w:t xml:space="preserve"> </w:t>
      </w:r>
      <w:proofErr w:type="spellStart"/>
      <w:r w:rsidRPr="00B82BDF">
        <w:t>sexistes</w:t>
      </w:r>
      <w:proofErr w:type="spellEnd"/>
      <w:r w:rsidRPr="00B82BDF">
        <w:rPr>
          <w:rFonts w:ascii="Arial" w:hAnsi="Arial" w:cs="Arial"/>
          <w:color w:val="000000"/>
        </w:rPr>
        <w:t xml:space="preserve"> </w:t>
      </w:r>
      <w:proofErr w:type="spellStart"/>
      <w:r w:rsidRPr="00B82BDF">
        <w:t>propres</w:t>
      </w:r>
      <w:proofErr w:type="spellEnd"/>
      <w:r w:rsidRPr="00B82BDF">
        <w:t xml:space="preserve"> à </w:t>
      </w:r>
      <w:proofErr w:type="spellStart"/>
      <w:r w:rsidRPr="00B82BDF">
        <w:t>décourager</w:t>
      </w:r>
      <w:proofErr w:type="spellEnd"/>
      <w:r w:rsidRPr="00B82BDF">
        <w:t xml:space="preserve"> la </w:t>
      </w:r>
      <w:proofErr w:type="spellStart"/>
      <w:r w:rsidRPr="00B82BDF">
        <w:t>confiance</w:t>
      </w:r>
      <w:proofErr w:type="spellEnd"/>
      <w:r w:rsidRPr="00B82BDF">
        <w:t xml:space="preserve"> des </w:t>
      </w:r>
      <w:proofErr w:type="spellStart"/>
      <w:r w:rsidRPr="00B82BDF">
        <w:t>victimes</w:t>
      </w:r>
      <w:proofErr w:type="spellEnd"/>
      <w:r w:rsidRPr="00B82BDF">
        <w:t xml:space="preserve"> dans la justice (</w:t>
      </w:r>
      <w:r w:rsidRPr="00B82BDF">
        <w:rPr>
          <w:i/>
          <w:iCs/>
          <w:lang w:bidi="en-US"/>
        </w:rPr>
        <w:t>J.L. c. Italie</w:t>
      </w:r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>, § 141)</w:t>
      </w:r>
      <w:r w:rsidRPr="00B82BDF">
        <w:t>.</w:t>
      </w:r>
    </w:p>
    <w:bookmarkStart w:id="44" w:name="paragraph00227"/>
    <w:p w14:paraId="5EC83F94" w14:textId="77777777" w:rsidR="008A7B1D" w:rsidRPr="00B82BDF" w:rsidRDefault="008A7B1D" w:rsidP="008A7B1D">
      <w:pPr>
        <w:pStyle w:val="ECHRPara"/>
        <w:rPr>
          <w:lang w:bidi="en-US"/>
        </w:rPr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227</w:t>
      </w:r>
      <w:r w:rsidRPr="00B82BDF">
        <w:fldChar w:fldCharType="end"/>
      </w:r>
      <w:bookmarkEnd w:id="44"/>
      <w:r w:rsidRPr="00B82BDF">
        <w:t xml:space="preserve">.  Elle </w:t>
      </w:r>
      <w:proofErr w:type="spellStart"/>
      <w:r w:rsidRPr="00B82BDF">
        <w:t>relève</w:t>
      </w:r>
      <w:proofErr w:type="spellEnd"/>
      <w:r w:rsidRPr="00B82BDF">
        <w:t xml:space="preserve">, </w:t>
      </w:r>
      <w:proofErr w:type="spellStart"/>
      <w:r w:rsidRPr="00B82BDF">
        <w:t>d’une</w:t>
      </w:r>
      <w:proofErr w:type="spellEnd"/>
      <w:r w:rsidRPr="00B82BDF">
        <w:t xml:space="preserve"> part, que </w:t>
      </w:r>
      <w:proofErr w:type="spellStart"/>
      <w:r w:rsidRPr="00B82BDF">
        <w:rPr>
          <w:lang w:bidi="en-US"/>
        </w:rPr>
        <w:t>dès</w:t>
      </w:r>
      <w:proofErr w:type="spellEnd"/>
      <w:r w:rsidRPr="00B82BDF">
        <w:rPr>
          <w:lang w:bidi="en-US"/>
        </w:rPr>
        <w:t xml:space="preserve"> le début de </w:t>
      </w:r>
      <w:proofErr w:type="spellStart"/>
      <w:r w:rsidRPr="00B82BDF">
        <w:rPr>
          <w:lang w:bidi="en-US"/>
        </w:rPr>
        <w:t>l’enquête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lors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sa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deuxième</w:t>
      </w:r>
      <w:proofErr w:type="spellEnd"/>
      <w:r w:rsidRPr="00B82BDF">
        <w:rPr>
          <w:lang w:bidi="en-US"/>
        </w:rPr>
        <w:t xml:space="preserve"> audition le 7 </w:t>
      </w:r>
      <w:proofErr w:type="spellStart"/>
      <w:r w:rsidRPr="00B82BDF">
        <w:rPr>
          <w:lang w:bidi="en-US"/>
        </w:rPr>
        <w:t>septembre</w:t>
      </w:r>
      <w:proofErr w:type="spellEnd"/>
      <w:r w:rsidRPr="00B82BDF">
        <w:rPr>
          <w:lang w:bidi="en-US"/>
        </w:rPr>
        <w:t xml:space="preserve"> 2010 par un service </w:t>
      </w:r>
      <w:proofErr w:type="spellStart"/>
      <w:r w:rsidRPr="00B82BDF">
        <w:rPr>
          <w:lang w:bidi="en-US"/>
        </w:rPr>
        <w:t>pourtant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spécialisé</w:t>
      </w:r>
      <w:proofErr w:type="spellEnd"/>
      <w:r w:rsidRPr="00B82BDF">
        <w:rPr>
          <w:lang w:bidi="en-US"/>
        </w:rPr>
        <w:t xml:space="preserve">, la </w:t>
      </w:r>
      <w:proofErr w:type="spellStart"/>
      <w:r w:rsidRPr="00B82BDF">
        <w:rPr>
          <w:lang w:bidi="en-US"/>
        </w:rPr>
        <w:t>requérante</w:t>
      </w:r>
      <w:proofErr w:type="spellEnd"/>
      <w:r w:rsidRPr="00B82BDF">
        <w:rPr>
          <w:lang w:bidi="en-US"/>
        </w:rPr>
        <w:t xml:space="preserve"> a </w:t>
      </w:r>
      <w:proofErr w:type="spellStart"/>
      <w:r w:rsidRPr="00B82BDF">
        <w:rPr>
          <w:lang w:bidi="en-US"/>
        </w:rPr>
        <w:t>été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confrontée</w:t>
      </w:r>
      <w:proofErr w:type="spellEnd"/>
      <w:r w:rsidRPr="00B82BDF">
        <w:rPr>
          <w:lang w:bidi="en-US"/>
        </w:rPr>
        <w:t xml:space="preserve"> aux questions d’un </w:t>
      </w:r>
      <w:proofErr w:type="spellStart"/>
      <w:r w:rsidRPr="00B82BDF">
        <w:rPr>
          <w:lang w:bidi="en-US"/>
        </w:rPr>
        <w:t>policier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lui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reprochant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indirectement</w:t>
      </w:r>
      <w:proofErr w:type="spellEnd"/>
      <w:r w:rsidRPr="00B82BDF">
        <w:rPr>
          <w:lang w:bidi="en-US"/>
        </w:rPr>
        <w:t xml:space="preserve"> de ne pas </w:t>
      </w:r>
      <w:proofErr w:type="spellStart"/>
      <w:r w:rsidRPr="00B82BDF">
        <w:rPr>
          <w:lang w:bidi="en-US"/>
        </w:rPr>
        <w:t>avoir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manifesté</w:t>
      </w:r>
      <w:proofErr w:type="spellEnd"/>
      <w:r w:rsidRPr="00B82BDF">
        <w:rPr>
          <w:lang w:bidi="en-US"/>
        </w:rPr>
        <w:t xml:space="preserve"> son absence de </w:t>
      </w:r>
      <w:proofErr w:type="spellStart"/>
      <w:r w:rsidRPr="00B82BDF">
        <w:rPr>
          <w:lang w:bidi="en-US"/>
        </w:rPr>
        <w:t>consentement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criant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ou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se </w:t>
      </w:r>
      <w:proofErr w:type="spellStart"/>
      <w:r w:rsidRPr="00B82BDF">
        <w:rPr>
          <w:lang w:bidi="en-US"/>
        </w:rPr>
        <w:t>défendant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physiquement</w:t>
      </w:r>
      <w:proofErr w:type="spellEnd"/>
      <w:r w:rsidRPr="00B82BDF">
        <w:rPr>
          <w:lang w:bidi="en-US"/>
        </w:rPr>
        <w:t xml:space="preserve"> (</w:t>
      </w:r>
      <w:proofErr w:type="spellStart"/>
      <w:r w:rsidRPr="00B82BDF">
        <w:rPr>
          <w:lang w:bidi="en-US"/>
        </w:rPr>
        <w:t>paragraphe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paragraph00008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8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ci-dessus). </w:t>
      </w:r>
      <w:proofErr w:type="spellStart"/>
      <w:r w:rsidRPr="00B82BDF">
        <w:rPr>
          <w:lang w:bidi="en-US"/>
        </w:rPr>
        <w:t>Ces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échanges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ont</w:t>
      </w:r>
      <w:proofErr w:type="spellEnd"/>
      <w:r w:rsidRPr="00B82BDF">
        <w:rPr>
          <w:lang w:bidi="en-US"/>
        </w:rPr>
        <w:t xml:space="preserve"> conduit la </w:t>
      </w:r>
      <w:proofErr w:type="spellStart"/>
      <w:r w:rsidRPr="00B82BDF">
        <w:rPr>
          <w:lang w:bidi="en-US"/>
        </w:rPr>
        <w:t>requérante</w:t>
      </w:r>
      <w:proofErr w:type="spellEnd"/>
      <w:r w:rsidRPr="00B82BDF">
        <w:rPr>
          <w:lang w:bidi="en-US"/>
        </w:rPr>
        <w:t xml:space="preserve"> à </w:t>
      </w:r>
      <w:proofErr w:type="spellStart"/>
      <w:r w:rsidRPr="00B82BDF">
        <w:rPr>
          <w:lang w:bidi="en-US"/>
        </w:rPr>
        <w:t>reconnaître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qu’elle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n’avait</w:t>
      </w:r>
      <w:proofErr w:type="spellEnd"/>
      <w:r w:rsidRPr="00B82BDF">
        <w:rPr>
          <w:lang w:bidi="en-US"/>
        </w:rPr>
        <w:t xml:space="preserve"> pas </w:t>
      </w:r>
      <w:proofErr w:type="spellStart"/>
      <w:r w:rsidRPr="00B82BDF">
        <w:rPr>
          <w:lang w:bidi="en-US"/>
        </w:rPr>
        <w:t>adopté</w:t>
      </w:r>
      <w:proofErr w:type="spellEnd"/>
      <w:r w:rsidRPr="00B82BDF">
        <w:rPr>
          <w:lang w:bidi="en-US"/>
        </w:rPr>
        <w:t xml:space="preserve"> un </w:t>
      </w:r>
      <w:proofErr w:type="spellStart"/>
      <w:r w:rsidRPr="00B82BDF">
        <w:rPr>
          <w:lang w:bidi="en-US"/>
        </w:rPr>
        <w:t>comportement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adéquat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prétendument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attendu</w:t>
      </w:r>
      <w:proofErr w:type="spellEnd"/>
      <w:r w:rsidRPr="00B82BDF">
        <w:rPr>
          <w:lang w:bidi="en-US"/>
        </w:rPr>
        <w:t xml:space="preserve"> de la part </w:t>
      </w:r>
      <w:proofErr w:type="spellStart"/>
      <w:r w:rsidRPr="00B82BDF">
        <w:rPr>
          <w:lang w:bidi="en-US"/>
        </w:rPr>
        <w:t>d’une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victime</w:t>
      </w:r>
      <w:proofErr w:type="spellEnd"/>
      <w:r w:rsidRPr="00B82BDF">
        <w:rPr>
          <w:lang w:bidi="en-US"/>
        </w:rPr>
        <w:t xml:space="preserve"> de viol face à son </w:t>
      </w:r>
      <w:proofErr w:type="spellStart"/>
      <w:r w:rsidRPr="00B82BDF">
        <w:rPr>
          <w:lang w:bidi="en-US"/>
        </w:rPr>
        <w:t>agresseur</w:t>
      </w:r>
      <w:proofErr w:type="spellEnd"/>
      <w:r w:rsidRPr="00B82BDF">
        <w:rPr>
          <w:lang w:bidi="en-US"/>
        </w:rPr>
        <w:t xml:space="preserve">.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relève</w:t>
      </w:r>
      <w:proofErr w:type="spellEnd"/>
      <w:r w:rsidRPr="00B82BDF">
        <w:rPr>
          <w:lang w:bidi="en-US"/>
        </w:rPr>
        <w:t xml:space="preserve"> le </w:t>
      </w:r>
      <w:proofErr w:type="spellStart"/>
      <w:r w:rsidRPr="00B82BDF">
        <w:rPr>
          <w:lang w:bidi="en-US"/>
        </w:rPr>
        <w:t>caractère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inapproprié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tels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propos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culpabilisateurs</w:t>
      </w:r>
      <w:proofErr w:type="spellEnd"/>
      <w:r w:rsidRPr="00B82BDF">
        <w:rPr>
          <w:lang w:bidi="en-US"/>
        </w:rPr>
        <w:t xml:space="preserve"> et de nature à disqualifier la parole de la </w:t>
      </w:r>
      <w:proofErr w:type="spellStart"/>
      <w:r w:rsidRPr="00B82BDF">
        <w:rPr>
          <w:lang w:bidi="en-US"/>
        </w:rPr>
        <w:t>requérante</w:t>
      </w:r>
      <w:proofErr w:type="spellEnd"/>
      <w:r w:rsidRPr="00B82BDF">
        <w:rPr>
          <w:lang w:bidi="en-US"/>
        </w:rPr>
        <w:t xml:space="preserve">, qui </w:t>
      </w:r>
      <w:proofErr w:type="spellStart"/>
      <w:r w:rsidRPr="00B82BDF">
        <w:rPr>
          <w:lang w:bidi="en-US"/>
        </w:rPr>
        <w:t>ont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été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tenus</w:t>
      </w:r>
      <w:proofErr w:type="spellEnd"/>
      <w:r w:rsidRPr="00B82BDF">
        <w:rPr>
          <w:lang w:bidi="en-US"/>
        </w:rPr>
        <w:t xml:space="preserve"> au </w:t>
      </w:r>
      <w:proofErr w:type="spellStart"/>
      <w:r w:rsidRPr="00B82BDF">
        <w:rPr>
          <w:lang w:bidi="en-US"/>
        </w:rPr>
        <w:t>stade</w:t>
      </w:r>
      <w:proofErr w:type="spellEnd"/>
      <w:r w:rsidRPr="00B82BDF">
        <w:rPr>
          <w:lang w:bidi="en-US"/>
        </w:rPr>
        <w:t xml:space="preserve"> du </w:t>
      </w:r>
      <w:proofErr w:type="spellStart"/>
      <w:r w:rsidRPr="00B82BDF">
        <w:rPr>
          <w:lang w:bidi="en-US"/>
        </w:rPr>
        <w:t>recueil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plainte</w:t>
      </w:r>
      <w:proofErr w:type="spellEnd"/>
      <w:r w:rsidRPr="00B82BDF">
        <w:rPr>
          <w:lang w:bidi="en-US"/>
        </w:rPr>
        <w:t xml:space="preserve">, étape </w:t>
      </w:r>
      <w:proofErr w:type="spellStart"/>
      <w:r w:rsidRPr="00B82BDF">
        <w:rPr>
          <w:lang w:bidi="en-US"/>
        </w:rPr>
        <w:t>déterminante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procédure</w:t>
      </w:r>
      <w:proofErr w:type="spellEnd"/>
      <w:r w:rsidRPr="00B82BDF">
        <w:rPr>
          <w:lang w:bidi="en-US"/>
        </w:rPr>
        <w:t xml:space="preserve"> au </w:t>
      </w:r>
      <w:proofErr w:type="spellStart"/>
      <w:r w:rsidRPr="00B82BDF">
        <w:rPr>
          <w:lang w:bidi="en-US"/>
        </w:rPr>
        <w:t>cours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laquelle</w:t>
      </w:r>
      <w:proofErr w:type="spellEnd"/>
      <w:r w:rsidRPr="00B82BDF">
        <w:rPr>
          <w:lang w:bidi="en-US"/>
        </w:rPr>
        <w:t xml:space="preserve"> il </w:t>
      </w:r>
      <w:proofErr w:type="spellStart"/>
      <w:r w:rsidRPr="00B82BDF">
        <w:rPr>
          <w:lang w:bidi="en-US"/>
        </w:rPr>
        <w:t>incombe</w:t>
      </w:r>
      <w:proofErr w:type="spellEnd"/>
      <w:r w:rsidRPr="00B82BDF">
        <w:rPr>
          <w:lang w:bidi="en-US"/>
        </w:rPr>
        <w:t xml:space="preserve"> aux </w:t>
      </w:r>
      <w:proofErr w:type="spellStart"/>
      <w:r w:rsidRPr="00B82BDF">
        <w:rPr>
          <w:lang w:bidi="en-US"/>
        </w:rPr>
        <w:t>autorités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d’accompagner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spécialement</w:t>
      </w:r>
      <w:proofErr w:type="spellEnd"/>
      <w:r w:rsidRPr="00B82BDF">
        <w:rPr>
          <w:lang w:bidi="en-US"/>
        </w:rPr>
        <w:t xml:space="preserve"> les </w:t>
      </w:r>
      <w:proofErr w:type="spellStart"/>
      <w:r w:rsidRPr="00B82BDF">
        <w:rPr>
          <w:lang w:bidi="en-US"/>
        </w:rPr>
        <w:t>victimes</w:t>
      </w:r>
      <w:proofErr w:type="spellEnd"/>
      <w:r w:rsidRPr="00B82BDF">
        <w:rPr>
          <w:lang w:bidi="en-US"/>
        </w:rPr>
        <w:t xml:space="preserve">. Elle </w:t>
      </w:r>
      <w:proofErr w:type="spellStart"/>
      <w:r w:rsidRPr="00B82BDF">
        <w:rPr>
          <w:lang w:bidi="en-US"/>
        </w:rPr>
        <w:t>souligne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outre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qu’ils</w:t>
      </w:r>
      <w:proofErr w:type="spellEnd"/>
      <w:r w:rsidRPr="00B82BDF">
        <w:rPr>
          <w:lang w:bidi="en-US"/>
        </w:rPr>
        <w:t xml:space="preserve"> ne </w:t>
      </w:r>
      <w:proofErr w:type="spellStart"/>
      <w:r w:rsidRPr="00B82BDF">
        <w:rPr>
          <w:lang w:bidi="en-US"/>
        </w:rPr>
        <w:t>s’accordent</w:t>
      </w:r>
      <w:proofErr w:type="spellEnd"/>
      <w:r w:rsidRPr="00B82BDF">
        <w:rPr>
          <w:lang w:bidi="en-US"/>
        </w:rPr>
        <w:t xml:space="preserve"> pas avec la conception </w:t>
      </w:r>
      <w:proofErr w:type="spellStart"/>
      <w:r w:rsidRPr="00B82BDF">
        <w:rPr>
          <w:lang w:bidi="en-US"/>
        </w:rPr>
        <w:t>contemporaine</w:t>
      </w:r>
      <w:proofErr w:type="spellEnd"/>
      <w:r w:rsidRPr="00B82BDF">
        <w:rPr>
          <w:lang w:bidi="en-US"/>
        </w:rPr>
        <w:t xml:space="preserve"> des </w:t>
      </w:r>
      <w:proofErr w:type="spellStart"/>
      <w:r w:rsidRPr="00B82BDF">
        <w:rPr>
          <w:lang w:bidi="en-US"/>
        </w:rPr>
        <w:t>éléments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constitutifs</w:t>
      </w:r>
      <w:proofErr w:type="spellEnd"/>
      <w:r w:rsidRPr="00B82BDF">
        <w:rPr>
          <w:lang w:bidi="en-US"/>
        </w:rPr>
        <w:t xml:space="preserve"> du viol, </w:t>
      </w:r>
      <w:proofErr w:type="spellStart"/>
      <w:r w:rsidRPr="00B82BDF">
        <w:rPr>
          <w:lang w:bidi="en-US"/>
        </w:rPr>
        <w:t>dont</w:t>
      </w:r>
      <w:proofErr w:type="spellEnd"/>
      <w:r w:rsidRPr="00B82BDF">
        <w:rPr>
          <w:lang w:bidi="en-US"/>
        </w:rPr>
        <w:t xml:space="preserve"> la </w:t>
      </w:r>
      <w:proofErr w:type="spellStart"/>
      <w:r w:rsidRPr="00B82BDF">
        <w:rPr>
          <w:lang w:bidi="en-US"/>
        </w:rPr>
        <w:t>caractérisation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n’est</w:t>
      </w:r>
      <w:proofErr w:type="spellEnd"/>
      <w:r w:rsidRPr="00B82BDF">
        <w:rPr>
          <w:lang w:bidi="en-US"/>
        </w:rPr>
        <w:t xml:space="preserve"> plus </w:t>
      </w:r>
      <w:proofErr w:type="spellStart"/>
      <w:r w:rsidRPr="00B82BDF">
        <w:rPr>
          <w:lang w:bidi="en-US"/>
        </w:rPr>
        <w:t>subordonnée</w:t>
      </w:r>
      <w:proofErr w:type="spellEnd"/>
      <w:r w:rsidRPr="00B82BDF">
        <w:rPr>
          <w:lang w:bidi="en-US"/>
        </w:rPr>
        <w:t xml:space="preserve"> à </w:t>
      </w:r>
      <w:proofErr w:type="spellStart"/>
      <w:r w:rsidRPr="00B82BDF">
        <w:rPr>
          <w:lang w:bidi="en-US"/>
        </w:rPr>
        <w:t>l’établissement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résistance</w:t>
      </w:r>
      <w:proofErr w:type="spellEnd"/>
      <w:r w:rsidRPr="00B82BDF">
        <w:rPr>
          <w:lang w:bidi="en-US"/>
        </w:rPr>
        <w:t xml:space="preserve"> physique de la </w:t>
      </w:r>
      <w:proofErr w:type="spellStart"/>
      <w:r w:rsidRPr="00B82BDF">
        <w:rPr>
          <w:lang w:bidi="en-US"/>
        </w:rPr>
        <w:t>victime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rappelée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dès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l’arrêt</w:t>
      </w:r>
      <w:proofErr w:type="spellEnd"/>
      <w:r w:rsidRPr="00B82BDF">
        <w:rPr>
          <w:lang w:bidi="en-US"/>
        </w:rPr>
        <w:t xml:space="preserve"> </w:t>
      </w:r>
      <w:r w:rsidRPr="00B82BDF">
        <w:rPr>
          <w:i/>
          <w:iCs/>
          <w:lang w:bidi="en-US"/>
        </w:rPr>
        <w:t>M.C.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 xml:space="preserve"> (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 xml:space="preserve">, § 166, </w:t>
      </w:r>
      <w:proofErr w:type="spellStart"/>
      <w:r w:rsidRPr="00B82BDF">
        <w:rPr>
          <w:lang w:bidi="en-US"/>
        </w:rPr>
        <w:t>paragraphe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paragraph00195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195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ci-dessus).</w:t>
      </w:r>
    </w:p>
    <w:bookmarkStart w:id="45" w:name="paragraph00228"/>
    <w:p w14:paraId="433BFD0A" w14:textId="77777777" w:rsidR="008A7B1D" w:rsidRPr="00B82BDF" w:rsidRDefault="008A7B1D" w:rsidP="008A7B1D">
      <w:pPr>
        <w:pStyle w:val="ECHRPara"/>
        <w:rPr>
          <w:lang w:bidi="en-US"/>
        </w:rPr>
      </w:pP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 SEQ level0 \*arabic \* MERGEFORMAT </w:instrText>
      </w:r>
      <w:r w:rsidRPr="00B82BDF">
        <w:rPr>
          <w:lang w:bidi="en-US"/>
        </w:rPr>
        <w:fldChar w:fldCharType="separate"/>
      </w:r>
      <w:r w:rsidRPr="00B82BDF">
        <w:rPr>
          <w:noProof/>
          <w:lang w:bidi="en-US"/>
        </w:rPr>
        <w:t>228</w:t>
      </w:r>
      <w:r w:rsidRPr="00B82BDF">
        <w:rPr>
          <w:lang w:bidi="en-US"/>
        </w:rPr>
        <w:fldChar w:fldCharType="end"/>
      </w:r>
      <w:bookmarkEnd w:id="45"/>
      <w:r w:rsidRPr="00B82BDF">
        <w:rPr>
          <w:lang w:bidi="en-US"/>
        </w:rPr>
        <w:t>.  </w:t>
      </w:r>
      <w:proofErr w:type="spellStart"/>
      <w:r w:rsidRPr="00B82BDF">
        <w:rPr>
          <w:lang w:bidi="en-US"/>
        </w:rPr>
        <w:t>D’autre</w:t>
      </w:r>
      <w:proofErr w:type="spellEnd"/>
      <w:r w:rsidRPr="00B82BDF">
        <w:rPr>
          <w:lang w:bidi="en-US"/>
        </w:rPr>
        <w:t xml:space="preserve"> part,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relève</w:t>
      </w:r>
      <w:proofErr w:type="spellEnd"/>
      <w:r w:rsidRPr="00B82BDF">
        <w:rPr>
          <w:lang w:bidi="en-US"/>
        </w:rPr>
        <w:t xml:space="preserve"> les </w:t>
      </w:r>
      <w:proofErr w:type="spellStart"/>
      <w:r w:rsidRPr="00B82BDF">
        <w:rPr>
          <w:lang w:bidi="en-US"/>
        </w:rPr>
        <w:t>stéréotypes</w:t>
      </w:r>
      <w:proofErr w:type="spellEnd"/>
      <w:r w:rsidRPr="00B82BDF">
        <w:rPr>
          <w:lang w:bidi="en-US"/>
        </w:rPr>
        <w:t xml:space="preserve"> de genre figurant dans les motifs </w:t>
      </w:r>
      <w:proofErr w:type="spellStart"/>
      <w:r w:rsidRPr="00B82BDF">
        <w:rPr>
          <w:lang w:bidi="en-US"/>
        </w:rPr>
        <w:t>conclusifs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l’arrêt</w:t>
      </w:r>
      <w:proofErr w:type="spellEnd"/>
      <w:r w:rsidRPr="00B82BDF">
        <w:rPr>
          <w:lang w:bidi="en-US"/>
        </w:rPr>
        <w:t xml:space="preserve"> de la chambre de </w:t>
      </w:r>
      <w:proofErr w:type="spellStart"/>
      <w:r w:rsidRPr="00B82BDF">
        <w:rPr>
          <w:lang w:bidi="en-US"/>
        </w:rPr>
        <w:t>l’instruction</w:t>
      </w:r>
      <w:proofErr w:type="spellEnd"/>
      <w:r w:rsidRPr="00B82BDF">
        <w:rPr>
          <w:lang w:bidi="en-US"/>
        </w:rPr>
        <w:t xml:space="preserve"> du 12 </w:t>
      </w:r>
      <w:proofErr w:type="spellStart"/>
      <w:r w:rsidRPr="00B82BDF">
        <w:rPr>
          <w:lang w:bidi="en-US"/>
        </w:rPr>
        <w:t>novembre</w:t>
      </w:r>
      <w:proofErr w:type="spellEnd"/>
      <w:r w:rsidRPr="00B82BDF">
        <w:rPr>
          <w:lang w:bidi="en-US"/>
        </w:rPr>
        <w:t xml:space="preserve"> 2020, </w:t>
      </w:r>
      <w:proofErr w:type="spellStart"/>
      <w:r w:rsidRPr="00B82BDF">
        <w:rPr>
          <w:lang w:bidi="en-US"/>
        </w:rPr>
        <w:t>décrivant</w:t>
      </w:r>
      <w:proofErr w:type="spellEnd"/>
      <w:r w:rsidRPr="00B82BDF">
        <w:rPr>
          <w:lang w:bidi="en-US"/>
        </w:rPr>
        <w:t xml:space="preserve"> de manière </w:t>
      </w:r>
      <w:proofErr w:type="spellStart"/>
      <w:r w:rsidRPr="00B82BDF">
        <w:rPr>
          <w:lang w:bidi="en-US"/>
        </w:rPr>
        <w:t>caricaturale</w:t>
      </w:r>
      <w:proofErr w:type="spellEnd"/>
      <w:r w:rsidRPr="00B82BDF">
        <w:rPr>
          <w:lang w:bidi="en-US"/>
        </w:rPr>
        <w:t xml:space="preserve"> et </w:t>
      </w:r>
      <w:proofErr w:type="spellStart"/>
      <w:r w:rsidRPr="00B82BDF">
        <w:rPr>
          <w:lang w:bidi="en-US"/>
        </w:rPr>
        <w:t>péjorative</w:t>
      </w:r>
      <w:proofErr w:type="spellEnd"/>
      <w:r w:rsidRPr="00B82BDF">
        <w:rPr>
          <w:lang w:bidi="en-US"/>
        </w:rPr>
        <w:t xml:space="preserve"> les faits </w:t>
      </w:r>
      <w:proofErr w:type="spellStart"/>
      <w:r w:rsidRPr="00B82BDF">
        <w:rPr>
          <w:lang w:bidi="en-US"/>
        </w:rPr>
        <w:t>dénoncés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par</w:t>
      </w:r>
      <w:proofErr w:type="spellEnd"/>
      <w:r w:rsidRPr="00B82BDF">
        <w:rPr>
          <w:lang w:bidi="en-US"/>
        </w:rPr>
        <w:t xml:space="preserve"> la </w:t>
      </w:r>
      <w:proofErr w:type="spellStart"/>
      <w:r w:rsidRPr="00B82BDF">
        <w:rPr>
          <w:lang w:bidi="en-US"/>
        </w:rPr>
        <w:t>requérante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faisant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référence</w:t>
      </w:r>
      <w:proofErr w:type="spellEnd"/>
      <w:r w:rsidRPr="00B82BDF">
        <w:rPr>
          <w:lang w:bidi="en-US"/>
        </w:rPr>
        <w:t xml:space="preserve"> au « succès </w:t>
      </w:r>
      <w:proofErr w:type="spellStart"/>
      <w:r w:rsidRPr="00B82BDF">
        <w:rPr>
          <w:lang w:bidi="en-US"/>
        </w:rPr>
        <w:t>habituel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auprès</w:t>
      </w:r>
      <w:proofErr w:type="spellEnd"/>
      <w:r w:rsidRPr="00B82BDF">
        <w:rPr>
          <w:lang w:bidi="en-US"/>
        </w:rPr>
        <w:t xml:space="preserve"> de la gent </w:t>
      </w:r>
      <w:proofErr w:type="spellStart"/>
      <w:r w:rsidRPr="00B82BDF">
        <w:rPr>
          <w:lang w:bidi="en-US"/>
        </w:rPr>
        <w:t>féminine</w:t>
      </w:r>
      <w:proofErr w:type="spellEnd"/>
      <w:r w:rsidRPr="00B82BDF">
        <w:rPr>
          <w:lang w:bidi="en-US"/>
        </w:rPr>
        <w:t xml:space="preserve"> [des </w:t>
      </w:r>
      <w:proofErr w:type="spellStart"/>
      <w:r w:rsidRPr="00B82BDF">
        <w:rPr>
          <w:lang w:bidi="en-US"/>
        </w:rPr>
        <w:t>sapeurs</w:t>
      </w:r>
      <w:proofErr w:type="spellEnd"/>
      <w:r w:rsidRPr="00B82BDF">
        <w:rPr>
          <w:lang w:bidi="en-US"/>
        </w:rPr>
        <w:t xml:space="preserve">-pompiers] et [au] </w:t>
      </w:r>
      <w:proofErr w:type="spellStart"/>
      <w:r w:rsidRPr="00B82BDF">
        <w:rPr>
          <w:lang w:bidi="en-US"/>
        </w:rPr>
        <w:t>comportement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parfois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débridé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celle</w:t>
      </w:r>
      <w:proofErr w:type="spellEnd"/>
      <w:r w:rsidRPr="00B82BDF">
        <w:rPr>
          <w:lang w:bidi="en-US"/>
        </w:rPr>
        <w:t xml:space="preserve">-ci à </w:t>
      </w:r>
      <w:proofErr w:type="spellStart"/>
      <w:r w:rsidRPr="00B82BDF">
        <w:rPr>
          <w:lang w:bidi="en-US"/>
        </w:rPr>
        <w:t>leur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endroit</w:t>
      </w:r>
      <w:proofErr w:type="spellEnd"/>
      <w:r w:rsidRPr="00B82BDF">
        <w:rPr>
          <w:lang w:bidi="en-US"/>
        </w:rPr>
        <w:t xml:space="preserve"> » qui ne les </w:t>
      </w:r>
      <w:proofErr w:type="spellStart"/>
      <w:r w:rsidRPr="00B82BDF">
        <w:rPr>
          <w:lang w:bidi="en-US"/>
        </w:rPr>
        <w:t>auraient</w:t>
      </w:r>
      <w:proofErr w:type="spellEnd"/>
      <w:r w:rsidRPr="00B82BDF">
        <w:rPr>
          <w:lang w:bidi="en-US"/>
        </w:rPr>
        <w:t xml:space="preserve"> pas « </w:t>
      </w:r>
      <w:proofErr w:type="spellStart"/>
      <w:r w:rsidRPr="00B82BDF">
        <w:rPr>
          <w:lang w:bidi="en-US"/>
        </w:rPr>
        <w:t>incités</w:t>
      </w:r>
      <w:proofErr w:type="spellEnd"/>
      <w:r w:rsidRPr="00B82BDF">
        <w:rPr>
          <w:lang w:bidi="en-US"/>
        </w:rPr>
        <w:t xml:space="preserve"> à la </w:t>
      </w:r>
      <w:proofErr w:type="spellStart"/>
      <w:r w:rsidRPr="00B82BDF">
        <w:rPr>
          <w:lang w:bidi="en-US"/>
        </w:rPr>
        <w:t>réflexion</w:t>
      </w:r>
      <w:proofErr w:type="spellEnd"/>
      <w:r w:rsidRPr="00B82BDF">
        <w:rPr>
          <w:lang w:bidi="en-US"/>
        </w:rPr>
        <w:t> » (</w:t>
      </w:r>
      <w:proofErr w:type="spellStart"/>
      <w:r w:rsidRPr="00B82BDF">
        <w:rPr>
          <w:lang w:bidi="en-US"/>
        </w:rPr>
        <w:t>paragraphe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paragraph00031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31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ci-dessus). Loin de se </w:t>
      </w:r>
      <w:proofErr w:type="spellStart"/>
      <w:r w:rsidRPr="00B82BDF">
        <w:rPr>
          <w:lang w:bidi="en-US"/>
        </w:rPr>
        <w:t>borner</w:t>
      </w:r>
      <w:proofErr w:type="spellEnd"/>
      <w:r w:rsidRPr="00B82BDF">
        <w:rPr>
          <w:lang w:bidi="en-US"/>
        </w:rPr>
        <w:t xml:space="preserve"> à </w:t>
      </w:r>
      <w:proofErr w:type="spellStart"/>
      <w:r w:rsidRPr="00B82BDF">
        <w:rPr>
          <w:lang w:bidi="en-US"/>
        </w:rPr>
        <w:t>décrire</w:t>
      </w:r>
      <w:proofErr w:type="spellEnd"/>
      <w:r w:rsidRPr="00B82BDF">
        <w:rPr>
          <w:lang w:bidi="en-US"/>
        </w:rPr>
        <w:t xml:space="preserve"> le point de </w:t>
      </w:r>
      <w:proofErr w:type="spellStart"/>
      <w:r w:rsidRPr="00B82BDF">
        <w:rPr>
          <w:lang w:bidi="en-US"/>
        </w:rPr>
        <w:t>vue</w:t>
      </w:r>
      <w:proofErr w:type="spellEnd"/>
      <w:r w:rsidRPr="00B82BDF">
        <w:rPr>
          <w:lang w:bidi="en-US"/>
        </w:rPr>
        <w:t xml:space="preserve"> des </w:t>
      </w:r>
      <w:proofErr w:type="spellStart"/>
      <w:r w:rsidRPr="00B82BDF">
        <w:rPr>
          <w:lang w:bidi="en-US"/>
        </w:rPr>
        <w:t>personnes</w:t>
      </w:r>
      <w:proofErr w:type="spellEnd"/>
      <w:r w:rsidRPr="00B82BDF">
        <w:rPr>
          <w:lang w:bidi="en-US"/>
        </w:rPr>
        <w:t xml:space="preserve"> mises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cause </w:t>
      </w:r>
      <w:proofErr w:type="spellStart"/>
      <w:r w:rsidRPr="00B82BDF">
        <w:rPr>
          <w:lang w:bidi="en-US"/>
        </w:rPr>
        <w:t>ainsi</w:t>
      </w:r>
      <w:proofErr w:type="spellEnd"/>
      <w:r w:rsidRPr="00B82BDF">
        <w:rPr>
          <w:lang w:bidi="en-US"/>
        </w:rPr>
        <w:t xml:space="preserve"> que </w:t>
      </w:r>
      <w:proofErr w:type="spellStart"/>
      <w:r w:rsidRPr="00B82BDF">
        <w:rPr>
          <w:lang w:bidi="en-US"/>
        </w:rPr>
        <w:t>l’allègue</w:t>
      </w:r>
      <w:proofErr w:type="spellEnd"/>
      <w:r w:rsidRPr="00B82BDF">
        <w:rPr>
          <w:lang w:bidi="en-US"/>
        </w:rPr>
        <w:t xml:space="preserve"> le </w:t>
      </w:r>
      <w:proofErr w:type="spellStart"/>
      <w:r w:rsidRPr="00B82BDF">
        <w:rPr>
          <w:lang w:bidi="en-US"/>
        </w:rPr>
        <w:t>Gouvernement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ces</w:t>
      </w:r>
      <w:proofErr w:type="spellEnd"/>
      <w:r w:rsidRPr="00B82BDF">
        <w:rPr>
          <w:lang w:bidi="en-US"/>
        </w:rPr>
        <w:t xml:space="preserve"> motifs </w:t>
      </w:r>
      <w:proofErr w:type="spellStart"/>
      <w:r w:rsidRPr="00B82BDF">
        <w:rPr>
          <w:lang w:bidi="en-US"/>
        </w:rPr>
        <w:t>visaient</w:t>
      </w:r>
      <w:proofErr w:type="spellEnd"/>
      <w:r w:rsidRPr="00B82BDF">
        <w:rPr>
          <w:lang w:bidi="en-US"/>
        </w:rPr>
        <w:t xml:space="preserve"> à </w:t>
      </w:r>
      <w:proofErr w:type="spellStart"/>
      <w:r w:rsidRPr="00B82BDF">
        <w:rPr>
          <w:lang w:bidi="en-US"/>
        </w:rPr>
        <w:t>exonérer</w:t>
      </w:r>
      <w:proofErr w:type="spellEnd"/>
      <w:r w:rsidRPr="00B82BDF">
        <w:rPr>
          <w:lang w:bidi="en-US"/>
        </w:rPr>
        <w:t xml:space="preserve"> les auteurs des faits </w:t>
      </w:r>
      <w:proofErr w:type="spellStart"/>
      <w:r w:rsidRPr="00B82BDF">
        <w:rPr>
          <w:lang w:bidi="en-US"/>
        </w:rPr>
        <w:t>dénoncés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leur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responsabilité</w:t>
      </w:r>
      <w:proofErr w:type="spellEnd"/>
      <w:r w:rsidRPr="00B82BDF">
        <w:rPr>
          <w:lang w:bidi="en-US"/>
        </w:rPr>
        <w:t xml:space="preserve">. Les </w:t>
      </w:r>
      <w:proofErr w:type="spellStart"/>
      <w:r w:rsidRPr="00B82BDF">
        <w:rPr>
          <w:lang w:bidi="en-US"/>
        </w:rPr>
        <w:t>termes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employés</w:t>
      </w:r>
      <w:proofErr w:type="spellEnd"/>
      <w:r w:rsidRPr="00B82BDF">
        <w:rPr>
          <w:lang w:bidi="en-US"/>
        </w:rPr>
        <w:t xml:space="preserve"> tout </w:t>
      </w:r>
      <w:proofErr w:type="spellStart"/>
      <w:r w:rsidRPr="00B82BDF">
        <w:rPr>
          <w:lang w:bidi="en-US"/>
        </w:rPr>
        <w:t>comme</w:t>
      </w:r>
      <w:proofErr w:type="spellEnd"/>
      <w:r w:rsidRPr="00B82BDF">
        <w:rPr>
          <w:lang w:bidi="en-US"/>
        </w:rPr>
        <w:t xml:space="preserve"> le </w:t>
      </w:r>
      <w:proofErr w:type="spellStart"/>
      <w:r w:rsidRPr="00B82BDF">
        <w:rPr>
          <w:lang w:bidi="en-US"/>
        </w:rPr>
        <w:t>sens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qu’ils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véhiculaient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sont</w:t>
      </w:r>
      <w:proofErr w:type="spellEnd"/>
      <w:r w:rsidRPr="00B82BDF">
        <w:rPr>
          <w:lang w:bidi="en-US"/>
        </w:rPr>
        <w:t xml:space="preserve">, de </w:t>
      </w:r>
      <w:proofErr w:type="spellStart"/>
      <w:r w:rsidRPr="00B82BDF">
        <w:rPr>
          <w:lang w:bidi="en-US"/>
        </w:rPr>
        <w:t>l’avis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parfaitement</w:t>
      </w:r>
      <w:proofErr w:type="spellEnd"/>
      <w:r w:rsidRPr="00B82BDF">
        <w:rPr>
          <w:lang w:bidi="en-US"/>
        </w:rPr>
        <w:t xml:space="preserve"> hors de </w:t>
      </w:r>
      <w:proofErr w:type="spellStart"/>
      <w:r w:rsidRPr="00B82BDF">
        <w:rPr>
          <w:lang w:bidi="en-US"/>
        </w:rPr>
        <w:t>propos</w:t>
      </w:r>
      <w:proofErr w:type="spellEnd"/>
      <w:r w:rsidRPr="00B82BDF">
        <w:rPr>
          <w:lang w:bidi="en-US"/>
        </w:rPr>
        <w:t xml:space="preserve"> (</w:t>
      </w:r>
      <w:r w:rsidRPr="00B82BDF">
        <w:rPr>
          <w:i/>
          <w:iCs/>
          <w:lang w:bidi="en-US"/>
        </w:rPr>
        <w:t>mutatis mutandis</w:t>
      </w:r>
      <w:r w:rsidRPr="00B82BDF">
        <w:rPr>
          <w:lang w:bidi="en-US"/>
        </w:rPr>
        <w:t xml:space="preserve">, </w:t>
      </w:r>
      <w:r w:rsidRPr="00B82BDF">
        <w:rPr>
          <w:i/>
          <w:iCs/>
          <w:lang w:bidi="en-US"/>
        </w:rPr>
        <w:t>J.L. c. Italie</w:t>
      </w:r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>, §§ 136 et 141).</w:t>
      </w:r>
    </w:p>
    <w:p w14:paraId="6F672E2A" w14:textId="77777777" w:rsidR="008A7B1D" w:rsidRPr="00B82BDF" w:rsidRDefault="008A7B1D" w:rsidP="008A7B1D">
      <w:pPr>
        <w:pStyle w:val="ECHRPara"/>
        <w:rPr>
          <w:lang w:bidi="en-US"/>
        </w:rPr>
      </w:pP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 SEQ level0 \*arabic \* MERGEFORMAT </w:instrText>
      </w:r>
      <w:r w:rsidRPr="00B82BDF">
        <w:rPr>
          <w:lang w:bidi="en-US"/>
        </w:rPr>
        <w:fldChar w:fldCharType="separate"/>
      </w:r>
      <w:r w:rsidRPr="00B82BDF">
        <w:rPr>
          <w:noProof/>
          <w:lang w:bidi="en-US"/>
        </w:rPr>
        <w:t>229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.  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rappelle</w:t>
      </w:r>
      <w:proofErr w:type="spellEnd"/>
      <w:r w:rsidRPr="00B82BDF">
        <w:rPr>
          <w:lang w:bidi="en-US"/>
        </w:rPr>
        <w:t xml:space="preserve"> que, dans le cadre de la </w:t>
      </w:r>
      <w:proofErr w:type="spellStart"/>
      <w:r w:rsidRPr="00B82BDF">
        <w:rPr>
          <w:lang w:bidi="en-US"/>
        </w:rPr>
        <w:t>réponse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institutionnelle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apportée</w:t>
      </w:r>
      <w:proofErr w:type="spellEnd"/>
      <w:r w:rsidRPr="00B82BDF">
        <w:rPr>
          <w:lang w:bidi="en-US"/>
        </w:rPr>
        <w:t xml:space="preserve"> à la violence </w:t>
      </w:r>
      <w:proofErr w:type="spellStart"/>
      <w:r w:rsidRPr="00B82BDF">
        <w:rPr>
          <w:lang w:bidi="en-US"/>
        </w:rPr>
        <w:t>fondée</w:t>
      </w:r>
      <w:proofErr w:type="spellEnd"/>
      <w:r w:rsidRPr="00B82BDF">
        <w:rPr>
          <w:lang w:bidi="en-US"/>
        </w:rPr>
        <w:t xml:space="preserve"> sur le genre et dans la </w:t>
      </w:r>
      <w:proofErr w:type="spellStart"/>
      <w:r w:rsidRPr="00B82BDF">
        <w:rPr>
          <w:lang w:bidi="en-US"/>
        </w:rPr>
        <w:t>lutte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contre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l’inégalité</w:t>
      </w:r>
      <w:proofErr w:type="spellEnd"/>
      <w:r w:rsidRPr="00B82BDF">
        <w:rPr>
          <w:lang w:bidi="en-US"/>
        </w:rPr>
        <w:t xml:space="preserve"> entre les sexes, il </w:t>
      </w:r>
      <w:proofErr w:type="spellStart"/>
      <w:r w:rsidRPr="00B82BDF">
        <w:rPr>
          <w:lang w:bidi="en-US"/>
        </w:rPr>
        <w:t>est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essentiel</w:t>
      </w:r>
      <w:proofErr w:type="spellEnd"/>
      <w:r w:rsidRPr="00B82BDF">
        <w:rPr>
          <w:lang w:bidi="en-US"/>
        </w:rPr>
        <w:t xml:space="preserve"> que les </w:t>
      </w:r>
      <w:proofErr w:type="spellStart"/>
      <w:r w:rsidRPr="00B82BDF">
        <w:rPr>
          <w:lang w:bidi="en-US"/>
        </w:rPr>
        <w:t>autorités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judiciaires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évitent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reproduire</w:t>
      </w:r>
      <w:proofErr w:type="spellEnd"/>
      <w:r w:rsidRPr="00B82BDF">
        <w:rPr>
          <w:lang w:bidi="en-US"/>
        </w:rPr>
        <w:t xml:space="preserve"> des </w:t>
      </w:r>
      <w:proofErr w:type="spellStart"/>
      <w:r w:rsidRPr="00B82BDF">
        <w:rPr>
          <w:lang w:bidi="en-US"/>
        </w:rPr>
        <w:t>stéréotypes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sexistes</w:t>
      </w:r>
      <w:proofErr w:type="spellEnd"/>
      <w:r w:rsidRPr="00B82BDF">
        <w:rPr>
          <w:lang w:bidi="en-US"/>
        </w:rPr>
        <w:t xml:space="preserve"> dans les </w:t>
      </w:r>
      <w:proofErr w:type="spellStart"/>
      <w:r w:rsidRPr="00B82BDF">
        <w:rPr>
          <w:lang w:bidi="en-US"/>
        </w:rPr>
        <w:t>décisions</w:t>
      </w:r>
      <w:proofErr w:type="spellEnd"/>
      <w:r w:rsidRPr="00B82BDF">
        <w:rPr>
          <w:lang w:bidi="en-US"/>
        </w:rPr>
        <w:t xml:space="preserve"> de justice et de </w:t>
      </w:r>
      <w:r w:rsidRPr="00B82BDF">
        <w:rPr>
          <w:lang w:bidi="en-US"/>
        </w:rPr>
        <w:lastRenderedPageBreak/>
        <w:t xml:space="preserve">minimiser les </w:t>
      </w:r>
      <w:proofErr w:type="spellStart"/>
      <w:r w:rsidRPr="00B82BDF">
        <w:rPr>
          <w:lang w:bidi="en-US"/>
        </w:rPr>
        <w:t>violences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fondées</w:t>
      </w:r>
      <w:proofErr w:type="spellEnd"/>
      <w:r w:rsidRPr="00B82BDF">
        <w:rPr>
          <w:lang w:bidi="en-US"/>
        </w:rPr>
        <w:t xml:space="preserve"> sur le genre.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l’espèce</w:t>
      </w:r>
      <w:proofErr w:type="spellEnd"/>
      <w:r w:rsidRPr="00B82BDF">
        <w:rPr>
          <w:lang w:bidi="en-US"/>
        </w:rPr>
        <w:t xml:space="preserve">,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considère</w:t>
      </w:r>
      <w:proofErr w:type="spellEnd"/>
      <w:r w:rsidRPr="00B82BDF">
        <w:rPr>
          <w:lang w:bidi="en-US"/>
        </w:rPr>
        <w:t xml:space="preserve"> que les </w:t>
      </w:r>
      <w:proofErr w:type="spellStart"/>
      <w:r w:rsidRPr="00B82BDF">
        <w:rPr>
          <w:lang w:bidi="en-US"/>
        </w:rPr>
        <w:t>stéréotypes</w:t>
      </w:r>
      <w:proofErr w:type="spellEnd"/>
      <w:r w:rsidRPr="00B82BDF">
        <w:rPr>
          <w:lang w:bidi="en-US"/>
        </w:rPr>
        <w:t xml:space="preserve"> de genre </w:t>
      </w:r>
      <w:proofErr w:type="spellStart"/>
      <w:r w:rsidRPr="00B82BDF">
        <w:rPr>
          <w:lang w:bidi="en-US"/>
        </w:rPr>
        <w:t>adoptés</w:t>
      </w:r>
      <w:proofErr w:type="spellEnd"/>
      <w:r w:rsidRPr="00B82BDF">
        <w:rPr>
          <w:lang w:bidi="en-US"/>
        </w:rPr>
        <w:t xml:space="preserve"> par la chambre de </w:t>
      </w:r>
      <w:proofErr w:type="spellStart"/>
      <w:r w:rsidRPr="00B82BDF">
        <w:rPr>
          <w:lang w:bidi="en-US"/>
        </w:rPr>
        <w:t>l’instruction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d’appel</w:t>
      </w:r>
      <w:proofErr w:type="spellEnd"/>
      <w:r w:rsidRPr="00B82BDF">
        <w:rPr>
          <w:lang w:bidi="en-US"/>
        </w:rPr>
        <w:t xml:space="preserve"> dans son </w:t>
      </w:r>
      <w:proofErr w:type="spellStart"/>
      <w:r w:rsidRPr="00B82BDF">
        <w:rPr>
          <w:lang w:bidi="en-US"/>
        </w:rPr>
        <w:t>arrêt</w:t>
      </w:r>
      <w:proofErr w:type="spellEnd"/>
      <w:r w:rsidRPr="00B82BDF">
        <w:rPr>
          <w:lang w:bidi="en-US"/>
        </w:rPr>
        <w:t xml:space="preserve"> du 12 </w:t>
      </w:r>
      <w:proofErr w:type="spellStart"/>
      <w:r w:rsidRPr="00B82BDF">
        <w:rPr>
          <w:lang w:bidi="en-US"/>
        </w:rPr>
        <w:t>novembre</w:t>
      </w:r>
      <w:proofErr w:type="spellEnd"/>
      <w:r w:rsidRPr="00B82BDF">
        <w:rPr>
          <w:lang w:bidi="en-US"/>
        </w:rPr>
        <w:t xml:space="preserve"> 2020 </w:t>
      </w:r>
      <w:proofErr w:type="spellStart"/>
      <w:r w:rsidRPr="00B82BDF">
        <w:rPr>
          <w:lang w:bidi="en-US"/>
        </w:rPr>
        <w:t>étaient</w:t>
      </w:r>
      <w:proofErr w:type="spellEnd"/>
      <w:r w:rsidRPr="00B82BDF">
        <w:rPr>
          <w:lang w:bidi="en-US"/>
        </w:rPr>
        <w:t xml:space="preserve"> à la </w:t>
      </w:r>
      <w:proofErr w:type="spellStart"/>
      <w:r w:rsidRPr="00B82BDF">
        <w:rPr>
          <w:lang w:bidi="en-US"/>
        </w:rPr>
        <w:t>fois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inopérants</w:t>
      </w:r>
      <w:proofErr w:type="spellEnd"/>
      <w:r w:rsidRPr="00B82BDF">
        <w:rPr>
          <w:lang w:bidi="en-US"/>
        </w:rPr>
        <w:t xml:space="preserve"> et </w:t>
      </w:r>
      <w:proofErr w:type="spellStart"/>
      <w:r w:rsidRPr="00B82BDF">
        <w:rPr>
          <w:lang w:bidi="en-US"/>
        </w:rPr>
        <w:t>attentatoires</w:t>
      </w:r>
      <w:proofErr w:type="spellEnd"/>
      <w:r w:rsidRPr="00B82BDF">
        <w:rPr>
          <w:lang w:bidi="en-US"/>
        </w:rPr>
        <w:t xml:space="preserve"> à la </w:t>
      </w:r>
      <w:proofErr w:type="spellStart"/>
      <w:r w:rsidRPr="00B82BDF">
        <w:rPr>
          <w:lang w:bidi="en-US"/>
        </w:rPr>
        <w:t>dignité</w:t>
      </w:r>
      <w:proofErr w:type="spellEnd"/>
      <w:r w:rsidRPr="00B82BDF">
        <w:rPr>
          <w:lang w:bidi="en-US"/>
        </w:rPr>
        <w:t xml:space="preserve"> de la </w:t>
      </w:r>
      <w:proofErr w:type="spellStart"/>
      <w:r w:rsidRPr="00B82BDF">
        <w:rPr>
          <w:lang w:bidi="en-US"/>
        </w:rPr>
        <w:t>requérante</w:t>
      </w:r>
      <w:proofErr w:type="spellEnd"/>
      <w:r w:rsidRPr="00B82BDF">
        <w:rPr>
          <w:lang w:bidi="en-US"/>
        </w:rPr>
        <w:t xml:space="preserve"> (</w:t>
      </w:r>
      <w:r w:rsidRPr="00B82BDF">
        <w:rPr>
          <w:i/>
          <w:iCs/>
          <w:lang w:bidi="en-US"/>
        </w:rPr>
        <w:t>mutatis mutandis</w:t>
      </w:r>
      <w:r w:rsidRPr="00B82BDF">
        <w:rPr>
          <w:lang w:bidi="en-US"/>
        </w:rPr>
        <w:t xml:space="preserve">, </w:t>
      </w:r>
      <w:r w:rsidRPr="00B82BDF">
        <w:rPr>
          <w:i/>
          <w:iCs/>
          <w:lang w:bidi="en-US"/>
        </w:rPr>
        <w:t>J.L. c. Italie</w:t>
      </w:r>
      <w:r w:rsidRPr="00B82BDF">
        <w:rPr>
          <w:lang w:bidi="en-US"/>
        </w:rPr>
        <w:t xml:space="preserve">, </w:t>
      </w:r>
      <w:proofErr w:type="spellStart"/>
      <w:r w:rsidRPr="00B82BDF">
        <w:rPr>
          <w:lang w:bidi="en-US"/>
        </w:rPr>
        <w:t>précité</w:t>
      </w:r>
      <w:proofErr w:type="spellEnd"/>
      <w:r w:rsidRPr="00B82BDF">
        <w:rPr>
          <w:lang w:bidi="en-US"/>
        </w:rPr>
        <w:t>, §§ 141-142).</w:t>
      </w:r>
    </w:p>
    <w:bookmarkStart w:id="46" w:name="paragraph00230"/>
    <w:p w14:paraId="6462F0AD" w14:textId="77777777" w:rsidR="008A7B1D" w:rsidRPr="00B82BDF" w:rsidRDefault="008A7B1D" w:rsidP="008A7B1D">
      <w:pPr>
        <w:pStyle w:val="ECHRPara"/>
        <w:rPr>
          <w:iCs/>
          <w:lang w:bidi="en-US"/>
        </w:rPr>
      </w:pP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 SEQ level0 \*arabic \* MERGEFORMAT </w:instrText>
      </w:r>
      <w:r w:rsidRPr="00B82BDF">
        <w:rPr>
          <w:lang w:bidi="en-US"/>
        </w:rPr>
        <w:fldChar w:fldCharType="separate"/>
      </w:r>
      <w:r w:rsidRPr="00B82BDF">
        <w:rPr>
          <w:noProof/>
          <w:lang w:bidi="en-US"/>
        </w:rPr>
        <w:t>230</w:t>
      </w:r>
      <w:r w:rsidRPr="00B82BDF">
        <w:rPr>
          <w:lang w:bidi="en-US"/>
        </w:rPr>
        <w:fldChar w:fldCharType="end"/>
      </w:r>
      <w:bookmarkEnd w:id="46"/>
      <w:r w:rsidRPr="00B82BDF">
        <w:rPr>
          <w:lang w:bidi="en-US"/>
        </w:rPr>
        <w:t>.  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ce</w:t>
      </w:r>
      <w:proofErr w:type="spellEnd"/>
      <w:r w:rsidRPr="00B82BDF">
        <w:rPr>
          <w:lang w:bidi="en-US"/>
        </w:rPr>
        <w:t xml:space="preserve"> qui </w:t>
      </w:r>
      <w:proofErr w:type="spellStart"/>
      <w:r w:rsidRPr="00B82BDF">
        <w:rPr>
          <w:lang w:bidi="en-US"/>
        </w:rPr>
        <w:t>concerne</w:t>
      </w:r>
      <w:proofErr w:type="spellEnd"/>
      <w:r w:rsidRPr="00B82BDF">
        <w:rPr>
          <w:lang w:bidi="en-US"/>
        </w:rPr>
        <w:t xml:space="preserve"> le grief </w:t>
      </w:r>
      <w:proofErr w:type="spellStart"/>
      <w:r w:rsidRPr="00B82BDF">
        <w:rPr>
          <w:lang w:bidi="en-US"/>
        </w:rPr>
        <w:t>tiré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l’article</w:t>
      </w:r>
      <w:proofErr w:type="spellEnd"/>
      <w:r w:rsidRPr="00B82BDF">
        <w:rPr>
          <w:lang w:bidi="en-US"/>
        </w:rPr>
        <w:t xml:space="preserve"> 14 </w:t>
      </w:r>
      <w:proofErr w:type="spellStart"/>
      <w:r w:rsidRPr="00B82BDF">
        <w:rPr>
          <w:lang w:bidi="en-US"/>
        </w:rPr>
        <w:t>combiné</w:t>
      </w:r>
      <w:proofErr w:type="spellEnd"/>
      <w:r w:rsidRPr="00B82BDF">
        <w:rPr>
          <w:lang w:bidi="en-US"/>
        </w:rPr>
        <w:t xml:space="preserve"> avec les articles 3 et 8 de la Convention,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considère</w:t>
      </w:r>
      <w:proofErr w:type="spellEnd"/>
      <w:r w:rsidRPr="00B82BDF">
        <w:rPr>
          <w:lang w:bidi="en-US"/>
        </w:rPr>
        <w:t xml:space="preserve"> que </w:t>
      </w:r>
      <w:proofErr w:type="spellStart"/>
      <w:r w:rsidRPr="00B82BDF">
        <w:rPr>
          <w:lang w:bidi="en-US"/>
        </w:rPr>
        <w:t>ses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précédentes</w:t>
      </w:r>
      <w:proofErr w:type="spellEnd"/>
      <w:r w:rsidRPr="00B82BDF">
        <w:rPr>
          <w:lang w:bidi="en-US"/>
        </w:rPr>
        <w:t xml:space="preserve"> constatations relatives à la victimisation </w:t>
      </w:r>
      <w:proofErr w:type="spellStart"/>
      <w:r w:rsidRPr="00B82BDF">
        <w:rPr>
          <w:lang w:bidi="en-US"/>
        </w:rPr>
        <w:t>secondaire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subie</w:t>
      </w:r>
      <w:proofErr w:type="spellEnd"/>
      <w:r w:rsidRPr="00B82BDF">
        <w:rPr>
          <w:lang w:bidi="en-US"/>
        </w:rPr>
        <w:t xml:space="preserve"> par L. </w:t>
      </w:r>
      <w:proofErr w:type="spellStart"/>
      <w:r w:rsidRPr="00B82BDF">
        <w:rPr>
          <w:lang w:bidi="en-US"/>
        </w:rPr>
        <w:t>sont</w:t>
      </w:r>
      <w:proofErr w:type="spellEnd"/>
      <w:r w:rsidRPr="00B82BDF">
        <w:rPr>
          <w:lang w:bidi="en-US"/>
        </w:rPr>
        <w:t xml:space="preserve"> suffisantes pour </w:t>
      </w:r>
      <w:proofErr w:type="spellStart"/>
      <w:r w:rsidRPr="00B82BDF">
        <w:rPr>
          <w:lang w:bidi="en-US"/>
        </w:rPr>
        <w:t>lui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permettre</w:t>
      </w:r>
      <w:proofErr w:type="spellEnd"/>
      <w:r w:rsidRPr="00B82BDF">
        <w:rPr>
          <w:lang w:bidi="en-US"/>
        </w:rPr>
        <w:t xml:space="preserve"> de </w:t>
      </w:r>
      <w:proofErr w:type="spellStart"/>
      <w:r w:rsidRPr="00B82BDF">
        <w:rPr>
          <w:lang w:bidi="en-US"/>
        </w:rPr>
        <w:t>conclure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également</w:t>
      </w:r>
      <w:proofErr w:type="spellEnd"/>
      <w:r w:rsidRPr="00B82BDF">
        <w:rPr>
          <w:lang w:bidi="en-US"/>
        </w:rPr>
        <w:t xml:space="preserve"> que les motifs de </w:t>
      </w:r>
      <w:proofErr w:type="spellStart"/>
      <w:r w:rsidRPr="00B82BDF">
        <w:rPr>
          <w:lang w:bidi="en-US"/>
        </w:rPr>
        <w:t>l’arrêt</w:t>
      </w:r>
      <w:proofErr w:type="spellEnd"/>
      <w:r w:rsidRPr="00B82BDF">
        <w:rPr>
          <w:lang w:bidi="en-US"/>
        </w:rPr>
        <w:t xml:space="preserve"> de la chambre de </w:t>
      </w:r>
      <w:proofErr w:type="spellStart"/>
      <w:r w:rsidRPr="00B82BDF">
        <w:rPr>
          <w:lang w:bidi="en-US"/>
        </w:rPr>
        <w:t>l’instruction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sont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empreints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d’une</w:t>
      </w:r>
      <w:proofErr w:type="spellEnd"/>
      <w:r w:rsidRPr="00B82BDF">
        <w:rPr>
          <w:lang w:bidi="en-US"/>
        </w:rPr>
        <w:t xml:space="preserve"> discrimination </w:t>
      </w:r>
      <w:proofErr w:type="spellStart"/>
      <w:r w:rsidRPr="00B82BDF">
        <w:rPr>
          <w:lang w:bidi="en-US"/>
        </w:rPr>
        <w:t>fondée</w:t>
      </w:r>
      <w:proofErr w:type="spellEnd"/>
      <w:r w:rsidRPr="00B82BDF">
        <w:rPr>
          <w:lang w:bidi="en-US"/>
        </w:rPr>
        <w:t xml:space="preserve"> sur le </w:t>
      </w:r>
      <w:proofErr w:type="spellStart"/>
      <w:r w:rsidRPr="00B82BDF">
        <w:rPr>
          <w:lang w:bidi="en-US"/>
        </w:rPr>
        <w:t>sexe</w:t>
      </w:r>
      <w:proofErr w:type="spellEnd"/>
      <w:r w:rsidRPr="00B82BDF">
        <w:rPr>
          <w:lang w:bidi="en-US"/>
        </w:rPr>
        <w:t xml:space="preserve"> (comparer,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matière de violence domestique </w:t>
      </w:r>
      <w:proofErr w:type="spellStart"/>
      <w:r w:rsidRPr="00B82BDF">
        <w:rPr>
          <w:lang w:bidi="en-US"/>
        </w:rPr>
        <w:t>qualifiée</w:t>
      </w:r>
      <w:proofErr w:type="spellEnd"/>
      <w:r w:rsidRPr="00B82BDF">
        <w:rPr>
          <w:lang w:bidi="en-US"/>
        </w:rPr>
        <w:t xml:space="preserve"> de violence </w:t>
      </w:r>
      <w:proofErr w:type="spellStart"/>
      <w:r w:rsidRPr="00B82BDF">
        <w:rPr>
          <w:lang w:bidi="en-US"/>
        </w:rPr>
        <w:t>fondée</w:t>
      </w:r>
      <w:proofErr w:type="spellEnd"/>
      <w:r w:rsidRPr="00B82BDF">
        <w:rPr>
          <w:lang w:bidi="en-US"/>
        </w:rPr>
        <w:t xml:space="preserve"> sur le </w:t>
      </w:r>
      <w:proofErr w:type="spellStart"/>
      <w:r w:rsidRPr="00B82BDF">
        <w:rPr>
          <w:lang w:bidi="en-US"/>
        </w:rPr>
        <w:t>sexe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constituant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elle-même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une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forme</w:t>
      </w:r>
      <w:proofErr w:type="spellEnd"/>
      <w:r w:rsidRPr="00B82BDF">
        <w:rPr>
          <w:lang w:bidi="en-US"/>
        </w:rPr>
        <w:t xml:space="preserve"> de discrimination à </w:t>
      </w:r>
      <w:proofErr w:type="spellStart"/>
      <w:r w:rsidRPr="00B82BDF">
        <w:rPr>
          <w:lang w:bidi="en-US"/>
        </w:rPr>
        <w:t>l’égard</w:t>
      </w:r>
      <w:proofErr w:type="spellEnd"/>
      <w:r w:rsidRPr="00B82BDF">
        <w:rPr>
          <w:lang w:bidi="en-US"/>
        </w:rPr>
        <w:t xml:space="preserve"> des femmes,</w:t>
      </w:r>
      <w:r w:rsidRPr="00B82BDF">
        <w:rPr>
          <w:i/>
          <w:iCs/>
          <w:lang w:bidi="en-US"/>
        </w:rPr>
        <w:t xml:space="preserve"> </w:t>
      </w:r>
      <w:proofErr w:type="spellStart"/>
      <w:r w:rsidRPr="00B82BDF">
        <w:rPr>
          <w:i/>
          <w:iCs/>
          <w:lang w:bidi="en-US"/>
        </w:rPr>
        <w:t>Opuz</w:t>
      </w:r>
      <w:proofErr w:type="spellEnd"/>
      <w:r w:rsidRPr="00B82BDF">
        <w:rPr>
          <w:i/>
          <w:iCs/>
          <w:lang w:bidi="en-US"/>
        </w:rPr>
        <w:t xml:space="preserve"> c. </w:t>
      </w:r>
      <w:proofErr w:type="spellStart"/>
      <w:r w:rsidRPr="00B82BDF">
        <w:rPr>
          <w:i/>
          <w:iCs/>
          <w:lang w:bidi="en-US"/>
        </w:rPr>
        <w:t>Turquie</w:t>
      </w:r>
      <w:proofErr w:type="spellEnd"/>
      <w:r w:rsidRPr="00B82BDF">
        <w:rPr>
          <w:lang w:bidi="en-US"/>
        </w:rPr>
        <w:t>, n</w:t>
      </w:r>
      <w:r w:rsidRPr="00B82BDF">
        <w:rPr>
          <w:vertAlign w:val="superscript"/>
          <w:lang w:bidi="en-US"/>
        </w:rPr>
        <w:t>o</w:t>
      </w:r>
      <w:r w:rsidRPr="00B82BDF">
        <w:rPr>
          <w:lang w:bidi="en-US"/>
        </w:rPr>
        <w:t> 33401/02, §§ 184</w:t>
      </w:r>
      <w:r w:rsidRPr="00B82BDF">
        <w:rPr>
          <w:lang w:bidi="en-US"/>
        </w:rPr>
        <w:noBreakHyphen/>
        <w:t xml:space="preserve">191 et 200, CEDH 2009, </w:t>
      </w:r>
      <w:proofErr w:type="spellStart"/>
      <w:r w:rsidRPr="00B82BDF">
        <w:rPr>
          <w:i/>
          <w:iCs/>
          <w:lang w:bidi="en-US"/>
        </w:rPr>
        <w:t>Halime</w:t>
      </w:r>
      <w:proofErr w:type="spellEnd"/>
      <w:r w:rsidRPr="00B82BDF">
        <w:rPr>
          <w:i/>
          <w:iCs/>
          <w:lang w:bidi="en-US"/>
        </w:rPr>
        <w:t xml:space="preserve"> </w:t>
      </w:r>
      <w:proofErr w:type="spellStart"/>
      <w:r w:rsidRPr="00B82BDF">
        <w:rPr>
          <w:i/>
          <w:iCs/>
          <w:lang w:bidi="en-US"/>
        </w:rPr>
        <w:t>Kılıç</w:t>
      </w:r>
      <w:proofErr w:type="spellEnd"/>
      <w:r w:rsidRPr="00B82BDF">
        <w:rPr>
          <w:i/>
          <w:iCs/>
          <w:lang w:bidi="en-US"/>
        </w:rPr>
        <w:t xml:space="preserve"> c. </w:t>
      </w:r>
      <w:proofErr w:type="spellStart"/>
      <w:r w:rsidRPr="00B82BDF">
        <w:rPr>
          <w:i/>
          <w:iCs/>
          <w:lang w:bidi="en-US"/>
        </w:rPr>
        <w:t>Turquie</w:t>
      </w:r>
      <w:proofErr w:type="spellEnd"/>
      <w:r w:rsidRPr="00B82BDF">
        <w:rPr>
          <w:lang w:bidi="en-US"/>
        </w:rPr>
        <w:t>, n</w:t>
      </w:r>
      <w:r w:rsidRPr="00B82BDF">
        <w:rPr>
          <w:vertAlign w:val="superscript"/>
          <w:lang w:bidi="en-US"/>
        </w:rPr>
        <w:t>o</w:t>
      </w:r>
      <w:r w:rsidRPr="00B82BDF">
        <w:rPr>
          <w:lang w:bidi="en-US"/>
        </w:rPr>
        <w:t xml:space="preserve"> 63034/11, § 113, 28 </w:t>
      </w:r>
      <w:proofErr w:type="spellStart"/>
      <w:r w:rsidRPr="00B82BDF">
        <w:rPr>
          <w:lang w:bidi="en-US"/>
        </w:rPr>
        <w:t>juin</w:t>
      </w:r>
      <w:proofErr w:type="spellEnd"/>
      <w:r w:rsidRPr="00B82BDF">
        <w:rPr>
          <w:lang w:bidi="en-US"/>
        </w:rPr>
        <w:t xml:space="preserve"> 2016,</w:t>
      </w:r>
      <w:r w:rsidRPr="00B82BDF">
        <w:rPr>
          <w:i/>
          <w:iCs/>
          <w:lang w:bidi="en-US"/>
        </w:rPr>
        <w:t xml:space="preserve"> </w:t>
      </w:r>
      <w:proofErr w:type="spellStart"/>
      <w:r w:rsidRPr="00B82BDF">
        <w:rPr>
          <w:i/>
          <w:iCs/>
          <w:lang w:bidi="en-US"/>
        </w:rPr>
        <w:t>Tkhelidze</w:t>
      </w:r>
      <w:proofErr w:type="spellEnd"/>
      <w:r w:rsidRPr="00B82BDF">
        <w:rPr>
          <w:i/>
          <w:iCs/>
          <w:lang w:bidi="en-US"/>
        </w:rPr>
        <w:t xml:space="preserve"> c. </w:t>
      </w:r>
      <w:proofErr w:type="spellStart"/>
      <w:r w:rsidRPr="00B82BDF">
        <w:rPr>
          <w:i/>
          <w:iCs/>
          <w:lang w:bidi="en-US"/>
        </w:rPr>
        <w:t>Géorgie</w:t>
      </w:r>
      <w:proofErr w:type="spellEnd"/>
      <w:r w:rsidRPr="00B82BDF">
        <w:rPr>
          <w:lang w:bidi="en-US"/>
        </w:rPr>
        <w:t>, n</w:t>
      </w:r>
      <w:r w:rsidRPr="00B82BDF">
        <w:rPr>
          <w:vertAlign w:val="superscript"/>
          <w:lang w:bidi="en-US"/>
        </w:rPr>
        <w:t>o</w:t>
      </w:r>
      <w:r w:rsidRPr="00B82BDF">
        <w:rPr>
          <w:lang w:bidi="en-US"/>
        </w:rPr>
        <w:t> 33056/17, § 51, 8 </w:t>
      </w:r>
      <w:proofErr w:type="spellStart"/>
      <w:r w:rsidRPr="00B82BDF">
        <w:rPr>
          <w:lang w:bidi="en-US"/>
        </w:rPr>
        <w:t>juillet</w:t>
      </w:r>
      <w:proofErr w:type="spellEnd"/>
      <w:r w:rsidRPr="00B82BDF">
        <w:rPr>
          <w:lang w:bidi="en-US"/>
        </w:rPr>
        <w:t xml:space="preserve"> 2021, et </w:t>
      </w:r>
      <w:r w:rsidRPr="00B82BDF">
        <w:rPr>
          <w:i/>
          <w:iCs/>
          <w:lang w:bidi="en-US"/>
        </w:rPr>
        <w:t>A.E. c. </w:t>
      </w:r>
      <w:proofErr w:type="spellStart"/>
      <w:r w:rsidRPr="00B82BDF">
        <w:rPr>
          <w:i/>
          <w:iCs/>
          <w:lang w:bidi="en-US"/>
        </w:rPr>
        <w:t>Bulgarie</w:t>
      </w:r>
      <w:proofErr w:type="spellEnd"/>
      <w:r w:rsidRPr="00B82BDF">
        <w:rPr>
          <w:lang w:bidi="en-US"/>
        </w:rPr>
        <w:t>, n</w:t>
      </w:r>
      <w:r w:rsidRPr="00B82BDF">
        <w:rPr>
          <w:vertAlign w:val="superscript"/>
          <w:lang w:bidi="en-US"/>
        </w:rPr>
        <w:t>o</w:t>
      </w:r>
      <w:r w:rsidRPr="00B82BDF">
        <w:rPr>
          <w:lang w:bidi="en-US"/>
        </w:rPr>
        <w:t xml:space="preserve"> 53891/20, § 116, 23 </w:t>
      </w:r>
      <w:proofErr w:type="spellStart"/>
      <w:r w:rsidRPr="00B82BDF">
        <w:rPr>
          <w:lang w:bidi="en-US"/>
        </w:rPr>
        <w:t>mai</w:t>
      </w:r>
      <w:proofErr w:type="spellEnd"/>
      <w:r w:rsidRPr="00B82BDF">
        <w:rPr>
          <w:lang w:bidi="en-US"/>
        </w:rPr>
        <w:t xml:space="preserve"> 2023).</w:t>
      </w:r>
    </w:p>
    <w:p w14:paraId="42B7FA95" w14:textId="77777777" w:rsidR="008A7B1D" w:rsidRPr="00B82BDF" w:rsidRDefault="008A7B1D" w:rsidP="008A7B1D">
      <w:pPr>
        <w:pStyle w:val="ECHRPara"/>
        <w:rPr>
          <w:lang w:bidi="en-US"/>
        </w:rPr>
      </w:pP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 SEQ level0 \*arabic \* MERGEFORMAT </w:instrText>
      </w:r>
      <w:r w:rsidRPr="00B82BDF">
        <w:rPr>
          <w:lang w:bidi="en-US"/>
        </w:rPr>
        <w:fldChar w:fldCharType="separate"/>
      </w:r>
      <w:r w:rsidRPr="00B82BDF">
        <w:rPr>
          <w:noProof/>
          <w:lang w:bidi="en-US"/>
        </w:rPr>
        <w:t>231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.  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relève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enfin</w:t>
      </w:r>
      <w:proofErr w:type="spellEnd"/>
      <w:r w:rsidRPr="00B82BDF">
        <w:rPr>
          <w:lang w:bidi="en-US"/>
        </w:rPr>
        <w:t xml:space="preserve"> que la </w:t>
      </w:r>
      <w:proofErr w:type="spellStart"/>
      <w:r w:rsidRPr="00B82BDF">
        <w:rPr>
          <w:lang w:bidi="en-US"/>
        </w:rPr>
        <w:t>Cour</w:t>
      </w:r>
      <w:proofErr w:type="spellEnd"/>
      <w:r w:rsidRPr="00B82BDF">
        <w:rPr>
          <w:lang w:bidi="en-US"/>
        </w:rPr>
        <w:t xml:space="preserve"> de cassation ne </w:t>
      </w:r>
      <w:proofErr w:type="spellStart"/>
      <w:r w:rsidRPr="00B82BDF">
        <w:rPr>
          <w:lang w:bidi="en-US"/>
        </w:rPr>
        <w:t>s’est</w:t>
      </w:r>
      <w:proofErr w:type="spellEnd"/>
      <w:r w:rsidRPr="00B82BDF">
        <w:rPr>
          <w:lang w:bidi="en-US"/>
        </w:rPr>
        <w:t xml:space="preserve"> pas </w:t>
      </w:r>
      <w:proofErr w:type="spellStart"/>
      <w:r w:rsidRPr="00B82BDF">
        <w:rPr>
          <w:lang w:bidi="en-US"/>
        </w:rPr>
        <w:t>prononcée</w:t>
      </w:r>
      <w:proofErr w:type="spellEnd"/>
      <w:r w:rsidRPr="00B82BDF">
        <w:rPr>
          <w:lang w:bidi="en-US"/>
        </w:rPr>
        <w:t xml:space="preserve"> sur </w:t>
      </w:r>
      <w:proofErr w:type="spellStart"/>
      <w:r w:rsidRPr="00B82BDF">
        <w:rPr>
          <w:lang w:bidi="en-US"/>
        </w:rPr>
        <w:t>ce</w:t>
      </w:r>
      <w:proofErr w:type="spellEnd"/>
      <w:r w:rsidRPr="00B82BDF">
        <w:rPr>
          <w:lang w:bidi="en-US"/>
        </w:rPr>
        <w:t xml:space="preserve"> point malgré </w:t>
      </w:r>
      <w:proofErr w:type="spellStart"/>
      <w:r w:rsidRPr="00B82BDF">
        <w:rPr>
          <w:lang w:bidi="en-US"/>
        </w:rPr>
        <w:t>l’invocation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devant</w:t>
      </w:r>
      <w:proofErr w:type="spellEnd"/>
      <w:r w:rsidRPr="00B82BDF">
        <w:rPr>
          <w:lang w:bidi="en-US"/>
        </w:rPr>
        <w:t xml:space="preserve"> </w:t>
      </w:r>
      <w:proofErr w:type="spellStart"/>
      <w:r w:rsidRPr="00B82BDF">
        <w:rPr>
          <w:lang w:bidi="en-US"/>
        </w:rPr>
        <w:t>elle</w:t>
      </w:r>
      <w:proofErr w:type="spellEnd"/>
      <w:r w:rsidRPr="00B82BDF">
        <w:rPr>
          <w:lang w:bidi="en-US"/>
        </w:rPr>
        <w:t xml:space="preserve"> des articles 3, 8 et 14 de la Convention et de la Convention </w:t>
      </w:r>
      <w:proofErr w:type="spellStart"/>
      <w:r w:rsidRPr="00B82BDF">
        <w:rPr>
          <w:lang w:bidi="en-US"/>
        </w:rPr>
        <w:t>d’Istanbul</w:t>
      </w:r>
      <w:proofErr w:type="spellEnd"/>
      <w:r w:rsidRPr="00B82BDF">
        <w:rPr>
          <w:lang w:bidi="en-US"/>
        </w:rPr>
        <w:t xml:space="preserve"> (</w:t>
      </w:r>
      <w:proofErr w:type="spellStart"/>
      <w:r w:rsidRPr="00B82BDF">
        <w:rPr>
          <w:lang w:bidi="en-US"/>
        </w:rPr>
        <w:t>paragraphes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paragraph00032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32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et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paragraph00035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35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ci-dessus).</w:t>
      </w:r>
    </w:p>
    <w:bookmarkStart w:id="47" w:name="paragraph00232"/>
    <w:p w14:paraId="271508E3" w14:textId="77777777" w:rsidR="008A7B1D" w:rsidRPr="00B82BDF" w:rsidRDefault="008A7B1D" w:rsidP="008A7B1D">
      <w:pPr>
        <w:pStyle w:val="ECHRPara"/>
        <w:rPr>
          <w:iCs/>
          <w:lang w:bidi="en-US"/>
        </w:rPr>
      </w:pPr>
      <w:r w:rsidRPr="00B82BDF">
        <w:rPr>
          <w:rFonts w:ascii="Times New Roman" w:hAnsi="Times New Roman" w:cs="Times New Roman"/>
          <w:iCs/>
        </w:rPr>
        <w:fldChar w:fldCharType="begin"/>
      </w:r>
      <w:r w:rsidRPr="00B82BDF">
        <w:rPr>
          <w:rFonts w:ascii="Times New Roman" w:hAnsi="Times New Roman" w:cs="Times New Roman"/>
          <w:iCs/>
        </w:rPr>
        <w:instrText xml:space="preserve"> SEQ level0 \*arabic \* MERGEFORMAT </w:instrText>
      </w:r>
      <w:r w:rsidRPr="00B82BDF">
        <w:rPr>
          <w:rFonts w:ascii="Times New Roman" w:hAnsi="Times New Roman" w:cs="Times New Roman"/>
          <w:iCs/>
        </w:rPr>
        <w:fldChar w:fldCharType="separate"/>
      </w:r>
      <w:r w:rsidRPr="00B82BDF">
        <w:rPr>
          <w:rFonts w:ascii="Times New Roman" w:hAnsi="Times New Roman" w:cs="Times New Roman"/>
          <w:iCs/>
          <w:noProof/>
        </w:rPr>
        <w:t>232</w:t>
      </w:r>
      <w:r w:rsidRPr="00B82BDF">
        <w:rPr>
          <w:rFonts w:ascii="Times New Roman" w:hAnsi="Times New Roman" w:cs="Times New Roman"/>
          <w:iCs/>
        </w:rPr>
        <w:fldChar w:fldCharType="end"/>
      </w:r>
      <w:bookmarkEnd w:id="47"/>
      <w:r w:rsidRPr="00B82BDF">
        <w:rPr>
          <w:rFonts w:ascii="Times New Roman" w:hAnsi="Times New Roman" w:cs="Times New Roman"/>
          <w:iCs/>
        </w:rPr>
        <w:t xml:space="preserve">.  De </w:t>
      </w:r>
      <w:proofErr w:type="spellStart"/>
      <w:r w:rsidRPr="00B82BDF">
        <w:rPr>
          <w:rFonts w:ascii="Times New Roman" w:hAnsi="Times New Roman" w:cs="Times New Roman"/>
          <w:iCs/>
        </w:rPr>
        <w:t>l’ensemble</w:t>
      </w:r>
      <w:proofErr w:type="spellEnd"/>
      <w:r w:rsidRPr="00B82BDF">
        <w:rPr>
          <w:rFonts w:ascii="Times New Roman" w:hAnsi="Times New Roman" w:cs="Times New Roman"/>
          <w:iCs/>
        </w:rPr>
        <w:t xml:space="preserve"> des </w:t>
      </w:r>
      <w:proofErr w:type="spellStart"/>
      <w:r w:rsidRPr="00B82BDF">
        <w:rPr>
          <w:rFonts w:ascii="Times New Roman" w:hAnsi="Times New Roman" w:cs="Times New Roman"/>
          <w:iCs/>
        </w:rPr>
        <w:t>considérations</w:t>
      </w:r>
      <w:proofErr w:type="spellEnd"/>
      <w:r w:rsidRPr="00B82BDF">
        <w:rPr>
          <w:rFonts w:ascii="Times New Roman" w:hAnsi="Times New Roman" w:cs="Times New Roman"/>
          <w:iCs/>
        </w:rPr>
        <w:t xml:space="preserve"> qui </w:t>
      </w:r>
      <w:proofErr w:type="spellStart"/>
      <w:r w:rsidRPr="00B82BDF">
        <w:rPr>
          <w:rFonts w:ascii="Times New Roman" w:hAnsi="Times New Roman" w:cs="Times New Roman"/>
          <w:iCs/>
        </w:rPr>
        <w:t>précèdent</w:t>
      </w:r>
      <w:proofErr w:type="spellEnd"/>
      <w:r w:rsidRPr="00B82BDF">
        <w:rPr>
          <w:rFonts w:ascii="Times New Roman" w:hAnsi="Times New Roman" w:cs="Times New Roman"/>
          <w:iCs/>
        </w:rPr>
        <w:t xml:space="preserve">, la </w:t>
      </w:r>
      <w:proofErr w:type="spellStart"/>
      <w:r w:rsidRPr="00B82BDF">
        <w:rPr>
          <w:rFonts w:ascii="Times New Roman" w:hAnsi="Times New Roman" w:cs="Times New Roman"/>
          <w:iCs/>
        </w:rPr>
        <w:t>Cour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déduit</w:t>
      </w:r>
      <w:proofErr w:type="spellEnd"/>
      <w:r w:rsidRPr="00B82BDF">
        <w:rPr>
          <w:rFonts w:ascii="Times New Roman" w:hAnsi="Times New Roman" w:cs="Times New Roman"/>
          <w:iCs/>
        </w:rPr>
        <w:t xml:space="preserve"> que, </w:t>
      </w:r>
      <w:proofErr w:type="spellStart"/>
      <w:r w:rsidRPr="00B82BDF">
        <w:rPr>
          <w:rFonts w:ascii="Times New Roman" w:hAnsi="Times New Roman" w:cs="Times New Roman"/>
          <w:iCs/>
        </w:rPr>
        <w:t>compte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tenu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la </w:t>
      </w:r>
      <w:proofErr w:type="spellStart"/>
      <w:r w:rsidRPr="00B82BDF">
        <w:rPr>
          <w:rFonts w:ascii="Times New Roman" w:hAnsi="Times New Roman" w:cs="Times New Roman"/>
          <w:color w:val="000000"/>
        </w:rPr>
        <w:t>fois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du cadre </w:t>
      </w:r>
      <w:proofErr w:type="spellStart"/>
      <w:r w:rsidRPr="00B82BDF">
        <w:rPr>
          <w:rFonts w:ascii="Times New Roman" w:hAnsi="Times New Roman" w:cs="Times New Roman"/>
          <w:color w:val="000000"/>
        </w:rPr>
        <w:t>juridique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vigueur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la date des faits </w:t>
      </w:r>
      <w:proofErr w:type="spellStart"/>
      <w:r w:rsidRPr="00B82BDF">
        <w:rPr>
          <w:rFonts w:ascii="Times New Roman" w:hAnsi="Times New Roman" w:cs="Times New Roman"/>
          <w:color w:val="000000"/>
        </w:rPr>
        <w:t>litigieux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et de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l’application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qui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B82BDF">
        <w:rPr>
          <w:rFonts w:ascii="Times New Roman" w:hAnsi="Times New Roman" w:cs="Times New Roman"/>
          <w:color w:val="000000"/>
        </w:rPr>
        <w:t>été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faite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l’espèce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les </w:t>
      </w:r>
      <w:proofErr w:type="spellStart"/>
      <w:r w:rsidRPr="00B82BDF">
        <w:rPr>
          <w:rFonts w:ascii="Times New Roman" w:hAnsi="Times New Roman" w:cs="Times New Roman"/>
          <w:color w:val="000000"/>
        </w:rPr>
        <w:t>défaillances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</w:t>
      </w:r>
      <w:proofErr w:type="spellStart"/>
      <w:r w:rsidRPr="00B82BDF">
        <w:rPr>
          <w:rFonts w:ascii="Times New Roman" w:hAnsi="Times New Roman" w:cs="Times New Roman"/>
          <w:color w:val="000000"/>
        </w:rPr>
        <w:t>autorités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nationales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relatives tant au manque </w:t>
      </w:r>
      <w:proofErr w:type="spellStart"/>
      <w:r w:rsidRPr="00B82BDF">
        <w:rPr>
          <w:rFonts w:ascii="Times New Roman" w:hAnsi="Times New Roman" w:cs="Times New Roman"/>
          <w:color w:val="000000"/>
        </w:rPr>
        <w:t>de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diligence et de </w:t>
      </w:r>
      <w:proofErr w:type="spellStart"/>
      <w:r w:rsidRPr="00B82BDF">
        <w:rPr>
          <w:rFonts w:ascii="Times New Roman" w:hAnsi="Times New Roman" w:cs="Times New Roman"/>
          <w:color w:val="000000"/>
        </w:rPr>
        <w:t>célérité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B82BDF">
        <w:rPr>
          <w:rFonts w:ascii="Times New Roman" w:hAnsi="Times New Roman" w:cs="Times New Roman"/>
          <w:color w:val="000000"/>
        </w:rPr>
        <w:t>procédure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qu’aux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modalités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d’évaluation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</w:t>
      </w:r>
      <w:r w:rsidRPr="00B82BDF">
        <w:rPr>
          <w:rFonts w:ascii="Times New Roman" w:hAnsi="Times New Roman" w:cs="Times New Roman"/>
          <w:iCs/>
        </w:rPr>
        <w:t xml:space="preserve">la </w:t>
      </w:r>
      <w:proofErr w:type="spellStart"/>
      <w:r w:rsidRPr="00B82BDF">
        <w:rPr>
          <w:rFonts w:ascii="Times New Roman" w:hAnsi="Times New Roman" w:cs="Times New Roman"/>
          <w:iCs/>
        </w:rPr>
        <w:t>réalité</w:t>
      </w:r>
      <w:proofErr w:type="spellEnd"/>
      <w:r w:rsidRPr="00B82BDF">
        <w:rPr>
          <w:rFonts w:ascii="Times New Roman" w:hAnsi="Times New Roman" w:cs="Times New Roman"/>
          <w:iCs/>
        </w:rPr>
        <w:t xml:space="preserve"> de son </w:t>
      </w:r>
      <w:proofErr w:type="spellStart"/>
      <w:r w:rsidRPr="00B82BDF">
        <w:rPr>
          <w:rFonts w:ascii="Times New Roman" w:hAnsi="Times New Roman" w:cs="Times New Roman"/>
          <w:iCs/>
        </w:rPr>
        <w:t>consentement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ont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Pr="00B82BDF">
        <w:rPr>
          <w:rFonts w:ascii="Times New Roman" w:hAnsi="Times New Roman" w:cs="Times New Roman"/>
          <w:color w:val="000000"/>
        </w:rPr>
        <w:t>seulement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privé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B82BDF">
        <w:rPr>
          <w:rFonts w:ascii="Times New Roman" w:hAnsi="Times New Roman" w:cs="Times New Roman"/>
          <w:color w:val="000000"/>
        </w:rPr>
        <w:t>requérante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d’une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protection </w:t>
      </w:r>
      <w:proofErr w:type="spellStart"/>
      <w:r w:rsidRPr="00B82BDF">
        <w:rPr>
          <w:rFonts w:ascii="Times New Roman" w:hAnsi="Times New Roman" w:cs="Times New Roman"/>
          <w:color w:val="000000"/>
        </w:rPr>
        <w:t>appropriée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mais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l’ont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aussi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exposée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B82BDF">
        <w:rPr>
          <w:rFonts w:ascii="Times New Roman" w:hAnsi="Times New Roman" w:cs="Times New Roman"/>
          <w:color w:val="000000"/>
        </w:rPr>
        <w:t>subir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victimisation </w:t>
      </w:r>
      <w:proofErr w:type="spellStart"/>
      <w:r w:rsidRPr="00B82BDF">
        <w:rPr>
          <w:iCs/>
        </w:rPr>
        <w:t>secondaire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caractérisant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également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discrimination.</w:t>
      </w:r>
    </w:p>
    <w:p w14:paraId="6D02AF60" w14:textId="77777777" w:rsidR="008A7B1D" w:rsidRPr="00B82BDF" w:rsidRDefault="008A7B1D" w:rsidP="008A7B1D">
      <w:pPr>
        <w:pStyle w:val="ECHRPara"/>
        <w:rPr>
          <w:iCs/>
          <w:lang w:bidi="en-US"/>
        </w:rPr>
      </w:pPr>
      <w:r w:rsidRPr="00B82BDF">
        <w:rPr>
          <w:iCs/>
          <w:lang w:bidi="en-US"/>
        </w:rPr>
        <w:fldChar w:fldCharType="begin"/>
      </w:r>
      <w:r w:rsidRPr="00B82BDF">
        <w:rPr>
          <w:iCs/>
          <w:lang w:bidi="en-US"/>
        </w:rPr>
        <w:instrText xml:space="preserve"> SEQ level0 \*arabic \* MERGEFORMAT </w:instrText>
      </w:r>
      <w:r w:rsidRPr="00B82BDF">
        <w:rPr>
          <w:iCs/>
          <w:lang w:bidi="en-US"/>
        </w:rPr>
        <w:fldChar w:fldCharType="separate"/>
      </w:r>
      <w:r w:rsidRPr="00B82BDF">
        <w:rPr>
          <w:iCs/>
          <w:noProof/>
          <w:lang w:bidi="en-US"/>
        </w:rPr>
        <w:t>233</w:t>
      </w:r>
      <w:r w:rsidRPr="00B82BDF">
        <w:rPr>
          <w:iCs/>
          <w:lang w:bidi="en-US"/>
        </w:rPr>
        <w:fldChar w:fldCharType="end"/>
      </w:r>
      <w:r w:rsidRPr="00B82BDF">
        <w:rPr>
          <w:iCs/>
          <w:lang w:bidi="en-US"/>
        </w:rPr>
        <w:t xml:space="preserve">.  Il </w:t>
      </w:r>
      <w:proofErr w:type="spellStart"/>
      <w:r w:rsidRPr="00B82BDF">
        <w:rPr>
          <w:iCs/>
          <w:lang w:bidi="en-US"/>
        </w:rPr>
        <w:t>en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résulte</w:t>
      </w:r>
      <w:proofErr w:type="spellEnd"/>
      <w:r w:rsidRPr="00B82BDF">
        <w:rPr>
          <w:iCs/>
          <w:lang w:bidi="en-US"/>
        </w:rPr>
        <w:t xml:space="preserve"> que </w:t>
      </w:r>
      <w:proofErr w:type="spellStart"/>
      <w:r w:rsidRPr="00B82BDF">
        <w:rPr>
          <w:iCs/>
          <w:lang w:bidi="en-US"/>
        </w:rPr>
        <w:t>l’exception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tirée</w:t>
      </w:r>
      <w:proofErr w:type="spellEnd"/>
      <w:r w:rsidRPr="00B82BDF">
        <w:rPr>
          <w:iCs/>
          <w:lang w:bidi="en-US"/>
        </w:rPr>
        <w:t xml:space="preserve"> par le </w:t>
      </w:r>
      <w:proofErr w:type="spellStart"/>
      <w:r w:rsidRPr="00B82BDF">
        <w:rPr>
          <w:iCs/>
          <w:lang w:bidi="en-US"/>
        </w:rPr>
        <w:t>Gouvernement</w:t>
      </w:r>
      <w:proofErr w:type="spellEnd"/>
      <w:r w:rsidRPr="00B82BDF">
        <w:rPr>
          <w:iCs/>
          <w:lang w:bidi="en-US"/>
        </w:rPr>
        <w:t xml:space="preserve"> du non-</w:t>
      </w:r>
      <w:proofErr w:type="spellStart"/>
      <w:r w:rsidRPr="00B82BDF">
        <w:rPr>
          <w:iCs/>
          <w:lang w:bidi="en-US"/>
        </w:rPr>
        <w:t>épuisement</w:t>
      </w:r>
      <w:proofErr w:type="spellEnd"/>
      <w:r w:rsidRPr="00B82BDF">
        <w:rPr>
          <w:iCs/>
          <w:lang w:bidi="en-US"/>
        </w:rPr>
        <w:t xml:space="preserve"> des </w:t>
      </w:r>
      <w:proofErr w:type="spellStart"/>
      <w:r w:rsidRPr="00B82BDF">
        <w:rPr>
          <w:iCs/>
          <w:lang w:bidi="en-US"/>
        </w:rPr>
        <w:t>procédures</w:t>
      </w:r>
      <w:proofErr w:type="spellEnd"/>
      <w:r w:rsidRPr="00B82BDF">
        <w:rPr>
          <w:iCs/>
          <w:lang w:bidi="en-US"/>
        </w:rPr>
        <w:t xml:space="preserve"> internes et que la </w:t>
      </w:r>
      <w:proofErr w:type="spellStart"/>
      <w:r w:rsidRPr="00B82BDF">
        <w:rPr>
          <w:iCs/>
          <w:lang w:bidi="en-US"/>
        </w:rPr>
        <w:t>Cour</w:t>
      </w:r>
      <w:proofErr w:type="spellEnd"/>
      <w:r w:rsidRPr="00B82BDF">
        <w:rPr>
          <w:iCs/>
          <w:lang w:bidi="en-US"/>
        </w:rPr>
        <w:t xml:space="preserve"> a </w:t>
      </w:r>
      <w:proofErr w:type="spellStart"/>
      <w:r w:rsidRPr="00B82BDF">
        <w:rPr>
          <w:iCs/>
          <w:lang w:bidi="en-US"/>
        </w:rPr>
        <w:t>jointe</w:t>
      </w:r>
      <w:proofErr w:type="spellEnd"/>
      <w:r w:rsidRPr="00B82BDF">
        <w:rPr>
          <w:iCs/>
          <w:lang w:bidi="en-US"/>
        </w:rPr>
        <w:t xml:space="preserve"> à </w:t>
      </w:r>
      <w:proofErr w:type="spellStart"/>
      <w:r w:rsidRPr="00B82BDF">
        <w:rPr>
          <w:iCs/>
          <w:lang w:bidi="en-US"/>
        </w:rPr>
        <w:t>l’examen</w:t>
      </w:r>
      <w:proofErr w:type="spellEnd"/>
      <w:r w:rsidRPr="00B82BDF">
        <w:rPr>
          <w:iCs/>
          <w:lang w:bidi="en-US"/>
        </w:rPr>
        <w:t xml:space="preserve"> du bien-</w:t>
      </w:r>
      <w:proofErr w:type="spellStart"/>
      <w:r w:rsidRPr="00B82BDF">
        <w:rPr>
          <w:iCs/>
          <w:lang w:bidi="en-US"/>
        </w:rPr>
        <w:t>fondé</w:t>
      </w:r>
      <w:proofErr w:type="spellEnd"/>
      <w:r w:rsidRPr="00B82BDF">
        <w:rPr>
          <w:iCs/>
          <w:lang w:bidi="en-US"/>
        </w:rPr>
        <w:t xml:space="preserve"> des griefs de la </w:t>
      </w:r>
      <w:proofErr w:type="spellStart"/>
      <w:r w:rsidRPr="00B82BDF">
        <w:rPr>
          <w:iCs/>
          <w:lang w:bidi="en-US"/>
        </w:rPr>
        <w:t>requérante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tiré</w:t>
      </w:r>
      <w:proofErr w:type="spellEnd"/>
      <w:r w:rsidRPr="00B82BDF">
        <w:rPr>
          <w:iCs/>
          <w:lang w:bidi="en-US"/>
        </w:rPr>
        <w:t xml:space="preserve"> des articles 3, 8 et 14 de la Convention (</w:t>
      </w:r>
      <w:proofErr w:type="spellStart"/>
      <w:r w:rsidRPr="00B82BDF">
        <w:rPr>
          <w:iCs/>
          <w:lang w:bidi="en-US"/>
        </w:rPr>
        <w:t>paragraphes</w:t>
      </w:r>
      <w:proofErr w:type="spellEnd"/>
      <w:r w:rsidRPr="00B82BDF">
        <w:rPr>
          <w:iCs/>
          <w:lang w:bidi="en-US"/>
        </w:rPr>
        <w:t> </w:t>
      </w:r>
      <w:r w:rsidRPr="00B82BDF">
        <w:rPr>
          <w:iCs/>
          <w:lang w:bidi="en-US"/>
        </w:rPr>
        <w:fldChar w:fldCharType="begin"/>
      </w:r>
      <w:r w:rsidRPr="00B82BDF">
        <w:rPr>
          <w:iCs/>
          <w:lang w:bidi="en-US"/>
        </w:rPr>
        <w:instrText xml:space="preserve">REF paragraph00156 \h \* CharFormat </w:instrText>
      </w:r>
      <w:r w:rsidRPr="00B82BDF">
        <w:rPr>
          <w:iCs/>
          <w:lang w:bidi="en-US"/>
        </w:rPr>
      </w:r>
      <w:r w:rsidRPr="00B82BDF">
        <w:rPr>
          <w:iCs/>
          <w:lang w:bidi="en-US"/>
        </w:rPr>
        <w:fldChar w:fldCharType="separate"/>
      </w:r>
      <w:r w:rsidRPr="00B82BDF">
        <w:rPr>
          <w:iCs/>
          <w:lang w:bidi="en-US"/>
        </w:rPr>
        <w:t>156</w:t>
      </w:r>
      <w:r w:rsidRPr="00B82BDF">
        <w:rPr>
          <w:iCs/>
          <w:lang w:bidi="en-US"/>
        </w:rPr>
        <w:fldChar w:fldCharType="end"/>
      </w:r>
      <w:r w:rsidRPr="00B82BDF">
        <w:rPr>
          <w:iCs/>
          <w:lang w:bidi="en-US"/>
        </w:rPr>
        <w:t xml:space="preserve"> et </w:t>
      </w:r>
      <w:r w:rsidRPr="00B82BDF">
        <w:rPr>
          <w:iCs/>
          <w:lang w:bidi="en-US"/>
        </w:rPr>
        <w:fldChar w:fldCharType="begin"/>
      </w:r>
      <w:r w:rsidRPr="00B82BDF">
        <w:rPr>
          <w:iCs/>
          <w:lang w:bidi="en-US"/>
        </w:rPr>
        <w:instrText xml:space="preserve">REF paragraph00162 \h \* CharFormat </w:instrText>
      </w:r>
      <w:r w:rsidRPr="00B82BDF">
        <w:rPr>
          <w:iCs/>
          <w:lang w:bidi="en-US"/>
        </w:rPr>
      </w:r>
      <w:r w:rsidRPr="00B82BDF">
        <w:rPr>
          <w:iCs/>
          <w:lang w:bidi="en-US"/>
        </w:rPr>
        <w:fldChar w:fldCharType="separate"/>
      </w:r>
      <w:r w:rsidRPr="00B82BDF">
        <w:rPr>
          <w:iCs/>
          <w:lang w:bidi="en-US"/>
        </w:rPr>
        <w:t>162</w:t>
      </w:r>
      <w:r w:rsidRPr="00B82BDF">
        <w:rPr>
          <w:iCs/>
          <w:lang w:bidi="en-US"/>
        </w:rPr>
        <w:fldChar w:fldCharType="end"/>
      </w:r>
      <w:r w:rsidRPr="00B82BDF">
        <w:rPr>
          <w:iCs/>
          <w:lang w:bidi="en-US"/>
        </w:rPr>
        <w:t xml:space="preserve"> ci-dessus) doit </w:t>
      </w:r>
      <w:proofErr w:type="spellStart"/>
      <w:r w:rsidRPr="00B82BDF">
        <w:rPr>
          <w:iCs/>
          <w:lang w:bidi="en-US"/>
        </w:rPr>
        <w:t>être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rejetée</w:t>
      </w:r>
      <w:proofErr w:type="spellEnd"/>
      <w:r w:rsidRPr="00B82BDF">
        <w:rPr>
          <w:iCs/>
          <w:lang w:bidi="en-US"/>
        </w:rPr>
        <w:t xml:space="preserve">. La </w:t>
      </w:r>
      <w:proofErr w:type="spellStart"/>
      <w:r w:rsidRPr="00B82BDF">
        <w:rPr>
          <w:iCs/>
          <w:lang w:bidi="en-US"/>
        </w:rPr>
        <w:t>Cour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relève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en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effet</w:t>
      </w:r>
      <w:proofErr w:type="spellEnd"/>
      <w:r w:rsidRPr="00B82BDF">
        <w:rPr>
          <w:iCs/>
          <w:lang w:bidi="en-US"/>
        </w:rPr>
        <w:t xml:space="preserve"> que, dans le cadre des </w:t>
      </w:r>
      <w:proofErr w:type="spellStart"/>
      <w:r w:rsidRPr="00B82BDF">
        <w:rPr>
          <w:iCs/>
          <w:lang w:bidi="en-US"/>
        </w:rPr>
        <w:t>procédures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en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cours</w:t>
      </w:r>
      <w:proofErr w:type="spellEnd"/>
      <w:r w:rsidRPr="00B82BDF">
        <w:rPr>
          <w:iCs/>
          <w:lang w:bidi="en-US"/>
        </w:rPr>
        <w:t xml:space="preserve">, les </w:t>
      </w:r>
      <w:proofErr w:type="spellStart"/>
      <w:r w:rsidRPr="00B82BDF">
        <w:rPr>
          <w:iCs/>
          <w:lang w:bidi="en-US"/>
        </w:rPr>
        <w:t>juges</w:t>
      </w:r>
      <w:proofErr w:type="spellEnd"/>
      <w:r w:rsidRPr="00B82BDF">
        <w:rPr>
          <w:iCs/>
          <w:lang w:bidi="en-US"/>
        </w:rPr>
        <w:t xml:space="preserve"> ne </w:t>
      </w:r>
      <w:proofErr w:type="spellStart"/>
      <w:r w:rsidRPr="00B82BDF">
        <w:rPr>
          <w:iCs/>
          <w:lang w:bidi="en-US"/>
        </w:rPr>
        <w:t>sont</w:t>
      </w:r>
      <w:proofErr w:type="spellEnd"/>
      <w:r w:rsidRPr="00B82BDF">
        <w:rPr>
          <w:iCs/>
          <w:lang w:bidi="en-US"/>
        </w:rPr>
        <w:t xml:space="preserve"> pas </w:t>
      </w:r>
      <w:proofErr w:type="spellStart"/>
      <w:r w:rsidRPr="00B82BDF">
        <w:rPr>
          <w:iCs/>
          <w:lang w:bidi="en-US"/>
        </w:rPr>
        <w:t>saisis</w:t>
      </w:r>
      <w:proofErr w:type="spellEnd"/>
      <w:r w:rsidRPr="00B82BDF">
        <w:rPr>
          <w:iCs/>
          <w:lang w:bidi="en-US"/>
        </w:rPr>
        <w:t xml:space="preserve"> des </w:t>
      </w:r>
      <w:proofErr w:type="spellStart"/>
      <w:r w:rsidRPr="00B82BDF">
        <w:rPr>
          <w:iCs/>
          <w:lang w:bidi="en-US"/>
        </w:rPr>
        <w:t>mêmes</w:t>
      </w:r>
      <w:proofErr w:type="spellEnd"/>
      <w:r w:rsidRPr="00B82BDF">
        <w:rPr>
          <w:iCs/>
          <w:lang w:bidi="en-US"/>
        </w:rPr>
        <w:t xml:space="preserve"> incriminations de viols, sur </w:t>
      </w:r>
      <w:proofErr w:type="spellStart"/>
      <w:r w:rsidRPr="00B82BDF">
        <w:rPr>
          <w:iCs/>
          <w:lang w:bidi="en-US"/>
        </w:rPr>
        <w:t>lesquelles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ils</w:t>
      </w:r>
      <w:proofErr w:type="spellEnd"/>
      <w:r w:rsidRPr="00B82BDF">
        <w:rPr>
          <w:iCs/>
          <w:lang w:bidi="en-US"/>
        </w:rPr>
        <w:t xml:space="preserve"> ne </w:t>
      </w:r>
      <w:proofErr w:type="spellStart"/>
      <w:r w:rsidRPr="00B82BDF">
        <w:rPr>
          <w:iCs/>
          <w:lang w:bidi="en-US"/>
        </w:rPr>
        <w:t>pourront</w:t>
      </w:r>
      <w:proofErr w:type="spellEnd"/>
      <w:r w:rsidRPr="00B82BDF">
        <w:rPr>
          <w:iCs/>
          <w:lang w:bidi="en-US"/>
        </w:rPr>
        <w:t xml:space="preserve"> se </w:t>
      </w:r>
      <w:proofErr w:type="spellStart"/>
      <w:r w:rsidRPr="00B82BDF">
        <w:rPr>
          <w:iCs/>
          <w:lang w:bidi="en-US"/>
        </w:rPr>
        <w:t>prononcer</w:t>
      </w:r>
      <w:proofErr w:type="spellEnd"/>
      <w:r w:rsidRPr="00B82BDF">
        <w:rPr>
          <w:iCs/>
          <w:lang w:bidi="en-US"/>
        </w:rPr>
        <w:t xml:space="preserve">, </w:t>
      </w:r>
      <w:proofErr w:type="spellStart"/>
      <w:r w:rsidRPr="00B82BDF">
        <w:rPr>
          <w:iCs/>
          <w:lang w:bidi="en-US"/>
        </w:rPr>
        <w:t>mais</w:t>
      </w:r>
      <w:proofErr w:type="spellEnd"/>
      <w:r w:rsidRPr="00B82BDF">
        <w:rPr>
          <w:iCs/>
          <w:lang w:bidi="en-US"/>
        </w:rPr>
        <w:t xml:space="preserve"> des infractions </w:t>
      </w:r>
      <w:proofErr w:type="spellStart"/>
      <w:r w:rsidRPr="00B82BDF">
        <w:rPr>
          <w:iCs/>
          <w:lang w:bidi="en-US"/>
        </w:rPr>
        <w:t>distinctes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d’atteintes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sexuelles</w:t>
      </w:r>
      <w:proofErr w:type="spellEnd"/>
      <w:r w:rsidRPr="00B82BDF">
        <w:rPr>
          <w:iCs/>
          <w:lang w:bidi="en-US"/>
        </w:rPr>
        <w:t>.</w:t>
      </w:r>
    </w:p>
    <w:p w14:paraId="1B0ED796" w14:textId="77777777" w:rsidR="008A7B1D" w:rsidRPr="00B82BDF" w:rsidRDefault="008A7B1D" w:rsidP="008A7B1D">
      <w:pPr>
        <w:pStyle w:val="ECHRHeading6"/>
        <w:numPr>
          <w:ilvl w:val="0"/>
          <w:numId w:val="21"/>
        </w:numPr>
        <w:ind w:left="1373" w:hanging="335"/>
      </w:pPr>
      <w:proofErr w:type="spellStart"/>
      <w:r w:rsidRPr="00B82BDF">
        <w:t>Requête</w:t>
      </w:r>
      <w:proofErr w:type="spellEnd"/>
      <w:r w:rsidRPr="00B82BDF">
        <w:t xml:space="preserve"> n</w:t>
      </w:r>
      <w:r w:rsidRPr="00B82BDF">
        <w:rPr>
          <w:vertAlign w:val="superscript"/>
        </w:rPr>
        <w:t>o</w:t>
      </w:r>
      <w:r w:rsidRPr="00B82BDF">
        <w:t> 24989/22 (H.B. c. France)</w:t>
      </w:r>
    </w:p>
    <w:p w14:paraId="23714393" w14:textId="77777777" w:rsidR="008A7B1D" w:rsidRPr="00B82BDF" w:rsidRDefault="008A7B1D" w:rsidP="008A7B1D">
      <w:pPr>
        <w:pStyle w:val="ECHRPara"/>
      </w:pPr>
      <w:r w:rsidRPr="00B82BDF">
        <w:rPr>
          <w:iCs/>
        </w:rPr>
        <w:fldChar w:fldCharType="begin"/>
      </w:r>
      <w:r w:rsidRPr="00B82BDF">
        <w:rPr>
          <w:iCs/>
        </w:rPr>
        <w:instrText xml:space="preserve"> SEQ level0 \*arabic \* MERGEFORMAT </w:instrText>
      </w:r>
      <w:r w:rsidRPr="00B82BDF">
        <w:rPr>
          <w:iCs/>
        </w:rPr>
        <w:fldChar w:fldCharType="separate"/>
      </w:r>
      <w:r w:rsidRPr="00B82BDF">
        <w:rPr>
          <w:iCs/>
          <w:noProof/>
        </w:rPr>
        <w:t>234</w:t>
      </w:r>
      <w:r w:rsidRPr="00B82BDF">
        <w:rPr>
          <w:iCs/>
        </w:rPr>
        <w:fldChar w:fldCharType="end"/>
      </w:r>
      <w:r w:rsidRPr="00B82BDF">
        <w:rPr>
          <w:iCs/>
        </w:rPr>
        <w:t xml:space="preserve">.  H.B. </w:t>
      </w:r>
      <w:proofErr w:type="spellStart"/>
      <w:r w:rsidRPr="00B82BDF">
        <w:rPr>
          <w:iCs/>
        </w:rPr>
        <w:t>étant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mineure</w:t>
      </w:r>
      <w:proofErr w:type="spellEnd"/>
      <w:r w:rsidRPr="00B82BDF">
        <w:rPr>
          <w:iCs/>
        </w:rPr>
        <w:t xml:space="preserve"> de quinze 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 xml:space="preserve"> à la date des faits </w:t>
      </w:r>
      <w:proofErr w:type="spellStart"/>
      <w:r w:rsidRPr="00B82BDF">
        <w:rPr>
          <w:iCs/>
        </w:rPr>
        <w:t>dénoncés</w:t>
      </w:r>
      <w:proofErr w:type="spellEnd"/>
      <w:r w:rsidRPr="00B82BDF">
        <w:rPr>
          <w:iCs/>
        </w:rPr>
        <w:t xml:space="preserve">, le cadre </w:t>
      </w:r>
      <w:proofErr w:type="spellStart"/>
      <w:r w:rsidRPr="00B82BDF">
        <w:rPr>
          <w:iCs/>
        </w:rPr>
        <w:t>juridique</w:t>
      </w:r>
      <w:proofErr w:type="spellEnd"/>
      <w:r w:rsidRPr="00B82BDF">
        <w:rPr>
          <w:iCs/>
        </w:rPr>
        <w:t xml:space="preserve"> applicable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comme</w:t>
      </w:r>
      <w:proofErr w:type="spellEnd"/>
      <w:r w:rsidRPr="00B82BDF">
        <w:rPr>
          <w:iCs/>
        </w:rPr>
        <w:t xml:space="preserve"> dans la première </w:t>
      </w:r>
      <w:proofErr w:type="spellStart"/>
      <w:r w:rsidRPr="00B82BDF">
        <w:rPr>
          <w:iCs/>
        </w:rPr>
        <w:t>requête</w:t>
      </w:r>
      <w:proofErr w:type="spellEnd"/>
      <w:r w:rsidRPr="00B82BDF">
        <w:rPr>
          <w:iCs/>
        </w:rPr>
        <w:t xml:space="preserve"> (</w:t>
      </w:r>
      <w:proofErr w:type="spellStart"/>
      <w:r w:rsidRPr="00B82BDF">
        <w:rPr>
          <w:iCs/>
        </w:rPr>
        <w:t>paragraphe</w:t>
      </w:r>
      <w:proofErr w:type="spellEnd"/>
      <w:r w:rsidRPr="00B82BDF">
        <w:rPr>
          <w:iCs/>
        </w:rPr>
        <w:t> 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paragraph00216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216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ci-dessus) </w:t>
      </w:r>
      <w:proofErr w:type="spellStart"/>
      <w:r w:rsidRPr="00B82BDF">
        <w:rPr>
          <w:iCs/>
        </w:rPr>
        <w:t>défini</w:t>
      </w:r>
      <w:proofErr w:type="spellEnd"/>
      <w:r w:rsidRPr="00B82BDF">
        <w:rPr>
          <w:iCs/>
        </w:rPr>
        <w:t xml:space="preserve"> par les dispositions du dernier </w:t>
      </w:r>
      <w:proofErr w:type="spellStart"/>
      <w:r w:rsidRPr="00B82BDF">
        <w:rPr>
          <w:iCs/>
        </w:rPr>
        <w:t>alinéa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l’article</w:t>
      </w:r>
      <w:proofErr w:type="spellEnd"/>
      <w:r w:rsidRPr="00B82BDF">
        <w:rPr>
          <w:iCs/>
        </w:rPr>
        <w:t> 222-22-1 du CP (</w:t>
      </w:r>
      <w:proofErr w:type="spellStart"/>
      <w:r w:rsidRPr="00B82BDF">
        <w:rPr>
          <w:iCs/>
        </w:rPr>
        <w:t>paragraphes</w:t>
      </w:r>
      <w:proofErr w:type="spellEnd"/>
      <w:r w:rsidRPr="00B82BDF">
        <w:rPr>
          <w:iCs/>
        </w:rPr>
        <w:t> 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paragraph00094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94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ci-dessus).</w:t>
      </w:r>
    </w:p>
    <w:p w14:paraId="4B3A2D14" w14:textId="77777777" w:rsidR="008A7B1D" w:rsidRPr="00B82BDF" w:rsidRDefault="008A7B1D" w:rsidP="008A7B1D">
      <w:pPr>
        <w:pStyle w:val="ECHRPara"/>
        <w:rPr>
          <w:iCs/>
        </w:rPr>
      </w:pPr>
      <w:r w:rsidRPr="00B82BDF">
        <w:rPr>
          <w:iCs/>
        </w:rPr>
        <w:fldChar w:fldCharType="begin"/>
      </w:r>
      <w:r w:rsidRPr="00B82BDF">
        <w:rPr>
          <w:iCs/>
        </w:rPr>
        <w:instrText xml:space="preserve"> SEQ level0 \*arabic \* MERGEFORMAT </w:instrText>
      </w:r>
      <w:r w:rsidRPr="00B82BDF">
        <w:rPr>
          <w:iCs/>
        </w:rPr>
        <w:fldChar w:fldCharType="separate"/>
      </w:r>
      <w:r w:rsidRPr="00B82BDF">
        <w:rPr>
          <w:iCs/>
          <w:noProof/>
        </w:rPr>
        <w:t>235</w:t>
      </w:r>
      <w:r w:rsidRPr="00B82BDF">
        <w:rPr>
          <w:iCs/>
        </w:rPr>
        <w:fldChar w:fldCharType="end"/>
      </w:r>
      <w:r w:rsidRPr="00B82BDF">
        <w:rPr>
          <w:iCs/>
        </w:rPr>
        <w:t xml:space="preserve">.  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relève</w:t>
      </w:r>
      <w:proofErr w:type="spellEnd"/>
      <w:r w:rsidRPr="00B82BDF">
        <w:rPr>
          <w:iCs/>
        </w:rPr>
        <w:t xml:space="preserve"> que, dans son </w:t>
      </w:r>
      <w:proofErr w:type="spellStart"/>
      <w:r w:rsidRPr="00B82BDF">
        <w:rPr>
          <w:iCs/>
        </w:rPr>
        <w:t>évaluation</w:t>
      </w:r>
      <w:proofErr w:type="spellEnd"/>
      <w:r w:rsidRPr="00B82BDF">
        <w:rPr>
          <w:iCs/>
        </w:rPr>
        <w:t xml:space="preserve"> du </w:t>
      </w:r>
      <w:proofErr w:type="spellStart"/>
      <w:r w:rsidRPr="00B82BDF">
        <w:rPr>
          <w:iCs/>
        </w:rPr>
        <w:t>consentement</w:t>
      </w:r>
      <w:proofErr w:type="spellEnd"/>
      <w:r w:rsidRPr="00B82BDF">
        <w:rPr>
          <w:iCs/>
        </w:rPr>
        <w:t xml:space="preserve"> de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,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dont</w:t>
      </w:r>
      <w:proofErr w:type="spellEnd"/>
      <w:r w:rsidRPr="00B82BDF">
        <w:rPr>
          <w:iCs/>
        </w:rPr>
        <w:t xml:space="preserve"> la solution </w:t>
      </w:r>
      <w:proofErr w:type="spellStart"/>
      <w:r w:rsidRPr="00B82BDF">
        <w:rPr>
          <w:iCs/>
        </w:rPr>
        <w:t>n’a</w:t>
      </w:r>
      <w:proofErr w:type="spellEnd"/>
      <w:r w:rsidRPr="00B82BDF">
        <w:rPr>
          <w:iCs/>
        </w:rPr>
        <w:t xml:space="preserve"> pas </w:t>
      </w:r>
      <w:proofErr w:type="spellStart"/>
      <w:r w:rsidRPr="00B82BDF">
        <w:rPr>
          <w:iCs/>
        </w:rPr>
        <w:t>été</w:t>
      </w:r>
      <w:proofErr w:type="spellEnd"/>
      <w:r w:rsidRPr="00B82BDF">
        <w:rPr>
          <w:iCs/>
        </w:rPr>
        <w:t xml:space="preserve"> remise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cause par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de cassation (</w:t>
      </w:r>
      <w:proofErr w:type="spellStart"/>
      <w:r w:rsidRPr="00B82BDF">
        <w:rPr>
          <w:iCs/>
        </w:rPr>
        <w:t>paragraphes</w:t>
      </w:r>
      <w:proofErr w:type="spellEnd"/>
      <w:r w:rsidRPr="00B82BDF">
        <w:rPr>
          <w:iCs/>
        </w:rPr>
        <w:t xml:space="preserve"> 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paragraph00056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56</w:t>
      </w:r>
      <w:r w:rsidRPr="00B82BDF">
        <w:rPr>
          <w:iCs/>
        </w:rPr>
        <w:fldChar w:fldCharType="end"/>
      </w:r>
      <w:r w:rsidRPr="00B82BDF">
        <w:rPr>
          <w:iCs/>
        </w:rPr>
        <w:t>-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paragraph00057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57</w:t>
      </w:r>
      <w:r w:rsidRPr="00B82BDF">
        <w:rPr>
          <w:iCs/>
        </w:rPr>
        <w:fldChar w:fldCharType="end"/>
      </w:r>
      <w:r w:rsidRPr="00B82BDF">
        <w:rPr>
          <w:iCs/>
        </w:rPr>
        <w:t xml:space="preserve"> et 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paragraph00060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60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ci-dessus), a </w:t>
      </w:r>
      <w:proofErr w:type="spellStart"/>
      <w:r w:rsidRPr="00B82BDF">
        <w:rPr>
          <w:iCs/>
        </w:rPr>
        <w:t>considéré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d’une</w:t>
      </w:r>
      <w:proofErr w:type="spellEnd"/>
      <w:r w:rsidRPr="00B82BDF">
        <w:rPr>
          <w:iCs/>
        </w:rPr>
        <w:t xml:space="preserve"> part, que, </w:t>
      </w:r>
      <w:proofErr w:type="spellStart"/>
      <w:r w:rsidRPr="00B82BDF">
        <w:rPr>
          <w:iCs/>
        </w:rPr>
        <w:t>compte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tenu</w:t>
      </w:r>
      <w:proofErr w:type="spellEnd"/>
      <w:r w:rsidRPr="00B82BDF">
        <w:rPr>
          <w:iCs/>
        </w:rPr>
        <w:t xml:space="preserve"> de son </w:t>
      </w:r>
      <w:proofErr w:type="spellStart"/>
      <w:r w:rsidRPr="00B82BDF">
        <w:rPr>
          <w:iCs/>
        </w:rPr>
        <w:t>comportement</w:t>
      </w:r>
      <w:proofErr w:type="spellEnd"/>
      <w:r w:rsidRPr="00B82BDF">
        <w:rPr>
          <w:iCs/>
        </w:rPr>
        <w:t xml:space="preserve">, les </w:t>
      </w:r>
      <w:proofErr w:type="spellStart"/>
      <w:r w:rsidRPr="00B82BDF">
        <w:rPr>
          <w:iCs/>
        </w:rPr>
        <w:t>personnes</w:t>
      </w:r>
      <w:proofErr w:type="spellEnd"/>
      <w:r w:rsidRPr="00B82BDF">
        <w:rPr>
          <w:iCs/>
        </w:rPr>
        <w:t xml:space="preserve"> mises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cause </w:t>
      </w:r>
      <w:proofErr w:type="spellStart"/>
      <w:r w:rsidRPr="00B82BDF">
        <w:rPr>
          <w:iCs/>
        </w:rPr>
        <w:lastRenderedPageBreak/>
        <w:t>pouvaient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légitimement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considérer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consentante</w:t>
      </w:r>
      <w:proofErr w:type="spellEnd"/>
      <w:r w:rsidRPr="00B82BDF">
        <w:rPr>
          <w:iCs/>
        </w:rPr>
        <w:t xml:space="preserve"> et, </w:t>
      </w:r>
      <w:proofErr w:type="spellStart"/>
      <w:r w:rsidRPr="00B82BDF">
        <w:rPr>
          <w:iCs/>
        </w:rPr>
        <w:t>d’autre</w:t>
      </w:r>
      <w:proofErr w:type="spellEnd"/>
      <w:r w:rsidRPr="00B82BDF">
        <w:rPr>
          <w:iCs/>
        </w:rPr>
        <w:t xml:space="preserve"> part, que </w:t>
      </w:r>
      <w:proofErr w:type="spellStart"/>
      <w:r w:rsidRPr="00B82BDF">
        <w:rPr>
          <w:iCs/>
        </w:rPr>
        <w:t>rien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n’établissait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qu’ils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avaient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agi</w:t>
      </w:r>
      <w:proofErr w:type="spellEnd"/>
      <w:r w:rsidRPr="00B82BDF">
        <w:rPr>
          <w:iCs/>
        </w:rPr>
        <w:t xml:space="preserve"> par violence, </w:t>
      </w:r>
      <w:proofErr w:type="spellStart"/>
      <w:r w:rsidRPr="00B82BDF">
        <w:rPr>
          <w:iCs/>
        </w:rPr>
        <w:t>contrainte</w:t>
      </w:r>
      <w:proofErr w:type="spellEnd"/>
      <w:r w:rsidRPr="00B82BDF">
        <w:rPr>
          <w:iCs/>
        </w:rPr>
        <w:t xml:space="preserve">, menace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surprise. Pour </w:t>
      </w:r>
      <w:proofErr w:type="spellStart"/>
      <w:r w:rsidRPr="00B82BDF">
        <w:rPr>
          <w:iCs/>
        </w:rPr>
        <w:t>ce</w:t>
      </w:r>
      <w:proofErr w:type="spellEnd"/>
      <w:r w:rsidRPr="00B82BDF">
        <w:rPr>
          <w:iCs/>
        </w:rPr>
        <w:t xml:space="preserve"> faire, les </w:t>
      </w:r>
      <w:proofErr w:type="spellStart"/>
      <w:r w:rsidRPr="00B82BDF">
        <w:rPr>
          <w:iCs/>
        </w:rPr>
        <w:t>juges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retenu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l’absence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d’altération</w:t>
      </w:r>
      <w:proofErr w:type="spellEnd"/>
      <w:r w:rsidRPr="00B82BDF">
        <w:rPr>
          <w:iCs/>
        </w:rPr>
        <w:t xml:space="preserve"> du </w:t>
      </w:r>
      <w:proofErr w:type="spellStart"/>
      <w:r w:rsidRPr="00B82BDF">
        <w:rPr>
          <w:iCs/>
        </w:rPr>
        <w:t>discernement</w:t>
      </w:r>
      <w:proofErr w:type="spellEnd"/>
      <w:r w:rsidRPr="00B82BDF">
        <w:rPr>
          <w:iCs/>
        </w:rPr>
        <w:t xml:space="preserve"> de H.B. par </w:t>
      </w:r>
      <w:proofErr w:type="spellStart"/>
      <w:r w:rsidRPr="00B82BDF">
        <w:rPr>
          <w:iCs/>
        </w:rPr>
        <w:t>l’effet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l’alcool</w:t>
      </w:r>
      <w:proofErr w:type="spellEnd"/>
      <w:r w:rsidRPr="00B82BDF">
        <w:rPr>
          <w:iCs/>
        </w:rPr>
        <w:t xml:space="preserve"> au moment de jeux </w:t>
      </w:r>
      <w:proofErr w:type="spellStart"/>
      <w:r w:rsidRPr="00B82BDF">
        <w:rPr>
          <w:iCs/>
        </w:rPr>
        <w:t>sexualisés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dès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lors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n’avait</w:t>
      </w:r>
      <w:proofErr w:type="spellEnd"/>
      <w:r w:rsidRPr="00B82BDF">
        <w:rPr>
          <w:iCs/>
        </w:rPr>
        <w:t xml:space="preserve"> jamais </w:t>
      </w:r>
      <w:proofErr w:type="spellStart"/>
      <w:r w:rsidRPr="00B82BDF">
        <w:rPr>
          <w:iCs/>
        </w:rPr>
        <w:t>évoqué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perte</w:t>
      </w:r>
      <w:proofErr w:type="spellEnd"/>
      <w:r w:rsidRPr="00B82BDF">
        <w:rPr>
          <w:iCs/>
        </w:rPr>
        <w:t xml:space="preserve"> de conscience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privation de </w:t>
      </w:r>
      <w:proofErr w:type="spellStart"/>
      <w:r w:rsidRPr="00B82BDF">
        <w:rPr>
          <w:iCs/>
        </w:rPr>
        <w:t>volonté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mais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uniquement</w:t>
      </w:r>
      <w:proofErr w:type="spellEnd"/>
      <w:r w:rsidRPr="00B82BDF">
        <w:rPr>
          <w:iCs/>
        </w:rPr>
        <w:t xml:space="preserve"> des sentiments de </w:t>
      </w:r>
      <w:proofErr w:type="spellStart"/>
      <w:r w:rsidRPr="00B82BDF">
        <w:rPr>
          <w:iCs/>
        </w:rPr>
        <w:t>remords</w:t>
      </w:r>
      <w:proofErr w:type="spellEnd"/>
      <w:r w:rsidRPr="00B82BDF">
        <w:rPr>
          <w:iCs/>
        </w:rPr>
        <w:t xml:space="preserve">. </w:t>
      </w:r>
      <w:proofErr w:type="spellStart"/>
      <w:r w:rsidRPr="00B82BDF">
        <w:rPr>
          <w:iCs/>
        </w:rPr>
        <w:t>Ils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également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noté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l’existence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d’une</w:t>
      </w:r>
      <w:proofErr w:type="spellEnd"/>
      <w:r w:rsidRPr="00B82BDF">
        <w:rPr>
          <w:iCs/>
        </w:rPr>
        <w:t xml:space="preserve"> première relation </w:t>
      </w:r>
      <w:proofErr w:type="spellStart"/>
      <w:r w:rsidRPr="00B82BDF">
        <w:rPr>
          <w:iCs/>
        </w:rPr>
        <w:t>sexuelle</w:t>
      </w:r>
      <w:proofErr w:type="spellEnd"/>
      <w:r w:rsidRPr="00B82BDF">
        <w:rPr>
          <w:iCs/>
        </w:rPr>
        <w:t xml:space="preserve"> plus </w:t>
      </w:r>
      <w:proofErr w:type="spellStart"/>
      <w:r w:rsidRPr="00B82BDF">
        <w:rPr>
          <w:iCs/>
        </w:rPr>
        <w:t>tôt</w:t>
      </w:r>
      <w:proofErr w:type="spellEnd"/>
      <w:r w:rsidRPr="00B82BDF">
        <w:rPr>
          <w:iCs/>
        </w:rPr>
        <w:t xml:space="preserve"> le </w:t>
      </w:r>
      <w:proofErr w:type="spellStart"/>
      <w:r w:rsidRPr="00B82BDF">
        <w:rPr>
          <w:iCs/>
        </w:rPr>
        <w:t>même</w:t>
      </w:r>
      <w:proofErr w:type="spellEnd"/>
      <w:r w:rsidRPr="00B82BDF">
        <w:rPr>
          <w:iCs/>
        </w:rPr>
        <w:t xml:space="preserve"> jour avec un tiers et son </w:t>
      </w:r>
      <w:proofErr w:type="spellStart"/>
      <w:r w:rsidRPr="00B82BDF">
        <w:rPr>
          <w:iCs/>
        </w:rPr>
        <w:t>rôle</w:t>
      </w:r>
      <w:proofErr w:type="spellEnd"/>
      <w:r w:rsidRPr="00B82BDF">
        <w:rPr>
          <w:iCs/>
        </w:rPr>
        <w:t xml:space="preserve"> « </w:t>
      </w:r>
      <w:proofErr w:type="spellStart"/>
      <w:r w:rsidRPr="00B82BDF">
        <w:rPr>
          <w:iCs/>
        </w:rPr>
        <w:t>actif</w:t>
      </w:r>
      <w:proofErr w:type="spellEnd"/>
      <w:r w:rsidRPr="00B82BDF">
        <w:rPr>
          <w:iCs/>
        </w:rPr>
        <w:t xml:space="preserve"> » pendant le jeu « action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vérité</w:t>
      </w:r>
      <w:proofErr w:type="spellEnd"/>
      <w:r w:rsidRPr="00B82BDF">
        <w:rPr>
          <w:iCs/>
        </w:rPr>
        <w:t xml:space="preserve"> » </w:t>
      </w:r>
      <w:proofErr w:type="spellStart"/>
      <w:r w:rsidRPr="00B82BDF">
        <w:rPr>
          <w:iCs/>
        </w:rPr>
        <w:t>proposé</w:t>
      </w:r>
      <w:proofErr w:type="spellEnd"/>
      <w:r w:rsidRPr="00B82BDF">
        <w:rPr>
          <w:iCs/>
        </w:rPr>
        <w:t xml:space="preserve"> par les trois hommes. </w:t>
      </w:r>
      <w:proofErr w:type="spellStart"/>
      <w:r w:rsidRPr="00B82BDF">
        <w:rPr>
          <w:iCs/>
        </w:rPr>
        <w:t>Enfin</w:t>
      </w:r>
      <w:proofErr w:type="spellEnd"/>
      <w:r w:rsidRPr="00B82BDF">
        <w:rPr>
          <w:iCs/>
        </w:rPr>
        <w:t xml:space="preserve">,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 a </w:t>
      </w:r>
      <w:proofErr w:type="spellStart"/>
      <w:r w:rsidRPr="00B82BDF">
        <w:rPr>
          <w:iCs/>
        </w:rPr>
        <w:t>relevé</w:t>
      </w:r>
      <w:proofErr w:type="spellEnd"/>
      <w:r w:rsidRPr="00B82BDF">
        <w:rPr>
          <w:iCs/>
        </w:rPr>
        <w:t xml:space="preserve"> la </w:t>
      </w:r>
      <w:proofErr w:type="spellStart"/>
      <w:r w:rsidRPr="00B82BDF">
        <w:rPr>
          <w:iCs/>
        </w:rPr>
        <w:t>désinhibition</w:t>
      </w:r>
      <w:proofErr w:type="spellEnd"/>
      <w:r w:rsidRPr="00B82BDF">
        <w:rPr>
          <w:iCs/>
        </w:rPr>
        <w:t xml:space="preserve"> de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 sous </w:t>
      </w:r>
      <w:proofErr w:type="spellStart"/>
      <w:r w:rsidRPr="00B82BDF">
        <w:rPr>
          <w:iCs/>
        </w:rPr>
        <w:t>l’effet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l’alcool</w:t>
      </w:r>
      <w:proofErr w:type="spellEnd"/>
      <w:r w:rsidRPr="00B82BDF">
        <w:rPr>
          <w:iCs/>
        </w:rPr>
        <w:t xml:space="preserve"> et un « </w:t>
      </w:r>
      <w:proofErr w:type="spellStart"/>
      <w:r w:rsidRPr="00B82BDF">
        <w:rPr>
          <w:iCs/>
        </w:rPr>
        <w:t>effet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d’entraînement</w:t>
      </w:r>
      <w:proofErr w:type="spellEnd"/>
      <w:r w:rsidRPr="00B82BDF">
        <w:rPr>
          <w:iCs/>
        </w:rPr>
        <w:t xml:space="preserve"> » avec son amie, </w:t>
      </w:r>
      <w:proofErr w:type="spellStart"/>
      <w:r w:rsidRPr="00B82BDF">
        <w:rPr>
          <w:iCs/>
        </w:rPr>
        <w:t>âgée</w:t>
      </w:r>
      <w:proofErr w:type="spellEnd"/>
      <w:r w:rsidRPr="00B82BDF">
        <w:rPr>
          <w:iCs/>
        </w:rPr>
        <w:t xml:space="preserve"> de 17 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 xml:space="preserve">, qui </w:t>
      </w:r>
      <w:proofErr w:type="spellStart"/>
      <w:r w:rsidRPr="00B82BDF">
        <w:rPr>
          <w:iCs/>
        </w:rPr>
        <w:t>s’était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livrée</w:t>
      </w:r>
      <w:proofErr w:type="spellEnd"/>
      <w:r w:rsidRPr="00B82BDF">
        <w:rPr>
          <w:iCs/>
        </w:rPr>
        <w:t xml:space="preserve"> le </w:t>
      </w:r>
      <w:proofErr w:type="spellStart"/>
      <w:r w:rsidRPr="00B82BDF">
        <w:rPr>
          <w:iCs/>
        </w:rPr>
        <w:t>même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soir</w:t>
      </w:r>
      <w:proofErr w:type="spellEnd"/>
      <w:r w:rsidRPr="00B82BDF">
        <w:rPr>
          <w:iCs/>
        </w:rPr>
        <w:t xml:space="preserve"> à des </w:t>
      </w:r>
      <w:proofErr w:type="spellStart"/>
      <w:r w:rsidRPr="00B82BDF">
        <w:rPr>
          <w:iCs/>
        </w:rPr>
        <w:t>actes</w:t>
      </w:r>
      <w:proofErr w:type="spellEnd"/>
      <w:r w:rsidRPr="00B82BDF">
        <w:rPr>
          <w:iCs/>
        </w:rPr>
        <w:t xml:space="preserve"> de nature </w:t>
      </w:r>
      <w:proofErr w:type="spellStart"/>
      <w:r w:rsidRPr="00B82BDF">
        <w:rPr>
          <w:iCs/>
        </w:rPr>
        <w:t>sexuelle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compagnie de </w:t>
      </w:r>
      <w:proofErr w:type="spellStart"/>
      <w:r w:rsidRPr="00B82BDF">
        <w:rPr>
          <w:iCs/>
        </w:rPr>
        <w:t>l’un</w:t>
      </w:r>
      <w:proofErr w:type="spellEnd"/>
      <w:r w:rsidRPr="00B82BDF">
        <w:rPr>
          <w:iCs/>
        </w:rPr>
        <w:t xml:space="preserve"> des mis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cause (</w:t>
      </w:r>
      <w:proofErr w:type="spellStart"/>
      <w:r w:rsidRPr="00B82BDF">
        <w:rPr>
          <w:iCs/>
        </w:rPr>
        <w:t>mineur</w:t>
      </w:r>
      <w:proofErr w:type="spellEnd"/>
      <w:r w:rsidRPr="00B82BDF">
        <w:rPr>
          <w:iCs/>
        </w:rPr>
        <w:t>).</w:t>
      </w:r>
    </w:p>
    <w:p w14:paraId="11E02778" w14:textId="77777777" w:rsidR="008A7B1D" w:rsidRPr="00B82BDF" w:rsidRDefault="008A7B1D" w:rsidP="008A7B1D">
      <w:pPr>
        <w:pStyle w:val="ECHRPara"/>
        <w:rPr>
          <w:iCs/>
        </w:rPr>
      </w:pPr>
      <w:r w:rsidRPr="00B82BDF">
        <w:rPr>
          <w:iCs/>
        </w:rPr>
        <w:fldChar w:fldCharType="begin"/>
      </w:r>
      <w:r w:rsidRPr="00B82BDF">
        <w:rPr>
          <w:iCs/>
        </w:rPr>
        <w:instrText xml:space="preserve"> SEQ level0 \*arabic \* MERGEFORMAT </w:instrText>
      </w:r>
      <w:r w:rsidRPr="00B82BDF">
        <w:rPr>
          <w:iCs/>
        </w:rPr>
        <w:fldChar w:fldCharType="separate"/>
      </w:r>
      <w:r w:rsidRPr="00B82BDF">
        <w:rPr>
          <w:iCs/>
          <w:noProof/>
        </w:rPr>
        <w:t>236</w:t>
      </w:r>
      <w:r w:rsidRPr="00B82BDF">
        <w:rPr>
          <w:iCs/>
        </w:rPr>
        <w:fldChar w:fldCharType="end"/>
      </w:r>
      <w:r w:rsidRPr="00B82BDF">
        <w:rPr>
          <w:iCs/>
        </w:rPr>
        <w:t xml:space="preserve">.  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relève</w:t>
      </w:r>
      <w:proofErr w:type="spellEnd"/>
      <w:r w:rsidRPr="00B82BDF">
        <w:rPr>
          <w:iCs/>
        </w:rPr>
        <w:t xml:space="preserve"> que, </w:t>
      </w:r>
      <w:proofErr w:type="spellStart"/>
      <w:r w:rsidRPr="00B82BDF">
        <w:rPr>
          <w:iCs/>
        </w:rPr>
        <w:t>ce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faisant</w:t>
      </w:r>
      <w:proofErr w:type="spellEnd"/>
      <w:r w:rsidRPr="00B82BDF">
        <w:rPr>
          <w:iCs/>
        </w:rPr>
        <w:t xml:space="preserve">,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s’est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abstenue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d’apprécier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l’effet</w:t>
      </w:r>
      <w:proofErr w:type="spellEnd"/>
      <w:r w:rsidRPr="00B82BDF">
        <w:rPr>
          <w:iCs/>
        </w:rPr>
        <w:t xml:space="preserve"> sur la conscience et le </w:t>
      </w:r>
      <w:proofErr w:type="spellStart"/>
      <w:r w:rsidRPr="00B82BDF">
        <w:rPr>
          <w:iCs/>
        </w:rPr>
        <w:t>comportement</w:t>
      </w:r>
      <w:proofErr w:type="spellEnd"/>
      <w:r w:rsidRPr="00B82BDF">
        <w:rPr>
          <w:iCs/>
        </w:rPr>
        <w:t xml:space="preserve"> de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sa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très</w:t>
      </w:r>
      <w:proofErr w:type="spellEnd"/>
      <w:r w:rsidRPr="00B82BDF">
        <w:rPr>
          <w:iCs/>
        </w:rPr>
        <w:t xml:space="preserve"> forte </w:t>
      </w:r>
      <w:proofErr w:type="spellStart"/>
      <w:r w:rsidRPr="00B82BDF">
        <w:rPr>
          <w:iCs/>
        </w:rPr>
        <w:t>alcoolisation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alors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même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avait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déclaré</w:t>
      </w:r>
      <w:proofErr w:type="spellEnd"/>
      <w:r w:rsidRPr="00B82BDF">
        <w:rPr>
          <w:iCs/>
        </w:rPr>
        <w:t xml:space="preserve">, tout au long de la </w:t>
      </w:r>
      <w:proofErr w:type="spellStart"/>
      <w:r w:rsidRPr="00B82BDF">
        <w:rPr>
          <w:iCs/>
        </w:rPr>
        <w:t>procédure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pénale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« </w:t>
      </w:r>
      <w:proofErr w:type="spellStart"/>
      <w:r w:rsidRPr="00B82BDF">
        <w:rPr>
          <w:iCs/>
        </w:rPr>
        <w:t>n’aurait</w:t>
      </w:r>
      <w:proofErr w:type="spellEnd"/>
      <w:r w:rsidRPr="00B82BDF">
        <w:rPr>
          <w:iCs/>
        </w:rPr>
        <w:t xml:space="preserve"> jamais fait </w:t>
      </w:r>
      <w:proofErr w:type="spellStart"/>
      <w:r w:rsidRPr="00B82BDF">
        <w:rPr>
          <w:iCs/>
        </w:rPr>
        <w:t>ça</w:t>
      </w:r>
      <w:proofErr w:type="spellEnd"/>
      <w:r w:rsidRPr="00B82BDF">
        <w:rPr>
          <w:iCs/>
        </w:rPr>
        <w:t xml:space="preserve"> » </w:t>
      </w:r>
      <w:proofErr w:type="spellStart"/>
      <w:r w:rsidRPr="00B82BDF">
        <w:rPr>
          <w:iCs/>
        </w:rPr>
        <w:t>si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elle</w:t>
      </w:r>
      <w:proofErr w:type="spellEnd"/>
      <w:r w:rsidRPr="00B82BDF">
        <w:rPr>
          <w:iCs/>
        </w:rPr>
        <w:t xml:space="preserve"> « </w:t>
      </w:r>
      <w:proofErr w:type="spellStart"/>
      <w:r w:rsidRPr="00B82BDF">
        <w:rPr>
          <w:iCs/>
        </w:rPr>
        <w:t>n’avait</w:t>
      </w:r>
      <w:proofErr w:type="spellEnd"/>
      <w:r w:rsidRPr="00B82BDF">
        <w:rPr>
          <w:iCs/>
        </w:rPr>
        <w:t xml:space="preserve"> pas consommé </w:t>
      </w:r>
      <w:proofErr w:type="spellStart"/>
      <w:r w:rsidRPr="00B82BDF">
        <w:rPr>
          <w:iCs/>
        </w:rPr>
        <w:t>d’alcool</w:t>
      </w:r>
      <w:proofErr w:type="spellEnd"/>
      <w:r w:rsidRPr="00B82BDF">
        <w:rPr>
          <w:iCs/>
        </w:rPr>
        <w:t xml:space="preserve"> »,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n’avait</w:t>
      </w:r>
      <w:proofErr w:type="spellEnd"/>
      <w:r w:rsidRPr="00B82BDF">
        <w:rPr>
          <w:iCs/>
        </w:rPr>
        <w:t xml:space="preserve"> pas de souvenirs précis de </w:t>
      </w:r>
      <w:proofErr w:type="spellStart"/>
      <w:r w:rsidRPr="00B82BDF">
        <w:rPr>
          <w:iCs/>
        </w:rPr>
        <w:t>l’enchaînement</w:t>
      </w:r>
      <w:proofErr w:type="spellEnd"/>
      <w:r w:rsidRPr="00B82BDF">
        <w:rPr>
          <w:iCs/>
        </w:rPr>
        <w:t xml:space="preserve"> des faits,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avait</w:t>
      </w:r>
      <w:proofErr w:type="spellEnd"/>
      <w:r w:rsidRPr="00B82BDF">
        <w:rPr>
          <w:iCs/>
        </w:rPr>
        <w:t xml:space="preserve"> fait </w:t>
      </w:r>
      <w:proofErr w:type="spellStart"/>
      <w:r w:rsidRPr="00B82BDF">
        <w:rPr>
          <w:iCs/>
        </w:rPr>
        <w:t>référence</w:t>
      </w:r>
      <w:proofErr w:type="spellEnd"/>
      <w:r w:rsidRPr="00B82BDF">
        <w:rPr>
          <w:iCs/>
        </w:rPr>
        <w:t xml:space="preserve"> à un « accord </w:t>
      </w:r>
      <w:proofErr w:type="spellStart"/>
      <w:r w:rsidRPr="00B82BDF">
        <w:rPr>
          <w:iCs/>
        </w:rPr>
        <w:t>donné</w:t>
      </w:r>
      <w:proofErr w:type="spellEnd"/>
      <w:r w:rsidRPr="00B82BDF">
        <w:rPr>
          <w:iCs/>
        </w:rPr>
        <w:t xml:space="preserve"> dans un </w:t>
      </w:r>
      <w:proofErr w:type="spellStart"/>
      <w:r w:rsidRPr="00B82BDF">
        <w:rPr>
          <w:iCs/>
        </w:rPr>
        <w:t>état</w:t>
      </w:r>
      <w:proofErr w:type="spellEnd"/>
      <w:r w:rsidRPr="00B82BDF">
        <w:rPr>
          <w:iCs/>
        </w:rPr>
        <w:t xml:space="preserve"> second » et à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situation « </w:t>
      </w:r>
      <w:proofErr w:type="spellStart"/>
      <w:r w:rsidRPr="00B82BDF">
        <w:rPr>
          <w:iCs/>
        </w:rPr>
        <w:t>d’abus</w:t>
      </w:r>
      <w:proofErr w:type="spellEnd"/>
      <w:r w:rsidRPr="00B82BDF">
        <w:rPr>
          <w:iCs/>
        </w:rPr>
        <w:t xml:space="preserve"> » de </w:t>
      </w:r>
      <w:proofErr w:type="spellStart"/>
      <w:r w:rsidRPr="00B82BDF">
        <w:rPr>
          <w:iCs/>
        </w:rPr>
        <w:t>cet</w:t>
      </w:r>
      <w:proofErr w:type="spellEnd"/>
      <w:r w:rsidRPr="00B82BDF">
        <w:rPr>
          <w:iCs/>
        </w:rPr>
        <w:t xml:space="preserve"> accord </w:t>
      </w:r>
      <w:proofErr w:type="spellStart"/>
      <w:r w:rsidRPr="00B82BDF">
        <w:rPr>
          <w:iCs/>
        </w:rPr>
        <w:t>dès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ses</w:t>
      </w:r>
      <w:proofErr w:type="spellEnd"/>
      <w:r w:rsidRPr="00B82BDF">
        <w:rPr>
          <w:iCs/>
        </w:rPr>
        <w:t xml:space="preserve"> premières </w:t>
      </w:r>
      <w:proofErr w:type="spellStart"/>
      <w:r w:rsidRPr="00B82BDF">
        <w:rPr>
          <w:iCs/>
        </w:rPr>
        <w:t>déclarations</w:t>
      </w:r>
      <w:proofErr w:type="spellEnd"/>
      <w:r w:rsidRPr="00B82BDF">
        <w:rPr>
          <w:iCs/>
        </w:rPr>
        <w:t xml:space="preserve"> aux </w:t>
      </w:r>
      <w:proofErr w:type="spellStart"/>
      <w:r w:rsidRPr="00B82BDF">
        <w:rPr>
          <w:iCs/>
        </w:rPr>
        <w:t>enquêteurs</w:t>
      </w:r>
      <w:proofErr w:type="spellEnd"/>
      <w:r w:rsidRPr="00B82BDF">
        <w:rPr>
          <w:iCs/>
        </w:rPr>
        <w:t xml:space="preserve"> le jour des faits, et </w:t>
      </w:r>
      <w:proofErr w:type="spellStart"/>
      <w:r w:rsidRPr="00B82BDF">
        <w:rPr>
          <w:iCs/>
        </w:rPr>
        <w:t>qu’elle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présentait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outre</w:t>
      </w:r>
      <w:proofErr w:type="spellEnd"/>
      <w:r w:rsidRPr="00B82BDF">
        <w:rPr>
          <w:iCs/>
        </w:rPr>
        <w:t xml:space="preserve"> des traces de </w:t>
      </w:r>
      <w:proofErr w:type="spellStart"/>
      <w:r w:rsidRPr="00B82BDF">
        <w:rPr>
          <w:iCs/>
        </w:rPr>
        <w:t>violences</w:t>
      </w:r>
      <w:proofErr w:type="spellEnd"/>
      <w:r w:rsidRPr="00B82BDF">
        <w:rPr>
          <w:iCs/>
        </w:rPr>
        <w:t xml:space="preserve"> sur le corps (</w:t>
      </w:r>
      <w:proofErr w:type="spellStart"/>
      <w:r w:rsidRPr="00B82BDF">
        <w:rPr>
          <w:iCs/>
        </w:rPr>
        <w:t>paragraphes</w:t>
      </w:r>
      <w:proofErr w:type="spellEnd"/>
      <w:r w:rsidRPr="00B82BDF">
        <w:rPr>
          <w:iCs/>
        </w:rPr>
        <w:t> 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paragraph00042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42</w:t>
      </w:r>
      <w:r w:rsidRPr="00B82BDF">
        <w:rPr>
          <w:iCs/>
        </w:rPr>
        <w:fldChar w:fldCharType="end"/>
      </w:r>
      <w:r w:rsidRPr="00B82BDF">
        <w:rPr>
          <w:iCs/>
        </w:rPr>
        <w:t>-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paragraph00044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44</w:t>
      </w:r>
      <w:r w:rsidRPr="00B82BDF">
        <w:rPr>
          <w:iCs/>
        </w:rPr>
        <w:fldChar w:fldCharType="end"/>
      </w:r>
      <w:r w:rsidRPr="00B82BDF">
        <w:rPr>
          <w:iCs/>
        </w:rPr>
        <w:t xml:space="preserve"> et 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paragraph00049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49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</w:t>
      </w:r>
      <w:r w:rsidRPr="00B82BDF">
        <w:rPr>
          <w:iCs/>
        </w:rPr>
        <w:noBreakHyphen/>
        <w:t xml:space="preserve">dessus). Il </w:t>
      </w:r>
      <w:proofErr w:type="spellStart"/>
      <w:r w:rsidRPr="00B82BDF">
        <w:rPr>
          <w:iCs/>
        </w:rPr>
        <w:t>est</w:t>
      </w:r>
      <w:proofErr w:type="spellEnd"/>
      <w:r w:rsidRPr="00B82BDF">
        <w:rPr>
          <w:iCs/>
        </w:rPr>
        <w:t xml:space="preserve"> notable que </w:t>
      </w:r>
      <w:proofErr w:type="spellStart"/>
      <w:r w:rsidRPr="00B82BDF">
        <w:rPr>
          <w:iCs/>
        </w:rPr>
        <w:t>l’état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alcoolisé</w:t>
      </w:r>
      <w:proofErr w:type="spellEnd"/>
      <w:r w:rsidRPr="00B82BDF">
        <w:rPr>
          <w:iCs/>
        </w:rPr>
        <w:t xml:space="preserve"> de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 a </w:t>
      </w:r>
      <w:proofErr w:type="spellStart"/>
      <w:r w:rsidRPr="00B82BDF">
        <w:rPr>
          <w:iCs/>
        </w:rPr>
        <w:t>seulement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été</w:t>
      </w:r>
      <w:proofErr w:type="spellEnd"/>
      <w:r w:rsidRPr="00B82BDF">
        <w:rPr>
          <w:iCs/>
        </w:rPr>
        <w:t xml:space="preserve"> pris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considération</w:t>
      </w:r>
      <w:proofErr w:type="spellEnd"/>
      <w:r w:rsidRPr="00B82BDF">
        <w:rPr>
          <w:iCs/>
        </w:rPr>
        <w:t xml:space="preserve">, par les </w:t>
      </w:r>
      <w:proofErr w:type="spellStart"/>
      <w:r w:rsidRPr="00B82BDF">
        <w:rPr>
          <w:iCs/>
        </w:rPr>
        <w:t>juges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, pour </w:t>
      </w:r>
      <w:proofErr w:type="spellStart"/>
      <w:r w:rsidRPr="00B82BDF">
        <w:rPr>
          <w:iCs/>
        </w:rPr>
        <w:t>caractériser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sa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désinhibition</w:t>
      </w:r>
      <w:proofErr w:type="spellEnd"/>
      <w:r w:rsidRPr="00B82BDF">
        <w:rPr>
          <w:iCs/>
        </w:rPr>
        <w:t xml:space="preserve"> et </w:t>
      </w:r>
      <w:proofErr w:type="spellStart"/>
      <w:r w:rsidRPr="00B82BDF">
        <w:rPr>
          <w:iCs/>
        </w:rPr>
        <w:t>écarter</w:t>
      </w:r>
      <w:proofErr w:type="spellEnd"/>
      <w:r w:rsidRPr="00B82BDF">
        <w:rPr>
          <w:iCs/>
        </w:rPr>
        <w:t xml:space="preserve"> tout </w:t>
      </w:r>
      <w:proofErr w:type="spellStart"/>
      <w:r w:rsidRPr="00B82BDF">
        <w:rPr>
          <w:iCs/>
        </w:rPr>
        <w:t>opportunisme</w:t>
      </w:r>
      <w:proofErr w:type="spellEnd"/>
      <w:r w:rsidRPr="00B82BDF">
        <w:rPr>
          <w:iCs/>
        </w:rPr>
        <w:t xml:space="preserve"> de la part des </w:t>
      </w:r>
      <w:proofErr w:type="spellStart"/>
      <w:r w:rsidRPr="00B82BDF">
        <w:rPr>
          <w:iCs/>
        </w:rPr>
        <w:t>personnes</w:t>
      </w:r>
      <w:proofErr w:type="spellEnd"/>
      <w:r w:rsidRPr="00B82BDF">
        <w:rPr>
          <w:iCs/>
        </w:rPr>
        <w:t xml:space="preserve"> mises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cause.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relève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outre</w:t>
      </w:r>
      <w:proofErr w:type="spellEnd"/>
      <w:r w:rsidRPr="00B82BDF">
        <w:rPr>
          <w:iCs/>
        </w:rPr>
        <w:t xml:space="preserve"> que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 ne </w:t>
      </w:r>
      <w:proofErr w:type="spellStart"/>
      <w:r w:rsidRPr="00B82BDF">
        <w:rPr>
          <w:iCs/>
        </w:rPr>
        <w:t>s’est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livrée</w:t>
      </w:r>
      <w:proofErr w:type="spellEnd"/>
      <w:r w:rsidRPr="00B82BDF">
        <w:rPr>
          <w:iCs/>
        </w:rPr>
        <w:t xml:space="preserve"> à </w:t>
      </w:r>
      <w:proofErr w:type="spellStart"/>
      <w:r w:rsidRPr="00B82BDF">
        <w:rPr>
          <w:iCs/>
        </w:rPr>
        <w:t>aucune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évaluation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contextuelle</w:t>
      </w:r>
      <w:proofErr w:type="spellEnd"/>
      <w:r w:rsidRPr="00B82BDF">
        <w:rPr>
          <w:iCs/>
        </w:rPr>
        <w:t xml:space="preserve"> de la situation de </w:t>
      </w:r>
      <w:proofErr w:type="spellStart"/>
      <w:r w:rsidRPr="00B82BDF">
        <w:rPr>
          <w:iCs/>
        </w:rPr>
        <w:t>particulière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vulnérabilité</w:t>
      </w:r>
      <w:proofErr w:type="spellEnd"/>
      <w:r w:rsidRPr="00B82BDF">
        <w:rPr>
          <w:iCs/>
        </w:rPr>
        <w:t xml:space="preserve"> dans </w:t>
      </w:r>
      <w:proofErr w:type="spellStart"/>
      <w:r w:rsidRPr="00B82BDF">
        <w:rPr>
          <w:iCs/>
        </w:rPr>
        <w:t>laquelle</w:t>
      </w:r>
      <w:proofErr w:type="spellEnd"/>
      <w:r w:rsidRPr="00B82BDF">
        <w:rPr>
          <w:iCs/>
        </w:rPr>
        <w:t xml:space="preserve"> se </w:t>
      </w:r>
      <w:proofErr w:type="spellStart"/>
      <w:r w:rsidRPr="00B82BDF">
        <w:rPr>
          <w:iCs/>
        </w:rPr>
        <w:t>trouvait</w:t>
      </w:r>
      <w:proofErr w:type="spellEnd"/>
      <w:r w:rsidRPr="00B82BDF">
        <w:rPr>
          <w:iCs/>
        </w:rPr>
        <w:t xml:space="preserve">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, qui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, au moment des faits, </w:t>
      </w:r>
      <w:proofErr w:type="spellStart"/>
      <w:r w:rsidRPr="00B82BDF">
        <w:rPr>
          <w:iCs/>
        </w:rPr>
        <w:t>une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très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jeune</w:t>
      </w:r>
      <w:proofErr w:type="spellEnd"/>
      <w:r w:rsidRPr="00B82BDF">
        <w:rPr>
          <w:iCs/>
        </w:rPr>
        <w:t xml:space="preserve"> fille </w:t>
      </w:r>
      <w:proofErr w:type="spellStart"/>
      <w:r w:rsidRPr="00B82BDF">
        <w:rPr>
          <w:iCs/>
        </w:rPr>
        <w:t>ayant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connu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sa</w:t>
      </w:r>
      <w:proofErr w:type="spellEnd"/>
      <w:r w:rsidRPr="00B82BDF">
        <w:rPr>
          <w:iCs/>
        </w:rPr>
        <w:t xml:space="preserve"> première relation </w:t>
      </w:r>
      <w:proofErr w:type="spellStart"/>
      <w:r w:rsidRPr="00B82BDF">
        <w:rPr>
          <w:iCs/>
        </w:rPr>
        <w:t>sexuelle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l’après</w:t>
      </w:r>
      <w:proofErr w:type="spellEnd"/>
      <w:r w:rsidRPr="00B82BDF">
        <w:rPr>
          <w:iCs/>
        </w:rPr>
        <w:t xml:space="preserve">-midi </w:t>
      </w:r>
      <w:proofErr w:type="spellStart"/>
      <w:r w:rsidRPr="00B82BDF">
        <w:rPr>
          <w:iCs/>
        </w:rPr>
        <w:t>même</w:t>
      </w:r>
      <w:proofErr w:type="spellEnd"/>
      <w:r w:rsidRPr="00B82BDF">
        <w:rPr>
          <w:iCs/>
        </w:rPr>
        <w:t xml:space="preserve"> avec un tiers et </w:t>
      </w:r>
      <w:proofErr w:type="spellStart"/>
      <w:r w:rsidRPr="00B82BDF">
        <w:rPr>
          <w:iCs/>
        </w:rPr>
        <w:t>faisant</w:t>
      </w:r>
      <w:proofErr w:type="spellEnd"/>
      <w:r w:rsidRPr="00B82BDF">
        <w:rPr>
          <w:iCs/>
        </w:rPr>
        <w:t xml:space="preserve"> face aux </w:t>
      </w:r>
      <w:proofErr w:type="spellStart"/>
      <w:r w:rsidRPr="00B82BDF">
        <w:rPr>
          <w:iCs/>
        </w:rPr>
        <w:t>sollicitations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pressantes</w:t>
      </w:r>
      <w:proofErr w:type="spellEnd"/>
      <w:r w:rsidRPr="00B82BDF">
        <w:rPr>
          <w:iCs/>
        </w:rPr>
        <w:t xml:space="preserve"> de deux </w:t>
      </w:r>
      <w:proofErr w:type="spellStart"/>
      <w:r w:rsidRPr="00B82BDF">
        <w:rPr>
          <w:iCs/>
        </w:rPr>
        <w:t>personnes</w:t>
      </w:r>
      <w:proofErr w:type="spellEnd"/>
      <w:r w:rsidRPr="00B82BDF">
        <w:rPr>
          <w:iCs/>
        </w:rPr>
        <w:t xml:space="preserve"> majeures </w:t>
      </w:r>
      <w:proofErr w:type="spellStart"/>
      <w:r w:rsidRPr="00B82BDF">
        <w:rPr>
          <w:iCs/>
        </w:rPr>
        <w:t>respectivement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âgées</w:t>
      </w:r>
      <w:proofErr w:type="spellEnd"/>
      <w:r w:rsidRPr="00B82BDF">
        <w:rPr>
          <w:iCs/>
        </w:rPr>
        <w:t xml:space="preserve"> de 21 et </w:t>
      </w:r>
      <w:proofErr w:type="spellStart"/>
      <w:r w:rsidRPr="00B82BDF">
        <w:rPr>
          <w:iCs/>
        </w:rPr>
        <w:t>presque</w:t>
      </w:r>
      <w:proofErr w:type="spellEnd"/>
      <w:r w:rsidRPr="00B82BDF">
        <w:rPr>
          <w:iCs/>
        </w:rPr>
        <w:t xml:space="preserve"> 30 ans. Les </w:t>
      </w:r>
      <w:proofErr w:type="spellStart"/>
      <w:r w:rsidRPr="00B82BDF">
        <w:rPr>
          <w:iCs/>
        </w:rPr>
        <w:t>juges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n’ont</w:t>
      </w:r>
      <w:proofErr w:type="spellEnd"/>
      <w:r w:rsidRPr="00B82BDF">
        <w:rPr>
          <w:iCs/>
        </w:rPr>
        <w:t xml:space="preserve"> pas </w:t>
      </w:r>
      <w:proofErr w:type="spellStart"/>
      <w:r w:rsidRPr="00B82BDF">
        <w:rPr>
          <w:iCs/>
        </w:rPr>
        <w:t>davantage</w:t>
      </w:r>
      <w:proofErr w:type="spellEnd"/>
      <w:r w:rsidRPr="00B82BDF">
        <w:rPr>
          <w:iCs/>
        </w:rPr>
        <w:t xml:space="preserve"> pris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considération</w:t>
      </w:r>
      <w:proofErr w:type="spellEnd"/>
      <w:r w:rsidRPr="00B82BDF">
        <w:rPr>
          <w:iCs/>
        </w:rPr>
        <w:t xml:space="preserve"> le </w:t>
      </w:r>
      <w:proofErr w:type="spellStart"/>
      <w:r w:rsidRPr="00B82BDF">
        <w:rPr>
          <w:iCs/>
        </w:rPr>
        <w:t>comportement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ces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dernières</w:t>
      </w:r>
      <w:proofErr w:type="spellEnd"/>
      <w:r w:rsidRPr="00B82BDF">
        <w:rPr>
          <w:iCs/>
        </w:rPr>
        <w:t xml:space="preserve"> qui </w:t>
      </w:r>
      <w:proofErr w:type="spellStart"/>
      <w:r w:rsidRPr="00B82BDF">
        <w:rPr>
          <w:iCs/>
        </w:rPr>
        <w:t>ont</w:t>
      </w:r>
      <w:proofErr w:type="spellEnd"/>
      <w:r w:rsidRPr="00B82BDF">
        <w:rPr>
          <w:iCs/>
        </w:rPr>
        <w:t xml:space="preserve"> pris la </w:t>
      </w:r>
      <w:proofErr w:type="spellStart"/>
      <w:r w:rsidRPr="00B82BDF">
        <w:rPr>
          <w:iCs/>
        </w:rPr>
        <w:t>fuite</w:t>
      </w:r>
      <w:proofErr w:type="spellEnd"/>
      <w:r w:rsidRPr="00B82BDF">
        <w:rPr>
          <w:iCs/>
        </w:rPr>
        <w:t xml:space="preserve"> pour </w:t>
      </w:r>
      <w:proofErr w:type="spellStart"/>
      <w:r w:rsidRPr="00B82BDF">
        <w:rPr>
          <w:iCs/>
        </w:rPr>
        <w:t>s’isoler</w:t>
      </w:r>
      <w:proofErr w:type="spellEnd"/>
      <w:r w:rsidRPr="00B82BDF">
        <w:rPr>
          <w:iCs/>
        </w:rPr>
        <w:t xml:space="preserve"> dans un parking </w:t>
      </w:r>
      <w:proofErr w:type="spellStart"/>
      <w:r w:rsidRPr="00B82BDF">
        <w:rPr>
          <w:iCs/>
        </w:rPr>
        <w:t>quand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leur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véhicule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repéré</w:t>
      </w:r>
      <w:proofErr w:type="spellEnd"/>
      <w:r w:rsidRPr="00B82BDF">
        <w:rPr>
          <w:iCs/>
        </w:rPr>
        <w:t xml:space="preserve"> par le frère de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puis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ont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abandonné</w:t>
      </w:r>
      <w:proofErr w:type="spellEnd"/>
      <w:r w:rsidRPr="00B82BDF">
        <w:rPr>
          <w:iCs/>
        </w:rPr>
        <w:t xml:space="preserve"> les deux </w:t>
      </w:r>
      <w:proofErr w:type="spellStart"/>
      <w:r w:rsidRPr="00B82BDF">
        <w:rPr>
          <w:iCs/>
        </w:rPr>
        <w:t>jeunes</w:t>
      </w:r>
      <w:proofErr w:type="spellEnd"/>
      <w:r w:rsidRPr="00B82BDF">
        <w:rPr>
          <w:iCs/>
        </w:rPr>
        <w:t xml:space="preserve"> filles </w:t>
      </w:r>
      <w:proofErr w:type="spellStart"/>
      <w:r w:rsidRPr="00B82BDF">
        <w:rPr>
          <w:iCs/>
        </w:rPr>
        <w:t>mineures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pleine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nuit</w:t>
      </w:r>
      <w:proofErr w:type="spellEnd"/>
      <w:r w:rsidRPr="00B82BDF">
        <w:rPr>
          <w:iCs/>
        </w:rPr>
        <w:t xml:space="preserve"> au bord </w:t>
      </w:r>
      <w:proofErr w:type="spellStart"/>
      <w:r w:rsidRPr="00B82BDF">
        <w:rPr>
          <w:iCs/>
        </w:rPr>
        <w:t>d’une</w:t>
      </w:r>
      <w:proofErr w:type="spellEnd"/>
      <w:r w:rsidRPr="00B82BDF">
        <w:rPr>
          <w:iCs/>
        </w:rPr>
        <w:t xml:space="preserve"> autoroute.</w:t>
      </w:r>
    </w:p>
    <w:p w14:paraId="5F56D9D8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237</w:t>
      </w:r>
      <w:r w:rsidRPr="00B82BDF">
        <w:rPr>
          <w:noProof/>
        </w:rPr>
        <w:fldChar w:fldCharType="end"/>
      </w:r>
      <w:r w:rsidRPr="00B82BDF">
        <w:t xml:space="preserve">.  Or,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souligne</w:t>
      </w:r>
      <w:proofErr w:type="spellEnd"/>
      <w:r w:rsidRPr="00B82BDF">
        <w:t xml:space="preserve"> </w:t>
      </w:r>
      <w:proofErr w:type="spellStart"/>
      <w:r w:rsidRPr="00B82BDF">
        <w:t>qu’une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des faits </w:t>
      </w:r>
      <w:proofErr w:type="spellStart"/>
      <w:r w:rsidRPr="00B82BDF">
        <w:t>ainsi</w:t>
      </w:r>
      <w:proofErr w:type="spellEnd"/>
      <w:r w:rsidRPr="00B82BDF">
        <w:t xml:space="preserve"> </w:t>
      </w:r>
      <w:proofErr w:type="spellStart"/>
      <w:r w:rsidRPr="00B82BDF">
        <w:t>qu’une</w:t>
      </w:r>
      <w:proofErr w:type="spellEnd"/>
      <w:r w:rsidRPr="00B82BDF">
        <w:t xml:space="preserve"> </w:t>
      </w:r>
      <w:proofErr w:type="spellStart"/>
      <w:r w:rsidRPr="00B82BDF">
        <w:t>interprétation</w:t>
      </w:r>
      <w:proofErr w:type="spellEnd"/>
      <w:r w:rsidRPr="00B82BDF">
        <w:t xml:space="preserve"> du cadre </w:t>
      </w:r>
      <w:proofErr w:type="spellStart"/>
      <w:r w:rsidRPr="00B82BDF">
        <w:t>juridique</w:t>
      </w:r>
      <w:proofErr w:type="spellEnd"/>
      <w:r w:rsidRPr="00B82BDF">
        <w:t xml:space="preserve"> </w:t>
      </w:r>
      <w:proofErr w:type="spellStart"/>
      <w:r w:rsidRPr="00B82BDF">
        <w:t>existant</w:t>
      </w:r>
      <w:proofErr w:type="spellEnd"/>
      <w:r w:rsidRPr="00B82BDF">
        <w:t xml:space="preserve"> </w:t>
      </w:r>
      <w:proofErr w:type="spellStart"/>
      <w:r w:rsidRPr="00B82BDF">
        <w:t>différentes</w:t>
      </w:r>
      <w:proofErr w:type="spellEnd"/>
      <w:r w:rsidRPr="00B82BDF">
        <w:t xml:space="preserve"> </w:t>
      </w:r>
      <w:proofErr w:type="spellStart"/>
      <w:r w:rsidRPr="00B82BDF">
        <w:t>avaient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retenues</w:t>
      </w:r>
      <w:proofErr w:type="spellEnd"/>
      <w:r w:rsidRPr="00B82BDF">
        <w:t xml:space="preserve"> tant par le tribunal </w:t>
      </w:r>
      <w:proofErr w:type="spellStart"/>
      <w:r w:rsidRPr="00B82BDF">
        <w:t>correctionnel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première instance que par </w:t>
      </w:r>
      <w:proofErr w:type="spellStart"/>
      <w:r w:rsidRPr="00B82BDF">
        <w:t>l’avocat</w:t>
      </w:r>
      <w:r>
        <w:t>e</w:t>
      </w:r>
      <w:proofErr w:type="spellEnd"/>
      <w:r>
        <w:t xml:space="preserve"> </w:t>
      </w:r>
      <w:proofErr w:type="spellStart"/>
      <w:r w:rsidRPr="00B82BDF">
        <w:t>général</w:t>
      </w:r>
      <w:r>
        <w:t>e</w:t>
      </w:r>
      <w:proofErr w:type="spellEnd"/>
      <w:r w:rsidRPr="00B82BDF">
        <w:t xml:space="preserve"> </w:t>
      </w:r>
      <w:proofErr w:type="spellStart"/>
      <w:r w:rsidRPr="00B82BDF">
        <w:t>près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cassation. Le tribunal </w:t>
      </w:r>
      <w:proofErr w:type="spellStart"/>
      <w:r w:rsidRPr="00B82BDF">
        <w:t>correctionnel</w:t>
      </w:r>
      <w:proofErr w:type="spellEnd"/>
      <w:r w:rsidRPr="00B82BDF">
        <w:t xml:space="preserve">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effet</w:t>
      </w:r>
      <w:proofErr w:type="spellEnd"/>
      <w:r w:rsidRPr="00B82BDF">
        <w:t xml:space="preserve"> </w:t>
      </w:r>
      <w:proofErr w:type="spellStart"/>
      <w:r w:rsidRPr="00B82BDF">
        <w:t>estimé</w:t>
      </w:r>
      <w:proofErr w:type="spellEnd"/>
      <w:r w:rsidRPr="00B82BDF">
        <w:t xml:space="preserve"> </w:t>
      </w:r>
      <w:proofErr w:type="spellStart"/>
      <w:r w:rsidRPr="00B82BDF">
        <w:t>matériellement</w:t>
      </w:r>
      <w:proofErr w:type="spellEnd"/>
      <w:r w:rsidRPr="00B82BDF">
        <w:t xml:space="preserve"> </w:t>
      </w:r>
      <w:proofErr w:type="spellStart"/>
      <w:r w:rsidRPr="00B82BDF">
        <w:t>incompétent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raison de la nature </w:t>
      </w:r>
      <w:proofErr w:type="spellStart"/>
      <w:r w:rsidRPr="00B82BDF">
        <w:t>criminelle</w:t>
      </w:r>
      <w:proofErr w:type="spellEnd"/>
      <w:r w:rsidRPr="00B82BDF">
        <w:t xml:space="preserve"> des faits de </w:t>
      </w:r>
      <w:proofErr w:type="spellStart"/>
      <w:r w:rsidRPr="00B82BDF">
        <w:t>l’espèce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retenue</w:t>
      </w:r>
      <w:proofErr w:type="spellEnd"/>
      <w:r w:rsidRPr="00B82BDF">
        <w:t xml:space="preserve">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caractérisé</w:t>
      </w:r>
      <w:proofErr w:type="spellEnd"/>
      <w:r w:rsidRPr="00B82BDF">
        <w:t xml:space="preserve"> le </w:t>
      </w:r>
      <w:proofErr w:type="spellStart"/>
      <w:r w:rsidRPr="00B82BDF">
        <w:t>consentement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de « non </w:t>
      </w:r>
      <w:proofErr w:type="spellStart"/>
      <w:r w:rsidRPr="00B82BDF">
        <w:t>éclairé</w:t>
      </w:r>
      <w:proofErr w:type="spellEnd"/>
      <w:r w:rsidRPr="00B82BDF">
        <w:t xml:space="preserve"> car </w:t>
      </w:r>
      <w:proofErr w:type="spellStart"/>
      <w:r w:rsidRPr="00B82BDF">
        <w:t>surpris</w:t>
      </w:r>
      <w:proofErr w:type="spellEnd"/>
      <w:r w:rsidRPr="00B82BDF">
        <w:t xml:space="preserve"> » et </w:t>
      </w:r>
      <w:proofErr w:type="spellStart"/>
      <w:r w:rsidRPr="00B82BDF">
        <w:t>s’être</w:t>
      </w:r>
      <w:proofErr w:type="spellEnd"/>
      <w:r w:rsidRPr="00B82BDF">
        <w:t xml:space="preserve"> </w:t>
      </w:r>
      <w:proofErr w:type="spellStart"/>
      <w:r w:rsidRPr="00B82BDF">
        <w:t>interrogé</w:t>
      </w:r>
      <w:proofErr w:type="spellEnd"/>
      <w:r w:rsidRPr="00B82BDF">
        <w:t xml:space="preserve"> sur </w:t>
      </w:r>
      <w:proofErr w:type="spellStart"/>
      <w:r w:rsidRPr="00B82BDF">
        <w:t>l’existence</w:t>
      </w:r>
      <w:proofErr w:type="spellEnd"/>
      <w:r w:rsidRPr="00B82BDF">
        <w:t xml:space="preserve"> d’un « possible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contraint</w:t>
      </w:r>
      <w:proofErr w:type="spellEnd"/>
      <w:r w:rsidRPr="00B82BDF">
        <w:t xml:space="preserve"> par la violence physique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paragraph00053 \h \* CharFormat </w:instrText>
      </w:r>
      <w:r w:rsidRPr="00B82BDF">
        <w:fldChar w:fldCharType="separate"/>
      </w:r>
      <w:r w:rsidRPr="00B82BDF">
        <w:t>53</w:t>
      </w:r>
      <w:r w:rsidRPr="00B82BDF">
        <w:fldChar w:fldCharType="end"/>
      </w:r>
      <w:r w:rsidRPr="00B82BDF">
        <w:t xml:space="preserve"> ci-dessus). Dans le </w:t>
      </w:r>
      <w:proofErr w:type="spellStart"/>
      <w:r w:rsidRPr="00B82BDF">
        <w:t>même</w:t>
      </w:r>
      <w:proofErr w:type="spellEnd"/>
      <w:r w:rsidRPr="00B82BDF">
        <w:t xml:space="preserve"> </w:t>
      </w:r>
      <w:proofErr w:type="spellStart"/>
      <w:r w:rsidRPr="00B82BDF">
        <w:t>sens</w:t>
      </w:r>
      <w:proofErr w:type="spellEnd"/>
      <w:r w:rsidRPr="00B82BDF">
        <w:t xml:space="preserve">, </w:t>
      </w:r>
      <w:proofErr w:type="spellStart"/>
      <w:r w:rsidRPr="00B82BDF">
        <w:t>l’avocat</w:t>
      </w:r>
      <w:r>
        <w:t>e</w:t>
      </w:r>
      <w:proofErr w:type="spellEnd"/>
      <w:r>
        <w:t xml:space="preserve"> </w:t>
      </w:r>
      <w:proofErr w:type="spellStart"/>
      <w:r w:rsidRPr="00B82BDF">
        <w:t>général</w:t>
      </w:r>
      <w:r>
        <w:t>e</w:t>
      </w:r>
      <w:proofErr w:type="spellEnd"/>
      <w:r w:rsidRPr="00B82BDF">
        <w:t xml:space="preserve"> </w:t>
      </w:r>
      <w:proofErr w:type="spellStart"/>
      <w:r w:rsidRPr="00B82BDF">
        <w:t>près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proposé</w:t>
      </w:r>
      <w:proofErr w:type="spellEnd"/>
      <w:r w:rsidRPr="00B82BDF">
        <w:t xml:space="preserve">, dans son </w:t>
      </w:r>
      <w:proofErr w:type="spellStart"/>
      <w:r w:rsidRPr="00B82BDF">
        <w:t>avis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paragraph00059 \h \* CharFormat </w:instrText>
      </w:r>
      <w:r w:rsidRPr="00B82BDF">
        <w:fldChar w:fldCharType="separate"/>
      </w:r>
      <w:r w:rsidRPr="00B82BDF">
        <w:t>59</w:t>
      </w:r>
      <w:r w:rsidRPr="00B82BDF">
        <w:fldChar w:fldCharType="end"/>
      </w:r>
      <w:r w:rsidRPr="00B82BDF">
        <w:t xml:space="preserve"> ci-dessus), que </w:t>
      </w:r>
      <w:r w:rsidRPr="00B82BDF">
        <w:lastRenderedPageBreak/>
        <w:t xml:space="preserve">la qualification de viol ne se </w:t>
      </w:r>
      <w:proofErr w:type="spellStart"/>
      <w:r w:rsidRPr="00B82BDF">
        <w:t>fonde</w:t>
      </w:r>
      <w:proofErr w:type="spellEnd"/>
      <w:r w:rsidRPr="00B82BDF">
        <w:t xml:space="preserve"> plus </w:t>
      </w:r>
      <w:proofErr w:type="spellStart"/>
      <w:r w:rsidRPr="00B82BDF">
        <w:t>seulement</w:t>
      </w:r>
      <w:proofErr w:type="spellEnd"/>
      <w:r w:rsidRPr="00B82BDF">
        <w:t xml:space="preserve"> sur les </w:t>
      </w:r>
      <w:proofErr w:type="spellStart"/>
      <w:r w:rsidRPr="00B82BDF">
        <w:t>moyens</w:t>
      </w:r>
      <w:proofErr w:type="spellEnd"/>
      <w:r w:rsidRPr="00B82BDF">
        <w:t xml:space="preserve"> </w:t>
      </w:r>
      <w:proofErr w:type="spellStart"/>
      <w:r w:rsidRPr="00B82BDF">
        <w:t>dont</w:t>
      </w:r>
      <w:proofErr w:type="spellEnd"/>
      <w:r w:rsidRPr="00B82BDF">
        <w:t xml:space="preserve"> </w:t>
      </w:r>
      <w:proofErr w:type="spellStart"/>
      <w:r w:rsidRPr="00B82BDF">
        <w:t>l’auteur</w:t>
      </w:r>
      <w:proofErr w:type="spellEnd"/>
      <w:r w:rsidRPr="00B82BDF">
        <w:t xml:space="preserve"> a </w:t>
      </w:r>
      <w:proofErr w:type="spellStart"/>
      <w:r w:rsidRPr="00B82BDF">
        <w:t>usé</w:t>
      </w:r>
      <w:proofErr w:type="spellEnd"/>
      <w:r w:rsidRPr="00B82BDF">
        <w:t xml:space="preserve"> </w:t>
      </w:r>
      <w:proofErr w:type="spellStart"/>
      <w:r w:rsidRPr="00B82BDF">
        <w:t>mais</w:t>
      </w:r>
      <w:proofErr w:type="spellEnd"/>
      <w:r w:rsidRPr="00B82BDF">
        <w:t xml:space="preserve"> </w:t>
      </w:r>
      <w:proofErr w:type="spellStart"/>
      <w:r w:rsidRPr="00B82BDF">
        <w:t>d’abord</w:t>
      </w:r>
      <w:proofErr w:type="spellEnd"/>
      <w:r w:rsidRPr="00B82BDF">
        <w:t xml:space="preserve"> sur le </w:t>
      </w:r>
      <w:proofErr w:type="spellStart"/>
      <w:r w:rsidRPr="00B82BDF">
        <w:t>défaut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</w:t>
      </w:r>
      <w:proofErr w:type="spellStart"/>
      <w:r w:rsidRPr="00B82BDF">
        <w:t>suffisamment</w:t>
      </w:r>
      <w:proofErr w:type="spellEnd"/>
      <w:r w:rsidRPr="00B82BDF">
        <w:t xml:space="preserve"> </w:t>
      </w:r>
      <w:proofErr w:type="spellStart"/>
      <w:r w:rsidRPr="00B82BDF">
        <w:t>éclairé</w:t>
      </w:r>
      <w:proofErr w:type="spellEnd"/>
      <w:r w:rsidRPr="00B82BDF">
        <w:t xml:space="preserve"> de la </w:t>
      </w:r>
      <w:proofErr w:type="spellStart"/>
      <w:r w:rsidRPr="00B82BDF">
        <w:t>victime</w:t>
      </w:r>
      <w:proofErr w:type="spellEnd"/>
      <w:r w:rsidRPr="00B82BDF">
        <w:t xml:space="preserve"> à se </w:t>
      </w:r>
      <w:proofErr w:type="spellStart"/>
      <w:r w:rsidRPr="00B82BDF">
        <w:t>prêter</w:t>
      </w:r>
      <w:proofErr w:type="spellEnd"/>
      <w:r w:rsidRPr="00B82BDF">
        <w:t xml:space="preserve"> à un rapport </w:t>
      </w:r>
      <w:proofErr w:type="spellStart"/>
      <w:r w:rsidRPr="00B82BDF">
        <w:t>sexuel</w:t>
      </w:r>
      <w:proofErr w:type="spellEnd"/>
      <w:r w:rsidRPr="00B82BDF">
        <w:t xml:space="preserve">. </w:t>
      </w:r>
      <w:r>
        <w:t>Elle</w:t>
      </w:r>
      <w:r w:rsidRPr="00B82BDF">
        <w:t xml:space="preserve"> </w:t>
      </w:r>
      <w:proofErr w:type="spellStart"/>
      <w:r w:rsidRPr="00B82BDF">
        <w:t>concluait</w:t>
      </w:r>
      <w:proofErr w:type="spellEnd"/>
      <w:r w:rsidRPr="00B82BDF">
        <w:t xml:space="preserve"> à la cassation de </w:t>
      </w:r>
      <w:proofErr w:type="spellStart"/>
      <w:r w:rsidRPr="00B82BDF">
        <w:t>l’arrêt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faute</w:t>
      </w:r>
      <w:proofErr w:type="spellEnd"/>
      <w:r w:rsidRPr="00B82BDF">
        <w:t xml:space="preserve"> pour les </w:t>
      </w:r>
      <w:proofErr w:type="spellStart"/>
      <w:r w:rsidRPr="00B82BDF">
        <w:t>juges</w:t>
      </w:r>
      <w:proofErr w:type="spellEnd"/>
      <w:r w:rsidRPr="00B82BDF">
        <w:t xml:space="preserve"> du fond </w:t>
      </w:r>
      <w:proofErr w:type="spellStart"/>
      <w:r w:rsidRPr="00B82BDF">
        <w:t>d’avoir</w:t>
      </w:r>
      <w:proofErr w:type="spellEnd"/>
      <w:r w:rsidRPr="00B82BDF">
        <w:t xml:space="preserve"> </w:t>
      </w:r>
      <w:proofErr w:type="spellStart"/>
      <w:r w:rsidRPr="00B82BDF">
        <w:t>suffisamment</w:t>
      </w:r>
      <w:proofErr w:type="spellEnd"/>
      <w:r w:rsidRPr="00B82BDF">
        <w:t xml:space="preserve"> </w:t>
      </w:r>
      <w:proofErr w:type="spellStart"/>
      <w:r w:rsidRPr="00B82BDF">
        <w:t>expliqué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quoi le </w:t>
      </w:r>
      <w:proofErr w:type="spellStart"/>
      <w:r w:rsidRPr="00B82BDF">
        <w:t>consentement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et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capacité</w:t>
      </w:r>
      <w:proofErr w:type="spellEnd"/>
      <w:r w:rsidRPr="00B82BDF">
        <w:t xml:space="preserve"> à </w:t>
      </w:r>
      <w:proofErr w:type="spellStart"/>
      <w:r w:rsidRPr="00B82BDF">
        <w:t>consentir</w:t>
      </w:r>
      <w:proofErr w:type="spellEnd"/>
      <w:r w:rsidRPr="00B82BDF">
        <w:t xml:space="preserve"> aux rapports </w:t>
      </w:r>
      <w:proofErr w:type="spellStart"/>
      <w:r w:rsidRPr="00B82BDF">
        <w:t>sexuels</w:t>
      </w:r>
      <w:proofErr w:type="spellEnd"/>
      <w:r w:rsidRPr="00B82BDF">
        <w:t xml:space="preserve"> </w:t>
      </w:r>
      <w:proofErr w:type="spellStart"/>
      <w:r w:rsidRPr="00B82BDF">
        <w:t>étaient</w:t>
      </w:r>
      <w:proofErr w:type="spellEnd"/>
      <w:r w:rsidRPr="00B82BDF">
        <w:t xml:space="preserve"> </w:t>
      </w:r>
      <w:proofErr w:type="spellStart"/>
      <w:r w:rsidRPr="00B82BDF">
        <w:t>préservés</w:t>
      </w:r>
      <w:proofErr w:type="spellEnd"/>
      <w:r w:rsidRPr="00B82BDF">
        <w:t xml:space="preserve"> malgré son intoxication </w:t>
      </w:r>
      <w:proofErr w:type="spellStart"/>
      <w:r w:rsidRPr="00B82BDF">
        <w:t>alcoolique</w:t>
      </w:r>
      <w:proofErr w:type="spellEnd"/>
      <w:r w:rsidRPr="00B82BDF">
        <w:t xml:space="preserve">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rappelle</w:t>
      </w:r>
      <w:proofErr w:type="spellEnd"/>
      <w:r w:rsidRPr="00B82BDF">
        <w:t xml:space="preserve"> que </w:t>
      </w:r>
      <w:proofErr w:type="spellStart"/>
      <w:r w:rsidRPr="00B82BDF">
        <w:t>cette</w:t>
      </w:r>
      <w:proofErr w:type="spellEnd"/>
      <w:r w:rsidRPr="00B82BDF">
        <w:t xml:space="preserve"> proposition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suivie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cassation, qui a </w:t>
      </w:r>
      <w:proofErr w:type="spellStart"/>
      <w:r w:rsidRPr="00B82BDF">
        <w:t>déclaré</w:t>
      </w:r>
      <w:proofErr w:type="spellEnd"/>
      <w:r w:rsidRPr="00B82BDF">
        <w:t xml:space="preserve"> non admis le </w:t>
      </w:r>
      <w:proofErr w:type="spellStart"/>
      <w:r w:rsidRPr="00B82BDF">
        <w:t>pourvoi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qui </w:t>
      </w:r>
      <w:proofErr w:type="spellStart"/>
      <w:r w:rsidRPr="00B82BDF">
        <w:t>l’invitait</w:t>
      </w:r>
      <w:proofErr w:type="spellEnd"/>
      <w:r w:rsidRPr="00B82BDF">
        <w:t xml:space="preserve"> </w:t>
      </w:r>
      <w:proofErr w:type="spellStart"/>
      <w:r w:rsidRPr="00B82BDF">
        <w:t>pourtant</w:t>
      </w:r>
      <w:proofErr w:type="spellEnd"/>
      <w:r w:rsidRPr="00B82BDF">
        <w:t xml:space="preserve"> à prendre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considération</w:t>
      </w:r>
      <w:proofErr w:type="spellEnd"/>
      <w:r w:rsidRPr="00B82BDF">
        <w:t xml:space="preserve"> </w:t>
      </w:r>
      <w:proofErr w:type="spellStart"/>
      <w:r w:rsidRPr="00B82BDF">
        <w:t>l’existence</w:t>
      </w:r>
      <w:proofErr w:type="spellEnd"/>
      <w:r w:rsidRPr="00B82BDF">
        <w:t xml:space="preserve"> d’un </w:t>
      </w:r>
      <w:proofErr w:type="spellStart"/>
      <w:r w:rsidRPr="00B82BDF">
        <w:t>consentement</w:t>
      </w:r>
      <w:proofErr w:type="spellEnd"/>
      <w:r w:rsidRPr="00B82BDF">
        <w:t xml:space="preserve"> « apparent » </w:t>
      </w:r>
      <w:proofErr w:type="spellStart"/>
      <w:r w:rsidRPr="00B82BDF">
        <w:t>dénué</w:t>
      </w:r>
      <w:proofErr w:type="spellEnd"/>
      <w:r w:rsidRPr="00B82BDF">
        <w:t xml:space="preserve"> de libre </w:t>
      </w:r>
      <w:proofErr w:type="spellStart"/>
      <w:r w:rsidRPr="00B82BDF">
        <w:t>arbitre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paragraph00058 \h \* CharFormat </w:instrText>
      </w:r>
      <w:r w:rsidRPr="00B82BDF">
        <w:fldChar w:fldCharType="separate"/>
      </w:r>
      <w:r w:rsidRPr="00B82BDF">
        <w:t>58</w:t>
      </w:r>
      <w:r w:rsidRPr="00B82BDF">
        <w:fldChar w:fldCharType="end"/>
      </w:r>
      <w:r w:rsidRPr="00B82BDF">
        <w:t xml:space="preserve"> et </w:t>
      </w:r>
      <w:r w:rsidRPr="00B82BDF">
        <w:fldChar w:fldCharType="begin"/>
      </w:r>
      <w:r w:rsidRPr="00B82BDF">
        <w:instrText xml:space="preserve">REF paragraph00060 \h \* CharFormat </w:instrText>
      </w:r>
      <w:r w:rsidRPr="00B82BDF">
        <w:fldChar w:fldCharType="separate"/>
      </w:r>
      <w:r w:rsidRPr="00B82BDF">
        <w:t>60</w:t>
      </w:r>
      <w:r w:rsidRPr="00B82BDF">
        <w:fldChar w:fldCharType="end"/>
      </w:r>
      <w:r w:rsidRPr="00B82BDF">
        <w:t xml:space="preserve"> ci</w:t>
      </w:r>
      <w:r w:rsidRPr="00B82BDF">
        <w:noBreakHyphen/>
        <w:t>dessus).</w:t>
      </w:r>
    </w:p>
    <w:p w14:paraId="21F0169A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  <w:iCs/>
        </w:rPr>
      </w:pPr>
      <w:r w:rsidRPr="00B82BDF">
        <w:rPr>
          <w:rFonts w:ascii="Times New Roman" w:hAnsi="Times New Roman" w:cs="Times New Roman"/>
          <w:iCs/>
        </w:rPr>
        <w:fldChar w:fldCharType="begin"/>
      </w:r>
      <w:r w:rsidRPr="00B82BDF">
        <w:rPr>
          <w:rFonts w:ascii="Times New Roman" w:hAnsi="Times New Roman" w:cs="Times New Roman"/>
          <w:iCs/>
        </w:rPr>
        <w:instrText xml:space="preserve"> SEQ level0 \*arabic \* MERGEFORMAT </w:instrText>
      </w:r>
      <w:r w:rsidRPr="00B82BDF">
        <w:rPr>
          <w:rFonts w:ascii="Times New Roman" w:hAnsi="Times New Roman" w:cs="Times New Roman"/>
          <w:iCs/>
        </w:rPr>
        <w:fldChar w:fldCharType="separate"/>
      </w:r>
      <w:r w:rsidRPr="00B82BDF">
        <w:rPr>
          <w:rFonts w:ascii="Times New Roman" w:hAnsi="Times New Roman" w:cs="Times New Roman"/>
          <w:iCs/>
          <w:noProof/>
        </w:rPr>
        <w:t>238</w:t>
      </w:r>
      <w:r w:rsidRPr="00B82BDF">
        <w:rPr>
          <w:rFonts w:ascii="Times New Roman" w:hAnsi="Times New Roman" w:cs="Times New Roman"/>
          <w:iCs/>
        </w:rPr>
        <w:fldChar w:fldCharType="end"/>
      </w:r>
      <w:r w:rsidRPr="00B82BDF">
        <w:rPr>
          <w:rFonts w:ascii="Times New Roman" w:hAnsi="Times New Roman" w:cs="Times New Roman"/>
          <w:iCs/>
        </w:rPr>
        <w:t xml:space="preserve">.  De </w:t>
      </w:r>
      <w:proofErr w:type="spellStart"/>
      <w:r w:rsidRPr="00B82BDF">
        <w:rPr>
          <w:rFonts w:ascii="Times New Roman" w:hAnsi="Times New Roman" w:cs="Times New Roman"/>
          <w:iCs/>
        </w:rPr>
        <w:t>l’ensemble</w:t>
      </w:r>
      <w:proofErr w:type="spellEnd"/>
      <w:r w:rsidRPr="00B82BDF">
        <w:rPr>
          <w:rFonts w:ascii="Times New Roman" w:hAnsi="Times New Roman" w:cs="Times New Roman"/>
          <w:iCs/>
        </w:rPr>
        <w:t xml:space="preserve"> des </w:t>
      </w:r>
      <w:proofErr w:type="spellStart"/>
      <w:r w:rsidRPr="00B82BDF">
        <w:rPr>
          <w:rFonts w:ascii="Times New Roman" w:hAnsi="Times New Roman" w:cs="Times New Roman"/>
          <w:iCs/>
        </w:rPr>
        <w:t>considérations</w:t>
      </w:r>
      <w:proofErr w:type="spellEnd"/>
      <w:r w:rsidRPr="00B82BDF">
        <w:rPr>
          <w:rFonts w:ascii="Times New Roman" w:hAnsi="Times New Roman" w:cs="Times New Roman"/>
          <w:iCs/>
        </w:rPr>
        <w:t xml:space="preserve"> qui </w:t>
      </w:r>
      <w:proofErr w:type="spellStart"/>
      <w:r w:rsidRPr="00B82BDF">
        <w:rPr>
          <w:rFonts w:ascii="Times New Roman" w:hAnsi="Times New Roman" w:cs="Times New Roman"/>
          <w:iCs/>
        </w:rPr>
        <w:t>précèdent</w:t>
      </w:r>
      <w:proofErr w:type="spellEnd"/>
      <w:r w:rsidRPr="00B82BDF">
        <w:rPr>
          <w:rFonts w:ascii="Times New Roman" w:hAnsi="Times New Roman" w:cs="Times New Roman"/>
          <w:iCs/>
        </w:rPr>
        <w:t xml:space="preserve">, la </w:t>
      </w:r>
      <w:proofErr w:type="spellStart"/>
      <w:r w:rsidRPr="00B82BDF">
        <w:rPr>
          <w:rFonts w:ascii="Times New Roman" w:hAnsi="Times New Roman" w:cs="Times New Roman"/>
          <w:iCs/>
        </w:rPr>
        <w:t>Cour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déduit</w:t>
      </w:r>
      <w:proofErr w:type="spellEnd"/>
      <w:r w:rsidRPr="00B82BDF">
        <w:rPr>
          <w:rFonts w:ascii="Times New Roman" w:hAnsi="Times New Roman" w:cs="Times New Roman"/>
          <w:iCs/>
        </w:rPr>
        <w:t xml:space="preserve"> que, </w:t>
      </w:r>
      <w:proofErr w:type="spellStart"/>
      <w:r w:rsidRPr="00B82BDF">
        <w:rPr>
          <w:rFonts w:ascii="Times New Roman" w:hAnsi="Times New Roman" w:cs="Times New Roman"/>
          <w:iCs/>
        </w:rPr>
        <w:t>compte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tenu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la </w:t>
      </w:r>
      <w:proofErr w:type="spellStart"/>
      <w:r w:rsidRPr="00B82BDF">
        <w:rPr>
          <w:rFonts w:ascii="Times New Roman" w:hAnsi="Times New Roman" w:cs="Times New Roman"/>
          <w:color w:val="000000"/>
        </w:rPr>
        <w:t>fois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du cadre </w:t>
      </w:r>
      <w:proofErr w:type="spellStart"/>
      <w:r w:rsidRPr="00B82BDF">
        <w:rPr>
          <w:rFonts w:ascii="Times New Roman" w:hAnsi="Times New Roman" w:cs="Times New Roman"/>
          <w:color w:val="000000"/>
        </w:rPr>
        <w:t>juridique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vigueur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B82BDF">
        <w:rPr>
          <w:rFonts w:ascii="Times New Roman" w:hAnsi="Times New Roman" w:cs="Times New Roman"/>
          <w:color w:val="000000"/>
        </w:rPr>
        <w:t>l’époque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faits et de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l’application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qui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B82BDF">
        <w:rPr>
          <w:rFonts w:ascii="Times New Roman" w:hAnsi="Times New Roman" w:cs="Times New Roman"/>
          <w:color w:val="000000"/>
        </w:rPr>
        <w:t>été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faite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l’espèce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l’approche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adoptée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dans la </w:t>
      </w:r>
      <w:proofErr w:type="spellStart"/>
      <w:r w:rsidRPr="00B82BDF">
        <w:rPr>
          <w:rFonts w:ascii="Times New Roman" w:hAnsi="Times New Roman" w:cs="Times New Roman"/>
          <w:color w:val="000000"/>
        </w:rPr>
        <w:t>présente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affaire par </w:t>
      </w:r>
      <w:r w:rsidRPr="00B82BDF">
        <w:rPr>
          <w:rFonts w:ascii="Times New Roman" w:hAnsi="Times New Roman" w:cs="Times New Roman"/>
          <w:iCs/>
        </w:rPr>
        <w:t xml:space="preserve">les </w:t>
      </w:r>
      <w:proofErr w:type="spellStart"/>
      <w:r w:rsidRPr="00B82BDF">
        <w:rPr>
          <w:rFonts w:ascii="Times New Roman" w:hAnsi="Times New Roman" w:cs="Times New Roman"/>
          <w:iCs/>
        </w:rPr>
        <w:t>juges</w:t>
      </w:r>
      <w:proofErr w:type="spellEnd"/>
      <w:r w:rsidRPr="00B82BDF">
        <w:rPr>
          <w:rFonts w:ascii="Times New Roman" w:hAnsi="Times New Roman" w:cs="Times New Roman"/>
          <w:iCs/>
        </w:rPr>
        <w:t xml:space="preserve"> internes qui </w:t>
      </w:r>
      <w:proofErr w:type="spellStart"/>
      <w:r w:rsidRPr="00B82BDF">
        <w:rPr>
          <w:rFonts w:ascii="Times New Roman" w:hAnsi="Times New Roman" w:cs="Times New Roman"/>
          <w:iCs/>
        </w:rPr>
        <w:t>n’ont</w:t>
      </w:r>
      <w:proofErr w:type="spellEnd"/>
      <w:r w:rsidRPr="00B82BDF">
        <w:rPr>
          <w:rFonts w:ascii="Times New Roman" w:hAnsi="Times New Roman" w:cs="Times New Roman"/>
          <w:iCs/>
        </w:rPr>
        <w:t xml:space="preserve"> pas pris </w:t>
      </w:r>
      <w:proofErr w:type="spellStart"/>
      <w:r w:rsidRPr="00B82BDF">
        <w:rPr>
          <w:rFonts w:ascii="Times New Roman" w:hAnsi="Times New Roman" w:cs="Times New Roman"/>
          <w:iCs/>
        </w:rPr>
        <w:t>en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considération</w:t>
      </w:r>
      <w:proofErr w:type="spellEnd"/>
      <w:r w:rsidRPr="00B82BDF">
        <w:rPr>
          <w:rFonts w:ascii="Times New Roman" w:hAnsi="Times New Roman" w:cs="Times New Roman"/>
          <w:iCs/>
        </w:rPr>
        <w:t xml:space="preserve">, de manière </w:t>
      </w:r>
      <w:proofErr w:type="spellStart"/>
      <w:r w:rsidRPr="00B82BDF">
        <w:rPr>
          <w:rFonts w:ascii="Times New Roman" w:hAnsi="Times New Roman" w:cs="Times New Roman"/>
          <w:iCs/>
        </w:rPr>
        <w:t>adéquate</w:t>
      </w:r>
      <w:proofErr w:type="spellEnd"/>
      <w:r w:rsidRPr="00B82BDF">
        <w:rPr>
          <w:rFonts w:ascii="Times New Roman" w:hAnsi="Times New Roman" w:cs="Times New Roman"/>
          <w:iCs/>
        </w:rPr>
        <w:t xml:space="preserve">, les </w:t>
      </w:r>
      <w:proofErr w:type="spellStart"/>
      <w:r w:rsidRPr="00B82BDF">
        <w:rPr>
          <w:rFonts w:ascii="Times New Roman" w:hAnsi="Times New Roman" w:cs="Times New Roman"/>
          <w:iCs/>
        </w:rPr>
        <w:t>facteurs</w:t>
      </w:r>
      <w:proofErr w:type="spellEnd"/>
      <w:r w:rsidRPr="00B82BDF">
        <w:rPr>
          <w:rFonts w:ascii="Times New Roman" w:hAnsi="Times New Roman" w:cs="Times New Roman"/>
          <w:iCs/>
        </w:rPr>
        <w:t xml:space="preserve"> de </w:t>
      </w:r>
      <w:proofErr w:type="spellStart"/>
      <w:r w:rsidRPr="00B82BDF">
        <w:rPr>
          <w:rFonts w:ascii="Times New Roman" w:hAnsi="Times New Roman" w:cs="Times New Roman"/>
          <w:iCs/>
        </w:rPr>
        <w:t>particulière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vulnérabilité</w:t>
      </w:r>
      <w:proofErr w:type="spellEnd"/>
      <w:r w:rsidRPr="00B82BDF">
        <w:rPr>
          <w:rFonts w:ascii="Times New Roman" w:hAnsi="Times New Roman" w:cs="Times New Roman"/>
          <w:iCs/>
        </w:rPr>
        <w:t xml:space="preserve"> de la </w:t>
      </w:r>
      <w:proofErr w:type="spellStart"/>
      <w:r w:rsidRPr="00B82BDF">
        <w:rPr>
          <w:rFonts w:ascii="Times New Roman" w:hAnsi="Times New Roman" w:cs="Times New Roman"/>
          <w:iCs/>
        </w:rPr>
        <w:t>requérante</w:t>
      </w:r>
      <w:proofErr w:type="spellEnd"/>
      <w:r w:rsidRPr="00B82BDF">
        <w:rPr>
          <w:rFonts w:ascii="Times New Roman" w:hAnsi="Times New Roman" w:cs="Times New Roman"/>
          <w:iCs/>
        </w:rPr>
        <w:t xml:space="preserve"> et les </w:t>
      </w:r>
      <w:proofErr w:type="spellStart"/>
      <w:r w:rsidRPr="00B82BDF">
        <w:rPr>
          <w:rFonts w:ascii="Times New Roman" w:hAnsi="Times New Roman" w:cs="Times New Roman"/>
          <w:iCs/>
        </w:rPr>
        <w:t>effets</w:t>
      </w:r>
      <w:proofErr w:type="spellEnd"/>
      <w:r w:rsidRPr="00B82BDF">
        <w:rPr>
          <w:rFonts w:ascii="Times New Roman" w:hAnsi="Times New Roman" w:cs="Times New Roman"/>
          <w:iCs/>
        </w:rPr>
        <w:t xml:space="preserve"> des </w:t>
      </w:r>
      <w:proofErr w:type="spellStart"/>
      <w:r w:rsidRPr="00B82BDF">
        <w:rPr>
          <w:rFonts w:ascii="Times New Roman" w:hAnsi="Times New Roman" w:cs="Times New Roman"/>
          <w:iCs/>
        </w:rPr>
        <w:t>circonstances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environnantes</w:t>
      </w:r>
      <w:proofErr w:type="spellEnd"/>
      <w:r w:rsidRPr="00B82BDF">
        <w:rPr>
          <w:rFonts w:ascii="Times New Roman" w:hAnsi="Times New Roman" w:cs="Times New Roman"/>
          <w:iCs/>
        </w:rPr>
        <w:t xml:space="preserve"> pour </w:t>
      </w:r>
      <w:proofErr w:type="spellStart"/>
      <w:r w:rsidRPr="00B82BDF">
        <w:rPr>
          <w:rFonts w:ascii="Times New Roman" w:hAnsi="Times New Roman" w:cs="Times New Roman"/>
          <w:iCs/>
        </w:rPr>
        <w:t>évaluer</w:t>
      </w:r>
      <w:proofErr w:type="spellEnd"/>
      <w:r w:rsidRPr="00B82BDF">
        <w:rPr>
          <w:rFonts w:ascii="Times New Roman" w:hAnsi="Times New Roman" w:cs="Times New Roman"/>
          <w:iCs/>
        </w:rPr>
        <w:t xml:space="preserve"> la </w:t>
      </w:r>
      <w:proofErr w:type="spellStart"/>
      <w:r w:rsidRPr="00B82BDF">
        <w:rPr>
          <w:rFonts w:ascii="Times New Roman" w:hAnsi="Times New Roman" w:cs="Times New Roman"/>
          <w:iCs/>
        </w:rPr>
        <w:t>réalité</w:t>
      </w:r>
      <w:proofErr w:type="spellEnd"/>
      <w:r w:rsidRPr="00B82BDF">
        <w:rPr>
          <w:rFonts w:ascii="Times New Roman" w:hAnsi="Times New Roman" w:cs="Times New Roman"/>
          <w:iCs/>
        </w:rPr>
        <w:t xml:space="preserve"> de son </w:t>
      </w:r>
      <w:proofErr w:type="spellStart"/>
      <w:r w:rsidRPr="00B82BDF">
        <w:rPr>
          <w:rFonts w:ascii="Times New Roman" w:hAnsi="Times New Roman" w:cs="Times New Roman"/>
          <w:iCs/>
        </w:rPr>
        <w:t>consentement</w:t>
      </w:r>
      <w:proofErr w:type="spellEnd"/>
      <w:r w:rsidRPr="00B82BDF">
        <w:rPr>
          <w:rFonts w:ascii="Times New Roman" w:hAnsi="Times New Roman" w:cs="Times New Roman"/>
          <w:iCs/>
        </w:rPr>
        <w:t xml:space="preserve">, </w:t>
      </w:r>
      <w:proofErr w:type="spellStart"/>
      <w:r w:rsidRPr="00B82BDF">
        <w:rPr>
          <w:rFonts w:ascii="Times New Roman" w:hAnsi="Times New Roman" w:cs="Times New Roman"/>
          <w:color w:val="000000"/>
        </w:rPr>
        <w:t>n’était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pas à </w:t>
      </w:r>
      <w:proofErr w:type="spellStart"/>
      <w:r w:rsidRPr="00B82BDF">
        <w:rPr>
          <w:rFonts w:ascii="Times New Roman" w:hAnsi="Times New Roman" w:cs="Times New Roman"/>
          <w:color w:val="000000"/>
        </w:rPr>
        <w:t>même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B82BDF">
        <w:rPr>
          <w:rFonts w:ascii="Times New Roman" w:hAnsi="Times New Roman" w:cs="Times New Roman"/>
          <w:color w:val="000000"/>
        </w:rPr>
        <w:t>lui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garantir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une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protection </w:t>
      </w:r>
      <w:proofErr w:type="spellStart"/>
      <w:r w:rsidRPr="00B82BDF">
        <w:rPr>
          <w:rFonts w:ascii="Times New Roman" w:hAnsi="Times New Roman" w:cs="Times New Roman"/>
          <w:color w:val="000000"/>
        </w:rPr>
        <w:t>appropriée</w:t>
      </w:r>
      <w:proofErr w:type="spellEnd"/>
      <w:r w:rsidRPr="00B82BDF">
        <w:rPr>
          <w:rFonts w:ascii="Times New Roman" w:hAnsi="Times New Roman" w:cs="Times New Roman"/>
          <w:color w:val="000000"/>
        </w:rPr>
        <w:t>.</w:t>
      </w:r>
    </w:p>
    <w:p w14:paraId="129FD156" w14:textId="77777777" w:rsidR="008A7B1D" w:rsidRPr="00B82BDF" w:rsidRDefault="008A7B1D" w:rsidP="008A7B1D">
      <w:pPr>
        <w:pStyle w:val="ECHRHeading6"/>
        <w:numPr>
          <w:ilvl w:val="0"/>
          <w:numId w:val="21"/>
        </w:numPr>
        <w:ind w:left="1373" w:hanging="335"/>
      </w:pPr>
      <w:proofErr w:type="spellStart"/>
      <w:r w:rsidRPr="00B82BDF">
        <w:t>Requête</w:t>
      </w:r>
      <w:proofErr w:type="spellEnd"/>
      <w:r w:rsidRPr="00B82BDF">
        <w:t xml:space="preserve"> n</w:t>
      </w:r>
      <w:r w:rsidRPr="00B82BDF">
        <w:rPr>
          <w:vertAlign w:val="superscript"/>
        </w:rPr>
        <w:t>o</w:t>
      </w:r>
      <w:r w:rsidRPr="00B82BDF">
        <w:t> 39759/22 (M.L. c. France)</w:t>
      </w:r>
    </w:p>
    <w:p w14:paraId="182E9D59" w14:textId="77777777" w:rsidR="008A7B1D" w:rsidRPr="00B82BDF" w:rsidRDefault="008A7B1D" w:rsidP="008A7B1D">
      <w:pPr>
        <w:pStyle w:val="ECHRPara"/>
        <w:rPr>
          <w:iCs/>
        </w:rPr>
      </w:pPr>
      <w:r w:rsidRPr="00B82BDF">
        <w:rPr>
          <w:iCs/>
        </w:rPr>
        <w:fldChar w:fldCharType="begin"/>
      </w:r>
      <w:r w:rsidRPr="00B82BDF">
        <w:rPr>
          <w:iCs/>
        </w:rPr>
        <w:instrText xml:space="preserve"> SEQ level0 \*arabic \* MERGEFORMAT </w:instrText>
      </w:r>
      <w:r w:rsidRPr="00B82BDF">
        <w:rPr>
          <w:iCs/>
        </w:rPr>
        <w:fldChar w:fldCharType="separate"/>
      </w:r>
      <w:r w:rsidRPr="00B82BDF">
        <w:rPr>
          <w:iCs/>
          <w:noProof/>
        </w:rPr>
        <w:t>239</w:t>
      </w:r>
      <w:r w:rsidRPr="00B82BDF">
        <w:rPr>
          <w:iCs/>
        </w:rPr>
        <w:fldChar w:fldCharType="end"/>
      </w:r>
      <w:r w:rsidRPr="00B82BDF">
        <w:rPr>
          <w:iCs/>
        </w:rPr>
        <w:t xml:space="preserve">.  M.L. </w:t>
      </w:r>
      <w:proofErr w:type="spellStart"/>
      <w:r w:rsidRPr="00B82BDF">
        <w:rPr>
          <w:iCs/>
        </w:rPr>
        <w:t>étant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mineure</w:t>
      </w:r>
      <w:proofErr w:type="spellEnd"/>
      <w:r w:rsidRPr="00B82BDF">
        <w:rPr>
          <w:iCs/>
        </w:rPr>
        <w:t xml:space="preserve"> de plus de 15 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 xml:space="preserve"> à la date des faits </w:t>
      </w:r>
      <w:proofErr w:type="spellStart"/>
      <w:r w:rsidRPr="00B82BDF">
        <w:rPr>
          <w:iCs/>
        </w:rPr>
        <w:t>dénoncés</w:t>
      </w:r>
      <w:proofErr w:type="spellEnd"/>
      <w:r w:rsidRPr="00B82BDF">
        <w:rPr>
          <w:iCs/>
        </w:rPr>
        <w:t xml:space="preserve">, le cadre </w:t>
      </w:r>
      <w:proofErr w:type="spellStart"/>
      <w:r w:rsidRPr="00B82BDF">
        <w:rPr>
          <w:iCs/>
        </w:rPr>
        <w:t>juridique</w:t>
      </w:r>
      <w:proofErr w:type="spellEnd"/>
      <w:r w:rsidRPr="00B82BDF">
        <w:rPr>
          <w:iCs/>
        </w:rPr>
        <w:t xml:space="preserve"> applicable </w:t>
      </w:r>
      <w:proofErr w:type="spellStart"/>
      <w:r w:rsidRPr="00B82BDF">
        <w:rPr>
          <w:iCs/>
        </w:rPr>
        <w:t>était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fixé</w:t>
      </w:r>
      <w:proofErr w:type="spellEnd"/>
      <w:r w:rsidRPr="00B82BDF">
        <w:rPr>
          <w:iCs/>
        </w:rPr>
        <w:t xml:space="preserve"> par les dispositions des articles 222-23 et 222-22-1 du CP (</w:t>
      </w:r>
      <w:proofErr w:type="spellStart"/>
      <w:r w:rsidRPr="00B82BDF">
        <w:rPr>
          <w:iCs/>
        </w:rPr>
        <w:t>paragraphes</w:t>
      </w:r>
      <w:proofErr w:type="spellEnd"/>
      <w:r w:rsidRPr="00B82BDF">
        <w:rPr>
          <w:iCs/>
        </w:rPr>
        <w:t> 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paragraph00091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91</w:t>
      </w:r>
      <w:r w:rsidRPr="00B82BDF">
        <w:rPr>
          <w:iCs/>
        </w:rPr>
        <w:fldChar w:fldCharType="end"/>
      </w:r>
      <w:r w:rsidRPr="00B82BDF">
        <w:rPr>
          <w:iCs/>
        </w:rPr>
        <w:t xml:space="preserve"> et </w:t>
      </w:r>
      <w:r w:rsidRPr="00B82BDF">
        <w:rPr>
          <w:iCs/>
        </w:rPr>
        <w:fldChar w:fldCharType="begin"/>
      </w:r>
      <w:r w:rsidRPr="00B82BDF">
        <w:rPr>
          <w:iCs/>
        </w:rPr>
        <w:instrText xml:space="preserve">REF paragraph00094 \h \* CharFormat </w:instrText>
      </w:r>
      <w:r w:rsidRPr="00B82BDF">
        <w:rPr>
          <w:iCs/>
        </w:rPr>
      </w:r>
      <w:r w:rsidRPr="00B82BDF">
        <w:rPr>
          <w:iCs/>
        </w:rPr>
        <w:fldChar w:fldCharType="separate"/>
      </w:r>
      <w:r w:rsidRPr="00B82BDF">
        <w:rPr>
          <w:iCs/>
        </w:rPr>
        <w:t>94</w:t>
      </w:r>
      <w:r w:rsidRPr="00B82BDF">
        <w:rPr>
          <w:iCs/>
        </w:rPr>
        <w:fldChar w:fldCharType="end"/>
      </w:r>
      <w:r w:rsidRPr="00B82BDF">
        <w:rPr>
          <w:iCs/>
        </w:rPr>
        <w:t xml:space="preserve"> ci-dessus). </w:t>
      </w:r>
      <w:proofErr w:type="spellStart"/>
      <w:r w:rsidRPr="00B82BDF">
        <w:rPr>
          <w:iCs/>
        </w:rPr>
        <w:t>Selon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ces</w:t>
      </w:r>
      <w:proofErr w:type="spellEnd"/>
      <w:r w:rsidRPr="00B82BDF">
        <w:rPr>
          <w:iCs/>
        </w:rPr>
        <w:t xml:space="preserve"> dispositions, la </w:t>
      </w:r>
      <w:proofErr w:type="spellStart"/>
      <w:r w:rsidRPr="00B82BDF">
        <w:rPr>
          <w:iCs/>
        </w:rPr>
        <w:t>contrainte</w:t>
      </w:r>
      <w:proofErr w:type="spellEnd"/>
      <w:r w:rsidRPr="00B82BDF">
        <w:rPr>
          <w:iCs/>
        </w:rPr>
        <w:t xml:space="preserve"> morale </w:t>
      </w:r>
      <w:proofErr w:type="spellStart"/>
      <w:r w:rsidRPr="00B82BDF">
        <w:rPr>
          <w:iCs/>
        </w:rPr>
        <w:t>ou</w:t>
      </w:r>
      <w:proofErr w:type="spellEnd"/>
      <w:r w:rsidRPr="00B82BDF">
        <w:rPr>
          <w:iCs/>
        </w:rPr>
        <w:t xml:space="preserve"> la surprise </w:t>
      </w:r>
      <w:proofErr w:type="spellStart"/>
      <w:r w:rsidRPr="00B82BDF">
        <w:rPr>
          <w:iCs/>
        </w:rPr>
        <w:t>peuvent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être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caractérisées</w:t>
      </w:r>
      <w:proofErr w:type="spellEnd"/>
      <w:r w:rsidRPr="00B82BDF">
        <w:rPr>
          <w:iCs/>
        </w:rPr>
        <w:t xml:space="preserve"> par un </w:t>
      </w:r>
      <w:proofErr w:type="spellStart"/>
      <w:r w:rsidRPr="00B82BDF">
        <w:rPr>
          <w:iCs/>
        </w:rPr>
        <w:t>écart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d’âge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significatif</w:t>
      </w:r>
      <w:proofErr w:type="spellEnd"/>
      <w:r w:rsidRPr="00B82BDF">
        <w:rPr>
          <w:iCs/>
        </w:rPr>
        <w:t xml:space="preserve"> entre </w:t>
      </w:r>
      <w:proofErr w:type="spellStart"/>
      <w:r w:rsidRPr="00B82BDF">
        <w:rPr>
          <w:iCs/>
        </w:rPr>
        <w:t>l’auteur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majeur</w:t>
      </w:r>
      <w:proofErr w:type="spellEnd"/>
      <w:r w:rsidRPr="00B82BDF">
        <w:rPr>
          <w:iCs/>
        </w:rPr>
        <w:t xml:space="preserve"> et la </w:t>
      </w:r>
      <w:proofErr w:type="spellStart"/>
      <w:r w:rsidRPr="00B82BDF">
        <w:rPr>
          <w:iCs/>
        </w:rPr>
        <w:t>victime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mineure</w:t>
      </w:r>
      <w:proofErr w:type="spellEnd"/>
      <w:r w:rsidRPr="00B82BDF">
        <w:rPr>
          <w:iCs/>
        </w:rPr>
        <w:t xml:space="preserve">. Dans la </w:t>
      </w:r>
      <w:proofErr w:type="spellStart"/>
      <w:r w:rsidRPr="00B82BDF">
        <w:rPr>
          <w:iCs/>
        </w:rPr>
        <w:t>présente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affaire</w:t>
      </w:r>
      <w:proofErr w:type="spellEnd"/>
      <w:r w:rsidRPr="00B82BDF">
        <w:rPr>
          <w:iCs/>
        </w:rPr>
        <w:t xml:space="preserve">, les </w:t>
      </w:r>
      <w:proofErr w:type="spellStart"/>
      <w:r w:rsidRPr="00B82BDF">
        <w:rPr>
          <w:iCs/>
        </w:rPr>
        <w:t>juridictions</w:t>
      </w:r>
      <w:proofErr w:type="spellEnd"/>
      <w:r w:rsidRPr="00B82BDF">
        <w:rPr>
          <w:iCs/>
        </w:rPr>
        <w:t xml:space="preserve"> internes </w:t>
      </w:r>
      <w:proofErr w:type="spellStart"/>
      <w:r w:rsidRPr="00B82BDF">
        <w:rPr>
          <w:iCs/>
        </w:rPr>
        <w:t>ont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écarté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cette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hypothèse</w:t>
      </w:r>
      <w:proofErr w:type="spellEnd"/>
      <w:r w:rsidRPr="00B82BDF">
        <w:rPr>
          <w:iCs/>
        </w:rPr>
        <w:t xml:space="preserve">,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raison du </w:t>
      </w:r>
      <w:proofErr w:type="spellStart"/>
      <w:r w:rsidRPr="00B82BDF">
        <w:rPr>
          <w:iCs/>
        </w:rPr>
        <w:t>faible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écart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d’âge</w:t>
      </w:r>
      <w:proofErr w:type="spellEnd"/>
      <w:r w:rsidRPr="00B82BDF">
        <w:rPr>
          <w:iCs/>
        </w:rPr>
        <w:t xml:space="preserve"> entre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 (16 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 xml:space="preserve">) et la </w:t>
      </w:r>
      <w:proofErr w:type="spellStart"/>
      <w:r w:rsidRPr="00B82BDF">
        <w:rPr>
          <w:iCs/>
        </w:rPr>
        <w:t>personne</w:t>
      </w:r>
      <w:proofErr w:type="spellEnd"/>
      <w:r w:rsidRPr="00B82BDF">
        <w:rPr>
          <w:iCs/>
        </w:rPr>
        <w:t xml:space="preserve"> mise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cause (tout </w:t>
      </w:r>
      <w:proofErr w:type="spellStart"/>
      <w:r w:rsidRPr="00B82BDF">
        <w:rPr>
          <w:iCs/>
        </w:rPr>
        <w:t>juste</w:t>
      </w:r>
      <w:proofErr w:type="spellEnd"/>
      <w:r w:rsidRPr="00B82BDF">
        <w:rPr>
          <w:iCs/>
        </w:rPr>
        <w:t xml:space="preserve"> 18 </w:t>
      </w:r>
      <w:proofErr w:type="spellStart"/>
      <w:r w:rsidRPr="00B82BDF">
        <w:rPr>
          <w:iCs/>
        </w:rPr>
        <w:t>ans</w:t>
      </w:r>
      <w:proofErr w:type="spellEnd"/>
      <w:r w:rsidRPr="00B82BDF">
        <w:rPr>
          <w:iCs/>
        </w:rPr>
        <w:t>).</w:t>
      </w:r>
    </w:p>
    <w:p w14:paraId="4F570F49" w14:textId="77777777" w:rsidR="008A7B1D" w:rsidRPr="00B82BDF" w:rsidRDefault="008A7B1D" w:rsidP="008A7B1D">
      <w:pPr>
        <w:pStyle w:val="ECHRPara"/>
      </w:pPr>
      <w:r w:rsidRPr="00B82BDF">
        <w:rPr>
          <w:iCs/>
        </w:rPr>
        <w:fldChar w:fldCharType="begin"/>
      </w:r>
      <w:r w:rsidRPr="00B82BDF">
        <w:rPr>
          <w:iCs/>
        </w:rPr>
        <w:instrText xml:space="preserve"> SEQ level0 \*arabic \* MERGEFORMAT </w:instrText>
      </w:r>
      <w:r w:rsidRPr="00B82BDF">
        <w:rPr>
          <w:iCs/>
        </w:rPr>
        <w:fldChar w:fldCharType="separate"/>
      </w:r>
      <w:r w:rsidRPr="00B82BDF">
        <w:rPr>
          <w:iCs/>
          <w:noProof/>
        </w:rPr>
        <w:t>240</w:t>
      </w:r>
      <w:r w:rsidRPr="00B82BDF">
        <w:rPr>
          <w:iCs/>
        </w:rPr>
        <w:fldChar w:fldCharType="end"/>
      </w:r>
      <w:r w:rsidRPr="00B82BDF">
        <w:rPr>
          <w:iCs/>
        </w:rPr>
        <w:t xml:space="preserve">.  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rappelle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qu’en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l’espèce</w:t>
      </w:r>
      <w:proofErr w:type="spellEnd"/>
      <w:r w:rsidRPr="00B82BDF">
        <w:rPr>
          <w:iCs/>
        </w:rPr>
        <w:t xml:space="preserve">, la </w:t>
      </w:r>
      <w:proofErr w:type="spellStart"/>
      <w:r w:rsidRPr="00B82BDF">
        <w:rPr>
          <w:iCs/>
        </w:rPr>
        <w:t>cour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d’appel</w:t>
      </w:r>
      <w:proofErr w:type="spellEnd"/>
      <w:r w:rsidRPr="00B82BDF">
        <w:rPr>
          <w:iCs/>
        </w:rPr>
        <w:t xml:space="preserve">, après </w:t>
      </w:r>
      <w:proofErr w:type="spellStart"/>
      <w:r w:rsidRPr="00B82BDF">
        <w:rPr>
          <w:iCs/>
        </w:rPr>
        <w:t>avoir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relevé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t>qu’aucun</w:t>
      </w:r>
      <w:proofErr w:type="spellEnd"/>
      <w:r w:rsidRPr="00B82BDF">
        <w:t xml:space="preserve"> des </w:t>
      </w:r>
      <w:proofErr w:type="spellStart"/>
      <w:r w:rsidRPr="00B82BDF">
        <w:t>critères</w:t>
      </w:r>
      <w:proofErr w:type="spellEnd"/>
      <w:r w:rsidRPr="00B82BDF">
        <w:t xml:space="preserve"> </w:t>
      </w:r>
      <w:proofErr w:type="spellStart"/>
      <w:r w:rsidRPr="00B82BDF">
        <w:t>constitutifs</w:t>
      </w:r>
      <w:proofErr w:type="spellEnd"/>
      <w:r w:rsidRPr="00B82BDF">
        <w:t xml:space="preserve"> de </w:t>
      </w:r>
      <w:proofErr w:type="spellStart"/>
      <w:r w:rsidRPr="00B82BDF">
        <w:t>l’incrimination</w:t>
      </w:r>
      <w:proofErr w:type="spellEnd"/>
      <w:r w:rsidRPr="00B82BDF">
        <w:t xml:space="preserve"> de viol </w:t>
      </w:r>
      <w:proofErr w:type="spellStart"/>
      <w:r w:rsidRPr="00B82BDF">
        <w:t>n’était</w:t>
      </w:r>
      <w:proofErr w:type="spellEnd"/>
      <w:r w:rsidRPr="00B82BDF">
        <w:t xml:space="preserve"> </w:t>
      </w:r>
      <w:proofErr w:type="spellStart"/>
      <w:r w:rsidRPr="00B82BDF">
        <w:t>réuni</w:t>
      </w:r>
      <w:proofErr w:type="spellEnd"/>
      <w:r w:rsidRPr="00B82BDF">
        <w:t xml:space="preserve">, </w:t>
      </w:r>
      <w:r w:rsidRPr="00B82BDF">
        <w:rPr>
          <w:iCs/>
        </w:rPr>
        <w:t xml:space="preserve">a </w:t>
      </w:r>
      <w:proofErr w:type="spellStart"/>
      <w:r w:rsidRPr="00B82BDF">
        <w:rPr>
          <w:iCs/>
        </w:rPr>
        <w:t>confirmé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l’ordonnance</w:t>
      </w:r>
      <w:proofErr w:type="spellEnd"/>
      <w:r w:rsidRPr="00B82BDF">
        <w:rPr>
          <w:iCs/>
        </w:rPr>
        <w:t xml:space="preserve"> de non-lieu </w:t>
      </w:r>
      <w:proofErr w:type="spellStart"/>
      <w:r w:rsidRPr="00B82BDF">
        <w:rPr>
          <w:iCs/>
        </w:rPr>
        <w:t>rendue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en</w:t>
      </w:r>
      <w:proofErr w:type="spellEnd"/>
      <w:r w:rsidRPr="00B82BDF">
        <w:rPr>
          <w:iCs/>
        </w:rPr>
        <w:t xml:space="preserve"> première instance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paragraph00085 \h \* CharFormat </w:instrText>
      </w:r>
      <w:r w:rsidRPr="00B82BDF">
        <w:fldChar w:fldCharType="separate"/>
      </w:r>
      <w:r w:rsidRPr="00B82BDF">
        <w:t>85</w:t>
      </w:r>
      <w:r w:rsidRPr="00B82BDF">
        <w:fldChar w:fldCharType="end"/>
      </w:r>
      <w:r w:rsidRPr="00B82BDF">
        <w:t xml:space="preserve"> ci-dessus). Pour </w:t>
      </w:r>
      <w:proofErr w:type="spellStart"/>
      <w:r w:rsidRPr="00B82BDF">
        <w:t>ce</w:t>
      </w:r>
      <w:proofErr w:type="spellEnd"/>
      <w:r w:rsidRPr="00B82BDF">
        <w:t xml:space="preserve"> faire, </w:t>
      </w:r>
      <w:proofErr w:type="spellStart"/>
      <w:r w:rsidRPr="00B82BDF">
        <w:t>elle</w:t>
      </w:r>
      <w:proofErr w:type="spellEnd"/>
      <w:r w:rsidRPr="00B82BDF">
        <w:t xml:space="preserve"> a </w:t>
      </w:r>
      <w:proofErr w:type="spellStart"/>
      <w:r w:rsidRPr="00B82BDF">
        <w:t>d’abord</w:t>
      </w:r>
      <w:proofErr w:type="spellEnd"/>
      <w:r w:rsidRPr="00B82BDF">
        <w:t xml:space="preserve"> </w:t>
      </w:r>
      <w:proofErr w:type="spellStart"/>
      <w:r w:rsidRPr="00B82BDF">
        <w:t>considéré</w:t>
      </w:r>
      <w:proofErr w:type="spellEnd"/>
      <w:r w:rsidRPr="00B82BDF">
        <w:t xml:space="preserve"> que la </w:t>
      </w:r>
      <w:proofErr w:type="spellStart"/>
      <w:r w:rsidRPr="00B82BDF">
        <w:t>vulnérabilité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n’était</w:t>
      </w:r>
      <w:proofErr w:type="spellEnd"/>
      <w:r w:rsidRPr="00B82BDF">
        <w:t xml:space="preserve"> pas </w:t>
      </w:r>
      <w:proofErr w:type="spellStart"/>
      <w:r w:rsidRPr="00B82BDF">
        <w:t>suffisamment</w:t>
      </w:r>
      <w:proofErr w:type="spellEnd"/>
      <w:r w:rsidRPr="00B82BDF">
        <w:t xml:space="preserve"> </w:t>
      </w:r>
      <w:proofErr w:type="spellStart"/>
      <w:r w:rsidRPr="00B82BDF">
        <w:t>établie</w:t>
      </w:r>
      <w:proofErr w:type="spellEnd"/>
      <w:r w:rsidRPr="00B82BDF">
        <w:t xml:space="preserve"> pour </w:t>
      </w:r>
      <w:proofErr w:type="spellStart"/>
      <w:r w:rsidRPr="00B82BDF">
        <w:t>caractériser</w:t>
      </w:r>
      <w:proofErr w:type="spellEnd"/>
      <w:r w:rsidRPr="00B82BDF">
        <w:t xml:space="preserve"> la surprise. Elle a </w:t>
      </w:r>
      <w:proofErr w:type="spellStart"/>
      <w:r w:rsidRPr="00B82BDF">
        <w:t>ainsi</w:t>
      </w:r>
      <w:proofErr w:type="spellEnd"/>
      <w:r w:rsidRPr="00B82BDF">
        <w:t xml:space="preserve"> </w:t>
      </w:r>
      <w:proofErr w:type="spellStart"/>
      <w:r w:rsidRPr="00B82BDF">
        <w:rPr>
          <w:iCs/>
        </w:rPr>
        <w:t>relevé</w:t>
      </w:r>
      <w:proofErr w:type="spellEnd"/>
      <w:r w:rsidRPr="00B82BDF">
        <w:rPr>
          <w:iCs/>
        </w:rPr>
        <w:t xml:space="preserve"> que la </w:t>
      </w:r>
      <w:proofErr w:type="spellStart"/>
      <w:r w:rsidRPr="00B82BDF">
        <w:rPr>
          <w:iCs/>
        </w:rPr>
        <w:t>requérante</w:t>
      </w:r>
      <w:proofErr w:type="spellEnd"/>
      <w:r w:rsidRPr="00B82BDF">
        <w:rPr>
          <w:iCs/>
        </w:rPr>
        <w:t xml:space="preserve">, qui </w:t>
      </w:r>
      <w:proofErr w:type="spellStart"/>
      <w:r w:rsidRPr="00B82BDF">
        <w:rPr>
          <w:iCs/>
        </w:rPr>
        <w:t>avait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déclaré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avoir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gardé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ses</w:t>
      </w:r>
      <w:proofErr w:type="spellEnd"/>
      <w:r w:rsidRPr="00B82BDF">
        <w:rPr>
          <w:iCs/>
        </w:rPr>
        <w:t xml:space="preserve"> esprits, </w:t>
      </w:r>
      <w:proofErr w:type="spellStart"/>
      <w:r w:rsidRPr="00B82BDF">
        <w:rPr>
          <w:iCs/>
        </w:rPr>
        <w:t>n’avait</w:t>
      </w:r>
      <w:proofErr w:type="spellEnd"/>
      <w:r w:rsidRPr="00B82BDF">
        <w:rPr>
          <w:iCs/>
        </w:rPr>
        <w:t xml:space="preserve"> pas </w:t>
      </w:r>
      <w:proofErr w:type="spellStart"/>
      <w:r w:rsidRPr="00B82BDF">
        <w:rPr>
          <w:iCs/>
        </w:rPr>
        <w:t>été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contrainte</w:t>
      </w:r>
      <w:proofErr w:type="spellEnd"/>
      <w:r w:rsidRPr="00B82BDF">
        <w:rPr>
          <w:iCs/>
        </w:rPr>
        <w:t xml:space="preserve"> de </w:t>
      </w:r>
      <w:proofErr w:type="spellStart"/>
      <w:r w:rsidRPr="00B82BDF">
        <w:rPr>
          <w:iCs/>
        </w:rPr>
        <w:t>suivre</w:t>
      </w:r>
      <w:proofErr w:type="spellEnd"/>
      <w:r w:rsidRPr="00B82BDF">
        <w:rPr>
          <w:iCs/>
        </w:rPr>
        <w:t xml:space="preserve"> A.H. dans la chambre </w:t>
      </w:r>
      <w:proofErr w:type="spellStart"/>
      <w:r w:rsidRPr="00B82BDF">
        <w:rPr>
          <w:iCs/>
        </w:rPr>
        <w:t>où</w:t>
      </w:r>
      <w:proofErr w:type="spellEnd"/>
      <w:r w:rsidRPr="00B82BDF">
        <w:rPr>
          <w:iCs/>
        </w:rPr>
        <w:t xml:space="preserve"> se </w:t>
      </w:r>
      <w:proofErr w:type="spellStart"/>
      <w:r w:rsidRPr="00B82BDF">
        <w:rPr>
          <w:iCs/>
        </w:rPr>
        <w:t>sont</w:t>
      </w:r>
      <w:proofErr w:type="spellEnd"/>
      <w:r w:rsidRPr="00B82BDF">
        <w:rPr>
          <w:iCs/>
        </w:rPr>
        <w:t xml:space="preserve"> </w:t>
      </w:r>
      <w:proofErr w:type="spellStart"/>
      <w:r w:rsidRPr="00B82BDF">
        <w:rPr>
          <w:iCs/>
        </w:rPr>
        <w:t>déroulés</w:t>
      </w:r>
      <w:proofErr w:type="spellEnd"/>
      <w:r w:rsidRPr="00B82BDF">
        <w:rPr>
          <w:iCs/>
        </w:rPr>
        <w:t xml:space="preserve"> les faits </w:t>
      </w:r>
      <w:proofErr w:type="spellStart"/>
      <w:r w:rsidRPr="00B82BDF">
        <w:rPr>
          <w:iCs/>
        </w:rPr>
        <w:t>dénoncés</w:t>
      </w:r>
      <w:proofErr w:type="spellEnd"/>
      <w:r w:rsidRPr="00B82BDF">
        <w:t xml:space="preserve"> et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n’était</w:t>
      </w:r>
      <w:proofErr w:type="spellEnd"/>
      <w:r w:rsidRPr="00B82BDF">
        <w:t xml:space="preserve"> pas </w:t>
      </w:r>
      <w:proofErr w:type="spellStart"/>
      <w:r w:rsidRPr="00B82BDF">
        <w:t>établi</w:t>
      </w:r>
      <w:proofErr w:type="spellEnd"/>
      <w:r w:rsidRPr="00B82BDF">
        <w:t xml:space="preserve"> </w:t>
      </w:r>
      <w:proofErr w:type="spellStart"/>
      <w:r w:rsidRPr="00B82BDF">
        <w:t>qu’elle</w:t>
      </w:r>
      <w:proofErr w:type="spellEnd"/>
      <w:r w:rsidRPr="00B82BDF">
        <w:t xml:space="preserve"> </w:t>
      </w:r>
      <w:proofErr w:type="spellStart"/>
      <w:r w:rsidRPr="00B82BDF">
        <w:t>était</w:t>
      </w:r>
      <w:proofErr w:type="spellEnd"/>
      <w:r w:rsidRPr="00B82BDF">
        <w:t xml:space="preserve"> dans </w:t>
      </w:r>
      <w:proofErr w:type="spellStart"/>
      <w:r w:rsidRPr="00B82BDF">
        <w:t>l’incapacité</w:t>
      </w:r>
      <w:proofErr w:type="spellEnd"/>
      <w:r w:rsidRPr="00B82BDF">
        <w:t xml:space="preserve"> de </w:t>
      </w:r>
      <w:proofErr w:type="spellStart"/>
      <w:r w:rsidRPr="00B82BDF">
        <w:t>comprendre</w:t>
      </w:r>
      <w:proofErr w:type="spellEnd"/>
      <w:r w:rsidRPr="00B82BDF">
        <w:t xml:space="preserve"> les intentions de </w:t>
      </w:r>
      <w:proofErr w:type="spellStart"/>
      <w:r w:rsidRPr="00B82BDF">
        <w:t>l’intéressé</w:t>
      </w:r>
      <w:proofErr w:type="spellEnd"/>
      <w:r w:rsidRPr="00B82BDF">
        <w:t xml:space="preserve"> au motif que « 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virginité</w:t>
      </w:r>
      <w:proofErr w:type="spellEnd"/>
      <w:r w:rsidRPr="00B82BDF">
        <w:t xml:space="preserve"> </w:t>
      </w:r>
      <w:proofErr w:type="spellStart"/>
      <w:r w:rsidRPr="00B82BDF">
        <w:t>n’était</w:t>
      </w:r>
      <w:proofErr w:type="spellEnd"/>
      <w:r w:rsidRPr="00B82BDF">
        <w:t xml:space="preserve"> pas </w:t>
      </w:r>
      <w:proofErr w:type="spellStart"/>
      <w:r w:rsidRPr="00B82BDF">
        <w:t>elle-même</w:t>
      </w:r>
      <w:proofErr w:type="spellEnd"/>
      <w:r w:rsidRPr="00B82BDF">
        <w:t xml:space="preserve"> incompatible avec des </w:t>
      </w:r>
      <w:proofErr w:type="spellStart"/>
      <w:r w:rsidRPr="00B82BDF">
        <w:t>connaissances</w:t>
      </w:r>
      <w:proofErr w:type="spellEnd"/>
      <w:r w:rsidRPr="00B82BDF">
        <w:t xml:space="preserve"> suffisantes </w:t>
      </w:r>
      <w:proofErr w:type="spellStart"/>
      <w:r w:rsidRPr="00B82BDF">
        <w:t>en</w:t>
      </w:r>
      <w:proofErr w:type="spellEnd"/>
      <w:r w:rsidRPr="00B82BDF">
        <w:t xml:space="preserve"> matière </w:t>
      </w:r>
      <w:proofErr w:type="spellStart"/>
      <w:r w:rsidRPr="00B82BDF">
        <w:t>sexuelle</w:t>
      </w:r>
      <w:proofErr w:type="spellEnd"/>
      <w:r w:rsidRPr="00B82BDF">
        <w:t xml:space="preserve"> (...) </w:t>
      </w:r>
      <w:proofErr w:type="spellStart"/>
      <w:r w:rsidRPr="00B82BDF">
        <w:t>habituellement</w:t>
      </w:r>
      <w:proofErr w:type="spellEnd"/>
      <w:r w:rsidRPr="00B82BDF">
        <w:t xml:space="preserve"> </w:t>
      </w:r>
      <w:proofErr w:type="spellStart"/>
      <w:r w:rsidRPr="00B82BDF">
        <w:t>constatées</w:t>
      </w:r>
      <w:proofErr w:type="spellEnd"/>
      <w:r w:rsidRPr="00B82BDF">
        <w:t xml:space="preserve"> chez les </w:t>
      </w:r>
      <w:proofErr w:type="spellStart"/>
      <w:r w:rsidRPr="00B82BDF">
        <w:t>adolescentes</w:t>
      </w:r>
      <w:proofErr w:type="spellEnd"/>
      <w:r w:rsidRPr="00B82BDF">
        <w:t xml:space="preserve"> de son </w:t>
      </w:r>
      <w:proofErr w:type="spellStart"/>
      <w:r w:rsidRPr="00B82BDF">
        <w:t>âge</w:t>
      </w:r>
      <w:proofErr w:type="spellEnd"/>
      <w:r w:rsidRPr="00B82BDF">
        <w:t xml:space="preserve"> ».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gramStart"/>
      <w:r w:rsidRPr="00B82BDF">
        <w:t>a</w:t>
      </w:r>
      <w:proofErr w:type="gramEnd"/>
      <w:r w:rsidRPr="00B82BDF">
        <w:t xml:space="preserve"> </w:t>
      </w:r>
      <w:proofErr w:type="spellStart"/>
      <w:r w:rsidRPr="00B82BDF">
        <w:t>ensuite</w:t>
      </w:r>
      <w:proofErr w:type="spellEnd"/>
      <w:r w:rsidRPr="00B82BDF">
        <w:t xml:space="preserve"> </w:t>
      </w:r>
      <w:proofErr w:type="spellStart"/>
      <w:r w:rsidRPr="00B82BDF">
        <w:t>écarté</w:t>
      </w:r>
      <w:proofErr w:type="spellEnd"/>
      <w:r w:rsidRPr="00B82BDF">
        <w:t xml:space="preserve"> 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contrainte</w:t>
      </w:r>
      <w:proofErr w:type="spellEnd"/>
      <w:r w:rsidRPr="00B82BDF">
        <w:t xml:space="preserve"> </w:t>
      </w:r>
      <w:proofErr w:type="spellStart"/>
      <w:r w:rsidRPr="00B82BDF">
        <w:t>ou</w:t>
      </w:r>
      <w:proofErr w:type="spellEnd"/>
      <w:r w:rsidRPr="00B82BDF">
        <w:t xml:space="preserve"> violence </w:t>
      </w:r>
      <w:proofErr w:type="spellStart"/>
      <w:r w:rsidRPr="00B82BDF">
        <w:t>exercée</w:t>
      </w:r>
      <w:proofErr w:type="spellEnd"/>
      <w:r w:rsidRPr="00B82BDF">
        <w:t xml:space="preserve"> à </w:t>
      </w:r>
      <w:proofErr w:type="spellStart"/>
      <w:r w:rsidRPr="00B82BDF">
        <w:t>l’encontre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. </w:t>
      </w:r>
      <w:proofErr w:type="spellStart"/>
      <w:r w:rsidRPr="00B82BDF">
        <w:t>D’une</w:t>
      </w:r>
      <w:proofErr w:type="spellEnd"/>
      <w:r w:rsidRPr="00B82BDF">
        <w:t xml:space="preserve"> part, </w:t>
      </w:r>
      <w:proofErr w:type="spellStart"/>
      <w:r w:rsidRPr="00B82BDF">
        <w:t>elle</w:t>
      </w:r>
      <w:proofErr w:type="spellEnd"/>
      <w:r w:rsidRPr="00B82BDF">
        <w:t xml:space="preserve"> a </w:t>
      </w:r>
      <w:proofErr w:type="spellStart"/>
      <w:r w:rsidRPr="00B82BDF">
        <w:t>écarté</w:t>
      </w:r>
      <w:proofErr w:type="spellEnd"/>
      <w:r w:rsidRPr="00B82BDF">
        <w:t xml:space="preserve"> 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forme</w:t>
      </w:r>
      <w:proofErr w:type="spellEnd"/>
      <w:r w:rsidRPr="00B82BDF">
        <w:t xml:space="preserve"> de violence et de </w:t>
      </w:r>
      <w:proofErr w:type="spellStart"/>
      <w:r w:rsidRPr="00B82BDF">
        <w:t>contrainte</w:t>
      </w:r>
      <w:proofErr w:type="spellEnd"/>
      <w:r w:rsidRPr="00B82BDF">
        <w:t xml:space="preserve"> physique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 que </w:t>
      </w:r>
      <w:proofErr w:type="spellStart"/>
      <w:r w:rsidRPr="00B82BDF">
        <w:t>si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décrit</w:t>
      </w:r>
      <w:proofErr w:type="spellEnd"/>
      <w:r w:rsidRPr="00B82BDF">
        <w:t xml:space="preserve"> « 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pénétration</w:t>
      </w:r>
      <w:proofErr w:type="spellEnd"/>
      <w:r w:rsidRPr="00B82BDF">
        <w:t xml:space="preserve"> </w:t>
      </w:r>
      <w:proofErr w:type="spellStart"/>
      <w:r w:rsidRPr="00B82BDF">
        <w:t>anale</w:t>
      </w:r>
      <w:proofErr w:type="spellEnd"/>
      <w:r w:rsidRPr="00B82BDF">
        <w:t xml:space="preserve"> </w:t>
      </w:r>
      <w:proofErr w:type="spellStart"/>
      <w:r w:rsidRPr="00B82BDF">
        <w:t>brutale</w:t>
      </w:r>
      <w:proofErr w:type="spellEnd"/>
      <w:r w:rsidRPr="00B82BDF">
        <w:t xml:space="preserve"> et </w:t>
      </w:r>
      <w:proofErr w:type="spellStart"/>
      <w:r w:rsidRPr="00B82BDF">
        <w:t>douloureuse</w:t>
      </w:r>
      <w:proofErr w:type="spellEnd"/>
      <w:r w:rsidRPr="00B82BDF">
        <w:t xml:space="preserve"> » </w:t>
      </w:r>
      <w:proofErr w:type="spellStart"/>
      <w:r w:rsidRPr="00B82BDF">
        <w:t>tandis</w:t>
      </w:r>
      <w:proofErr w:type="spellEnd"/>
      <w:r w:rsidRPr="00B82BDF">
        <w:t xml:space="preserve"> que le garçon </w:t>
      </w:r>
      <w:proofErr w:type="spellStart"/>
      <w:r w:rsidRPr="00B82BDF">
        <w:t>était</w:t>
      </w:r>
      <w:proofErr w:type="spellEnd"/>
      <w:r w:rsidRPr="00B82BDF">
        <w:t xml:space="preserve"> </w:t>
      </w:r>
      <w:proofErr w:type="spellStart"/>
      <w:r w:rsidRPr="00B82BDF">
        <w:t>allongé</w:t>
      </w:r>
      <w:proofErr w:type="spellEnd"/>
      <w:r w:rsidRPr="00B82BDF">
        <w:t xml:space="preserve"> sur </w:t>
      </w:r>
      <w:proofErr w:type="spellStart"/>
      <w:r w:rsidRPr="00B82BDF">
        <w:t>elle</w:t>
      </w:r>
      <w:proofErr w:type="spellEnd"/>
      <w:r w:rsidRPr="00B82BDF">
        <w:t xml:space="preserve"> et la </w:t>
      </w:r>
      <w:proofErr w:type="spellStart"/>
      <w:r w:rsidRPr="00B82BDF">
        <w:t>bloquait</w:t>
      </w:r>
      <w:proofErr w:type="spellEnd"/>
      <w:r w:rsidRPr="00B82BDF">
        <w:t xml:space="preserve"> sur le lit et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précisé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la </w:t>
      </w:r>
      <w:proofErr w:type="spellStart"/>
      <w:r w:rsidRPr="00B82BDF">
        <w:t>tirait</w:t>
      </w:r>
      <w:proofErr w:type="spellEnd"/>
      <w:r w:rsidRPr="00B82BDF">
        <w:t xml:space="preserve"> par la tête au moment de la </w:t>
      </w:r>
      <w:proofErr w:type="spellStart"/>
      <w:r w:rsidRPr="00B82BDF">
        <w:t>fellation</w:t>
      </w:r>
      <w:proofErr w:type="spellEnd"/>
      <w:r w:rsidRPr="00B82BDF">
        <w:t xml:space="preserve">, </w:t>
      </w:r>
      <w:proofErr w:type="spellStart"/>
      <w:r w:rsidRPr="00B82BDF">
        <w:lastRenderedPageBreak/>
        <w:t>l’intéressé</w:t>
      </w:r>
      <w:proofErr w:type="spellEnd"/>
      <w:r w:rsidRPr="00B82BDF">
        <w:t xml:space="preserve">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nié</w:t>
      </w:r>
      <w:proofErr w:type="spellEnd"/>
      <w:r w:rsidRPr="00B82BDF">
        <w:t xml:space="preserve">, pour </w:t>
      </w:r>
      <w:proofErr w:type="spellStart"/>
      <w:r w:rsidRPr="00B82BDF">
        <w:t>sa</w:t>
      </w:r>
      <w:proofErr w:type="spellEnd"/>
      <w:r w:rsidRPr="00B82BDF">
        <w:t xml:space="preserve"> part, 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contrainte</w:t>
      </w:r>
      <w:proofErr w:type="spellEnd"/>
      <w:r w:rsidRPr="00B82BDF">
        <w:t xml:space="preserve"> </w:t>
      </w:r>
      <w:proofErr w:type="spellStart"/>
      <w:r w:rsidRPr="00B82BDF">
        <w:t>délibérée</w:t>
      </w:r>
      <w:proofErr w:type="spellEnd"/>
      <w:r w:rsidRPr="00B82BDF">
        <w:t xml:space="preserve">. </w:t>
      </w:r>
      <w:proofErr w:type="spellStart"/>
      <w:r w:rsidRPr="00B82BDF">
        <w:t>D’autre</w:t>
      </w:r>
      <w:proofErr w:type="spellEnd"/>
      <w:r w:rsidRPr="00B82BDF">
        <w:t xml:space="preserve"> part, les </w:t>
      </w:r>
      <w:proofErr w:type="spellStart"/>
      <w:r w:rsidRPr="00B82BDF">
        <w:t>juges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écarté</w:t>
      </w:r>
      <w:proofErr w:type="spellEnd"/>
      <w:r w:rsidRPr="00B82BDF">
        <w:t xml:space="preserve"> </w:t>
      </w:r>
      <w:proofErr w:type="spellStart"/>
      <w:r w:rsidRPr="00B82BDF">
        <w:t>toute</w:t>
      </w:r>
      <w:proofErr w:type="spellEnd"/>
      <w:r w:rsidRPr="00B82BDF">
        <w:t xml:space="preserve"> </w:t>
      </w:r>
      <w:proofErr w:type="spellStart"/>
      <w:r w:rsidRPr="00B82BDF">
        <w:t>forme</w:t>
      </w:r>
      <w:proofErr w:type="spellEnd"/>
      <w:r w:rsidRPr="00B82BDF">
        <w:t xml:space="preserve"> de </w:t>
      </w:r>
      <w:proofErr w:type="spellStart"/>
      <w:r w:rsidRPr="00B82BDF">
        <w:t>contrainte</w:t>
      </w:r>
      <w:proofErr w:type="spellEnd"/>
      <w:r w:rsidRPr="00B82BDF">
        <w:t xml:space="preserve"> morale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 </w:t>
      </w:r>
      <w:proofErr w:type="spellStart"/>
      <w:r w:rsidRPr="00B82BDF">
        <w:t>qu’elle</w:t>
      </w:r>
      <w:proofErr w:type="spellEnd"/>
      <w:r w:rsidRPr="00B82BDF">
        <w:t xml:space="preserve"> ne </w:t>
      </w:r>
      <w:proofErr w:type="spellStart"/>
      <w:r w:rsidRPr="00B82BDF">
        <w:t>pouvait</w:t>
      </w:r>
      <w:proofErr w:type="spellEnd"/>
      <w:r w:rsidRPr="00B82BDF">
        <w:t xml:space="preserve"> </w:t>
      </w:r>
      <w:proofErr w:type="spellStart"/>
      <w:r w:rsidRPr="00B82BDF">
        <w:t>résulter</w:t>
      </w:r>
      <w:proofErr w:type="spellEnd"/>
      <w:r w:rsidRPr="00B82BDF">
        <w:t xml:space="preserve"> de la </w:t>
      </w:r>
      <w:proofErr w:type="spellStart"/>
      <w:r w:rsidRPr="00B82BDF">
        <w:t>seule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subjective de la </w:t>
      </w:r>
      <w:proofErr w:type="spellStart"/>
      <w:r w:rsidRPr="00B82BDF">
        <w:t>victime</w:t>
      </w:r>
      <w:proofErr w:type="spellEnd"/>
      <w:r w:rsidRPr="00B82BDF">
        <w:t xml:space="preserve">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gramStart"/>
      <w:r w:rsidRPr="00B82BDF">
        <w:t>a</w:t>
      </w:r>
      <w:proofErr w:type="gramEnd"/>
      <w:r w:rsidRPr="00B82BDF">
        <w:t xml:space="preserve"> </w:t>
      </w:r>
      <w:proofErr w:type="spellStart"/>
      <w:r w:rsidRPr="00B82BDF">
        <w:t>enfin</w:t>
      </w:r>
      <w:proofErr w:type="spellEnd"/>
      <w:r w:rsidRPr="00B82BDF">
        <w:t xml:space="preserve"> </w:t>
      </w:r>
      <w:proofErr w:type="spellStart"/>
      <w:r w:rsidRPr="00B82BDF">
        <w:t>conclu</w:t>
      </w:r>
      <w:proofErr w:type="spellEnd"/>
      <w:r w:rsidRPr="00B82BDF">
        <w:t xml:space="preserve"> à </w:t>
      </w:r>
      <w:proofErr w:type="spellStart"/>
      <w:r w:rsidRPr="00B82BDF">
        <w:t>l’absence</w:t>
      </w:r>
      <w:proofErr w:type="spellEnd"/>
      <w:r w:rsidRPr="00B82BDF">
        <w:t xml:space="preserve"> </w:t>
      </w:r>
      <w:proofErr w:type="spellStart"/>
      <w:r w:rsidRPr="00B82BDF">
        <w:t>d’intention</w:t>
      </w:r>
      <w:proofErr w:type="spellEnd"/>
      <w:r w:rsidRPr="00B82BDF">
        <w:t xml:space="preserve"> </w:t>
      </w:r>
      <w:proofErr w:type="spellStart"/>
      <w:r w:rsidRPr="00B82BDF">
        <w:t>coupable</w:t>
      </w:r>
      <w:proofErr w:type="spellEnd"/>
      <w:r w:rsidRPr="00B82BDF">
        <w:t xml:space="preserve"> de viol </w:t>
      </w:r>
      <w:proofErr w:type="spellStart"/>
      <w:r w:rsidRPr="00B82BDF">
        <w:t>en</w:t>
      </w:r>
      <w:proofErr w:type="spellEnd"/>
      <w:r w:rsidRPr="00B82BDF">
        <w:t xml:space="preserve"> relevant que A.H. </w:t>
      </w:r>
      <w:proofErr w:type="spellStart"/>
      <w:r w:rsidRPr="00B82BDF">
        <w:t>avait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du </w:t>
      </w:r>
      <w:proofErr w:type="spellStart"/>
      <w:r w:rsidRPr="00B82BDF">
        <w:t>refus</w:t>
      </w:r>
      <w:proofErr w:type="spellEnd"/>
      <w:r w:rsidRPr="00B82BDF">
        <w:t xml:space="preserve"> </w:t>
      </w:r>
      <w:proofErr w:type="spellStart"/>
      <w:r w:rsidRPr="00B82BDF">
        <w:t>opposé</w:t>
      </w:r>
      <w:proofErr w:type="spellEnd"/>
      <w:r w:rsidRPr="00B82BDF">
        <w:t xml:space="preserve">, par la </w:t>
      </w:r>
      <w:proofErr w:type="spellStart"/>
      <w:r w:rsidRPr="00B82BDF">
        <w:t>requérante</w:t>
      </w:r>
      <w:proofErr w:type="spellEnd"/>
      <w:r w:rsidRPr="00B82BDF">
        <w:t xml:space="preserve">, à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pénétration</w:t>
      </w:r>
      <w:proofErr w:type="spellEnd"/>
      <w:r w:rsidRPr="00B82BDF">
        <w:t xml:space="preserve"> </w:t>
      </w:r>
      <w:proofErr w:type="spellStart"/>
      <w:r w:rsidRPr="00B82BDF">
        <w:t>vaginale</w:t>
      </w:r>
      <w:proofErr w:type="spellEnd"/>
      <w:r w:rsidRPr="00B82BDF">
        <w:t xml:space="preserve"> et </w:t>
      </w:r>
      <w:proofErr w:type="spellStart"/>
      <w:r w:rsidRPr="00B82BDF">
        <w:t>n’avait</w:t>
      </w:r>
      <w:proofErr w:type="spellEnd"/>
      <w:r w:rsidRPr="00B82BDF">
        <w:t xml:space="preserve"> pas </w:t>
      </w:r>
      <w:proofErr w:type="spellStart"/>
      <w:r w:rsidRPr="00B82BDF">
        <w:t>interprété</w:t>
      </w:r>
      <w:proofErr w:type="spellEnd"/>
      <w:r w:rsidRPr="00B82BDF">
        <w:t xml:space="preserve"> son attitude </w:t>
      </w:r>
      <w:proofErr w:type="spellStart"/>
      <w:r w:rsidRPr="00B82BDF">
        <w:t>comme</w:t>
      </w:r>
      <w:proofErr w:type="spellEnd"/>
      <w:r w:rsidRPr="00B82BDF">
        <w:t xml:space="preserve"> un </w:t>
      </w:r>
      <w:proofErr w:type="spellStart"/>
      <w:r w:rsidRPr="00B82BDF">
        <w:t>refus</w:t>
      </w:r>
      <w:proofErr w:type="spellEnd"/>
      <w:r w:rsidRPr="00B82BDF">
        <w:t xml:space="preserve"> de </w:t>
      </w:r>
      <w:proofErr w:type="spellStart"/>
      <w:r w:rsidRPr="00B82BDF">
        <w:t>consentement</w:t>
      </w:r>
      <w:proofErr w:type="spellEnd"/>
      <w:r w:rsidRPr="00B82BDF">
        <w:t xml:space="preserve"> à tout rapport </w:t>
      </w:r>
      <w:proofErr w:type="spellStart"/>
      <w:r w:rsidRPr="00B82BDF">
        <w:t>sexuel</w:t>
      </w:r>
      <w:proofErr w:type="spellEnd"/>
      <w:r w:rsidRPr="00B82BDF">
        <w:t xml:space="preserve"> (</w:t>
      </w:r>
      <w:r w:rsidRPr="00B82BDF">
        <w:rPr>
          <w:i/>
          <w:iCs/>
        </w:rPr>
        <w:t>ibidem</w:t>
      </w:r>
      <w:r w:rsidRPr="00B82BDF">
        <w:t>).</w:t>
      </w:r>
    </w:p>
    <w:p w14:paraId="59F246F3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241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premier lieu, que </w:t>
      </w:r>
      <w:proofErr w:type="spellStart"/>
      <w:r w:rsidRPr="00B82BDF">
        <w:t>l’appréciation</w:t>
      </w:r>
      <w:proofErr w:type="spellEnd"/>
      <w:r w:rsidRPr="00B82BDF">
        <w:t xml:space="preserve"> des faits </w:t>
      </w:r>
      <w:proofErr w:type="spellStart"/>
      <w:r w:rsidRPr="00B82BDF">
        <w:t>dénoncés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principalement</w:t>
      </w:r>
      <w:proofErr w:type="spellEnd"/>
      <w:r w:rsidRPr="00B82BDF">
        <w:t xml:space="preserve"> </w:t>
      </w:r>
      <w:proofErr w:type="spellStart"/>
      <w:r w:rsidRPr="00B82BDF">
        <w:t>fondée</w:t>
      </w:r>
      <w:proofErr w:type="spellEnd"/>
      <w:r w:rsidRPr="00B82BDF">
        <w:t xml:space="preserve"> sur les </w:t>
      </w:r>
      <w:proofErr w:type="spellStart"/>
      <w:r w:rsidRPr="00B82BDF">
        <w:t>déclarations</w:t>
      </w:r>
      <w:proofErr w:type="spellEnd"/>
      <w:r w:rsidRPr="00B82BDF">
        <w:t xml:space="preserve"> du mis </w:t>
      </w:r>
      <w:proofErr w:type="spellStart"/>
      <w:r w:rsidRPr="00B82BDF">
        <w:t>en</w:t>
      </w:r>
      <w:proofErr w:type="spellEnd"/>
      <w:r w:rsidRPr="00B82BDF">
        <w:t xml:space="preserve"> cause sans </w:t>
      </w:r>
      <w:proofErr w:type="spellStart"/>
      <w:r w:rsidRPr="00B82BDF">
        <w:t>attribuer</w:t>
      </w:r>
      <w:proofErr w:type="spellEnd"/>
      <w:r w:rsidRPr="00B82BDF">
        <w:t xml:space="preserve"> le </w:t>
      </w:r>
      <w:proofErr w:type="spellStart"/>
      <w:r w:rsidRPr="00B82BDF">
        <w:t>même</w:t>
      </w:r>
      <w:proofErr w:type="spellEnd"/>
      <w:r w:rsidRPr="00B82BDF">
        <w:t xml:space="preserve"> </w:t>
      </w:r>
      <w:proofErr w:type="spellStart"/>
      <w:r w:rsidRPr="00B82BDF">
        <w:t>poids</w:t>
      </w:r>
      <w:proofErr w:type="spellEnd"/>
      <w:r w:rsidRPr="00B82BDF">
        <w:t xml:space="preserve"> à </w:t>
      </w:r>
      <w:proofErr w:type="spellStart"/>
      <w:r w:rsidRPr="00B82BDF">
        <w:t>celles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</w:t>
      </w:r>
      <w:proofErr w:type="spellStart"/>
      <w:r w:rsidRPr="00B82BDF">
        <w:t>procéder</w:t>
      </w:r>
      <w:proofErr w:type="spellEnd"/>
      <w:r w:rsidRPr="00B82BDF">
        <w:t xml:space="preserve"> à </w:t>
      </w:r>
      <w:proofErr w:type="spellStart"/>
      <w:r w:rsidRPr="00B82BDF">
        <w:t>aucune</w:t>
      </w:r>
      <w:proofErr w:type="spellEnd"/>
      <w:r w:rsidRPr="00B82BDF">
        <w:t xml:space="preserve"> </w:t>
      </w:r>
      <w:proofErr w:type="spellStart"/>
      <w:r w:rsidRPr="00B82BDF">
        <w:t>évaluation</w:t>
      </w:r>
      <w:proofErr w:type="spellEnd"/>
      <w:r w:rsidRPr="00B82BDF">
        <w:t xml:space="preserve"> </w:t>
      </w:r>
      <w:proofErr w:type="spellStart"/>
      <w:r w:rsidRPr="00B82BDF">
        <w:t>contextuelle</w:t>
      </w:r>
      <w:proofErr w:type="spellEnd"/>
      <w:r w:rsidRPr="00B82BDF">
        <w:t xml:space="preserve"> de </w:t>
      </w:r>
      <w:proofErr w:type="spellStart"/>
      <w:r w:rsidRPr="00B82BDF">
        <w:t>celles</w:t>
      </w:r>
      <w:proofErr w:type="spellEnd"/>
      <w:r w:rsidRPr="00B82BDF">
        <w:t xml:space="preserve">-ci. Elle </w:t>
      </w:r>
      <w:proofErr w:type="spellStart"/>
      <w:r w:rsidRPr="00B82BDF">
        <w:t>souligne</w:t>
      </w:r>
      <w:proofErr w:type="spellEnd"/>
      <w:r w:rsidRPr="00B82BDF">
        <w:t xml:space="preserve"> que </w:t>
      </w:r>
      <w:proofErr w:type="spellStart"/>
      <w:r w:rsidRPr="00B82BDF">
        <w:t>seule</w:t>
      </w:r>
      <w:proofErr w:type="spellEnd"/>
      <w:r w:rsidRPr="00B82BDF">
        <w:t xml:space="preserve">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discutée</w:t>
      </w:r>
      <w:proofErr w:type="spellEnd"/>
      <w:r w:rsidRPr="00B82BDF">
        <w:t xml:space="preserve"> la </w:t>
      </w:r>
      <w:proofErr w:type="spellStart"/>
      <w:r w:rsidRPr="00B82BDF">
        <w:t>cohérence</w:t>
      </w:r>
      <w:proofErr w:type="spellEnd"/>
      <w:r w:rsidRPr="00B82BDF">
        <w:t xml:space="preserve"> du </w:t>
      </w:r>
      <w:proofErr w:type="spellStart"/>
      <w:r w:rsidRPr="00B82BDF">
        <w:t>récit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sans </w:t>
      </w:r>
      <w:proofErr w:type="spellStart"/>
      <w:r w:rsidRPr="00B82BDF">
        <w:t>qu’il</w:t>
      </w:r>
      <w:proofErr w:type="spellEnd"/>
      <w:r w:rsidRPr="00B82BDF">
        <w:t xml:space="preserve"> ne </w:t>
      </w:r>
      <w:proofErr w:type="spellStart"/>
      <w:r w:rsidRPr="00B82BDF">
        <w:t>soit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</w:t>
      </w:r>
      <w:proofErr w:type="spellStart"/>
      <w:r w:rsidRPr="00B82BDF">
        <w:t>aucun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de </w:t>
      </w:r>
      <w:proofErr w:type="spellStart"/>
      <w:r w:rsidRPr="00B82BDF">
        <w:t>celles</w:t>
      </w:r>
      <w:proofErr w:type="spellEnd"/>
      <w:r w:rsidRPr="00B82BDF">
        <w:t xml:space="preserve"> des </w:t>
      </w:r>
      <w:proofErr w:type="spellStart"/>
      <w:r w:rsidRPr="00B82BDF">
        <w:t>déclarations</w:t>
      </w:r>
      <w:proofErr w:type="spellEnd"/>
      <w:r w:rsidRPr="00B82BDF">
        <w:t xml:space="preserve"> de A.H. de nature à </w:t>
      </w:r>
      <w:proofErr w:type="spellStart"/>
      <w:r w:rsidRPr="00B82BDF">
        <w:t>corroborer</w:t>
      </w:r>
      <w:proofErr w:type="spellEnd"/>
      <w:r w:rsidRPr="00B82BDF">
        <w:t xml:space="preserve"> le fait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était</w:t>
      </w:r>
      <w:proofErr w:type="spellEnd"/>
      <w:r w:rsidRPr="00B82BDF">
        <w:t xml:space="preserve"> </w:t>
      </w:r>
      <w:proofErr w:type="spellStart"/>
      <w:r w:rsidRPr="00B82BDF">
        <w:t>resté</w:t>
      </w:r>
      <w:proofErr w:type="spellEnd"/>
      <w:r w:rsidRPr="00B82BDF">
        <w:t xml:space="preserve"> </w:t>
      </w:r>
      <w:proofErr w:type="spellStart"/>
      <w:r w:rsidRPr="00B82BDF">
        <w:t>sourd</w:t>
      </w:r>
      <w:proofErr w:type="spellEnd"/>
      <w:r w:rsidRPr="00B82BDF">
        <w:t xml:space="preserve"> aux </w:t>
      </w:r>
      <w:proofErr w:type="spellStart"/>
      <w:r w:rsidRPr="00B82BDF">
        <w:t>refus</w:t>
      </w:r>
      <w:proofErr w:type="spellEnd"/>
      <w:r w:rsidRPr="00B82BDF">
        <w:t xml:space="preserve"> </w:t>
      </w:r>
      <w:proofErr w:type="spellStart"/>
      <w:r w:rsidRPr="00B82BDF">
        <w:t>opposés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aux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sexuels</w:t>
      </w:r>
      <w:proofErr w:type="spellEnd"/>
      <w:r w:rsidRPr="00B82BDF">
        <w:t xml:space="preserve"> </w:t>
      </w:r>
      <w:proofErr w:type="spellStart"/>
      <w:r w:rsidRPr="00B82BDF">
        <w:t>pratiqués</w:t>
      </w:r>
      <w:proofErr w:type="spellEnd"/>
      <w:r w:rsidRPr="00B82BDF">
        <w:t xml:space="preserve"> sur </w:t>
      </w:r>
      <w:proofErr w:type="spellStart"/>
      <w:r w:rsidRPr="00B82BDF">
        <w:t>elle</w:t>
      </w:r>
      <w:proofErr w:type="spellEnd"/>
      <w:r w:rsidRPr="00B82BDF">
        <w:t xml:space="preserve">. </w:t>
      </w:r>
      <w:proofErr w:type="spellStart"/>
      <w:r w:rsidRPr="00B82BDF">
        <w:t>Ainsi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n’a</w:t>
      </w:r>
      <w:proofErr w:type="spellEnd"/>
      <w:r w:rsidRPr="00B82BDF">
        <w:t xml:space="preserve"> </w:t>
      </w:r>
      <w:proofErr w:type="spellStart"/>
      <w:r w:rsidRPr="00B82BDF">
        <w:t>procédé</w:t>
      </w:r>
      <w:proofErr w:type="spellEnd"/>
      <w:r w:rsidRPr="00B82BDF">
        <w:t xml:space="preserve"> à </w:t>
      </w:r>
      <w:proofErr w:type="spellStart"/>
      <w:r w:rsidRPr="00B82BDF">
        <w:t>aucune</w:t>
      </w:r>
      <w:proofErr w:type="spellEnd"/>
      <w:r w:rsidRPr="00B82BDF">
        <w:t xml:space="preserve"> analyse </w:t>
      </w:r>
      <w:proofErr w:type="spellStart"/>
      <w:r w:rsidRPr="00B82BDF">
        <w:t>circonstanciée</w:t>
      </w:r>
      <w:proofErr w:type="spellEnd"/>
      <w:r w:rsidRPr="00B82BDF">
        <w:t xml:space="preserve"> des </w:t>
      </w:r>
      <w:proofErr w:type="spellStart"/>
      <w:r w:rsidRPr="00B82BDF">
        <w:t>termes</w:t>
      </w:r>
      <w:proofErr w:type="spellEnd"/>
      <w:r w:rsidRPr="00B82BDF">
        <w:t xml:space="preserve"> « non, je </w:t>
      </w:r>
      <w:proofErr w:type="spellStart"/>
      <w:r w:rsidRPr="00B82BDF">
        <w:t>suis</w:t>
      </w:r>
      <w:proofErr w:type="spellEnd"/>
      <w:r w:rsidRPr="00B82BDF">
        <w:t xml:space="preserve"> </w:t>
      </w:r>
      <w:proofErr w:type="spellStart"/>
      <w:r w:rsidRPr="00B82BDF">
        <w:t>vierge</w:t>
      </w:r>
      <w:proofErr w:type="spellEnd"/>
      <w:r w:rsidRPr="00B82BDF">
        <w:t xml:space="preserve"> » qui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utilisés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pour refuser la première tentative de </w:t>
      </w:r>
      <w:proofErr w:type="spellStart"/>
      <w:r w:rsidRPr="00B82BDF">
        <w:t>pénétration</w:t>
      </w:r>
      <w:proofErr w:type="spellEnd"/>
      <w:r w:rsidRPr="00B82BDF">
        <w:t xml:space="preserve"> </w:t>
      </w:r>
      <w:proofErr w:type="spellStart"/>
      <w:r w:rsidRPr="00B82BDF">
        <w:t>vaginale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de </w:t>
      </w:r>
      <w:proofErr w:type="spellStart"/>
      <w:r w:rsidRPr="00B82BDF">
        <w:t>l’expression</w:t>
      </w:r>
      <w:proofErr w:type="spellEnd"/>
      <w:r w:rsidRPr="00B82BDF">
        <w:t xml:space="preserve"> « </w:t>
      </w:r>
      <w:proofErr w:type="spellStart"/>
      <w:r w:rsidRPr="00B82BDF">
        <w:t>tu</w:t>
      </w:r>
      <w:proofErr w:type="spellEnd"/>
      <w:r w:rsidRPr="00B82BDF">
        <w:t xml:space="preserve"> me </w:t>
      </w:r>
      <w:proofErr w:type="spellStart"/>
      <w:r w:rsidRPr="00B82BDF">
        <w:t>dois</w:t>
      </w:r>
      <w:proofErr w:type="spellEnd"/>
      <w:r w:rsidRPr="00B82BDF">
        <w:t xml:space="preserve"> bien </w:t>
      </w:r>
      <w:proofErr w:type="spellStart"/>
      <w:r w:rsidRPr="00B82BDF">
        <w:t>ça</w:t>
      </w:r>
      <w:proofErr w:type="spellEnd"/>
      <w:r w:rsidRPr="00B82BDF">
        <w:t xml:space="preserve"> » </w:t>
      </w:r>
      <w:proofErr w:type="spellStart"/>
      <w:r w:rsidRPr="00B82BDF">
        <w:t>dont</w:t>
      </w:r>
      <w:proofErr w:type="spellEnd"/>
      <w:r w:rsidRPr="00B82BDF">
        <w:t xml:space="preserve"> </w:t>
      </w:r>
      <w:proofErr w:type="spellStart"/>
      <w:r w:rsidRPr="00B82BDF">
        <w:t>aurait</w:t>
      </w:r>
      <w:proofErr w:type="spellEnd"/>
      <w:r w:rsidRPr="00B82BDF">
        <w:t xml:space="preserve"> </w:t>
      </w:r>
      <w:proofErr w:type="spellStart"/>
      <w:r w:rsidRPr="00B82BDF">
        <w:t>usé</w:t>
      </w:r>
      <w:proofErr w:type="spellEnd"/>
      <w:r w:rsidRPr="00B82BDF">
        <w:t xml:space="preserve"> le mis </w:t>
      </w:r>
      <w:proofErr w:type="spellStart"/>
      <w:r w:rsidRPr="00B82BDF">
        <w:t>en</w:t>
      </w:r>
      <w:proofErr w:type="spellEnd"/>
      <w:r w:rsidRPr="00B82BDF">
        <w:t xml:space="preserve"> cause pour </w:t>
      </w:r>
      <w:proofErr w:type="spellStart"/>
      <w:r w:rsidRPr="00B82BDF">
        <w:t>obtenir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fellation</w:t>
      </w:r>
      <w:proofErr w:type="spellEnd"/>
      <w:r w:rsidRPr="00B82BDF">
        <w:t xml:space="preserve">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paragraph00071 \h \* CharFormat </w:instrText>
      </w:r>
      <w:r w:rsidRPr="00B82BDF">
        <w:fldChar w:fldCharType="separate"/>
      </w:r>
      <w:r w:rsidRPr="00B82BDF">
        <w:t>71</w:t>
      </w:r>
      <w:r w:rsidRPr="00B82BDF">
        <w:fldChar w:fldCharType="end"/>
      </w:r>
      <w:r w:rsidRPr="00B82BDF">
        <w:t xml:space="preserve"> et </w:t>
      </w:r>
      <w:r w:rsidRPr="00B82BDF">
        <w:fldChar w:fldCharType="begin"/>
      </w:r>
      <w:r w:rsidRPr="00B82BDF">
        <w:instrText xml:space="preserve">REF paragraph00076 \h \* CharFormat </w:instrText>
      </w:r>
      <w:r w:rsidRPr="00B82BDF">
        <w:fldChar w:fldCharType="separate"/>
      </w:r>
      <w:r w:rsidRPr="00B82BDF">
        <w:t>76</w:t>
      </w:r>
      <w:r w:rsidRPr="00B82BDF">
        <w:fldChar w:fldCharType="end"/>
      </w:r>
      <w:r w:rsidRPr="00B82BDF">
        <w:t xml:space="preserve"> ci-dessus). Les </w:t>
      </w:r>
      <w:proofErr w:type="spellStart"/>
      <w:r w:rsidRPr="00B82BDF">
        <w:t>juges</w:t>
      </w:r>
      <w:proofErr w:type="spellEnd"/>
      <w:r w:rsidRPr="00B82BDF">
        <w:t xml:space="preserve"> internes </w:t>
      </w:r>
      <w:proofErr w:type="spellStart"/>
      <w:r w:rsidRPr="00B82BDF">
        <w:t>n’ont</w:t>
      </w:r>
      <w:proofErr w:type="spellEnd"/>
      <w:r w:rsidRPr="00B82BDF">
        <w:t xml:space="preserve"> pas </w:t>
      </w:r>
      <w:proofErr w:type="spellStart"/>
      <w:r w:rsidRPr="00B82BDF">
        <w:t>davantage</w:t>
      </w:r>
      <w:proofErr w:type="spellEnd"/>
      <w:r w:rsidRPr="00B82BDF">
        <w:t xml:space="preserve"> </w:t>
      </w:r>
      <w:proofErr w:type="spellStart"/>
      <w:r w:rsidRPr="00B82BDF">
        <w:t>dûment</w:t>
      </w:r>
      <w:proofErr w:type="spellEnd"/>
      <w:r w:rsidRPr="00B82BDF">
        <w:t xml:space="preserve"> </w:t>
      </w:r>
      <w:proofErr w:type="spellStart"/>
      <w:r w:rsidRPr="00B82BDF">
        <w:t>analysé</w:t>
      </w:r>
      <w:proofErr w:type="spellEnd"/>
      <w:r w:rsidRPr="00B82BDF">
        <w:t xml:space="preserve"> les </w:t>
      </w:r>
      <w:proofErr w:type="spellStart"/>
      <w:r w:rsidRPr="00B82BDF">
        <w:t>circonstances</w:t>
      </w:r>
      <w:proofErr w:type="spellEnd"/>
      <w:r w:rsidRPr="00B82BDF">
        <w:t xml:space="preserve"> de la </w:t>
      </w:r>
      <w:proofErr w:type="spellStart"/>
      <w:r w:rsidRPr="00B82BDF">
        <w:t>sodomie</w:t>
      </w:r>
      <w:proofErr w:type="spellEnd"/>
      <w:r w:rsidRPr="00B82BDF">
        <w:t xml:space="preserve"> </w:t>
      </w:r>
      <w:proofErr w:type="spellStart"/>
      <w:r w:rsidRPr="00B82BDF">
        <w:t>telle</w:t>
      </w:r>
      <w:proofErr w:type="spellEnd"/>
      <w:r w:rsidRPr="00B82BDF">
        <w:t xml:space="preserve"> que </w:t>
      </w:r>
      <w:proofErr w:type="spellStart"/>
      <w:r w:rsidRPr="00B82BDF">
        <w:t>rapportées</w:t>
      </w:r>
      <w:proofErr w:type="spellEnd"/>
      <w:r w:rsidRPr="00B82BDF">
        <w:t xml:space="preserve"> par A.H. </w:t>
      </w:r>
      <w:proofErr w:type="spellStart"/>
      <w:r w:rsidRPr="00B82BDF">
        <w:t>alléguant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« ne </w:t>
      </w:r>
      <w:proofErr w:type="spellStart"/>
      <w:r w:rsidRPr="00B82BDF">
        <w:t>sa</w:t>
      </w:r>
      <w:proofErr w:type="spellEnd"/>
      <w:r w:rsidRPr="00B82BDF">
        <w:t>[</w:t>
      </w:r>
      <w:proofErr w:type="spellStart"/>
      <w:r w:rsidRPr="00B82BDF">
        <w:t>vai</w:t>
      </w:r>
      <w:proofErr w:type="spellEnd"/>
      <w:r w:rsidRPr="00B82BDF">
        <w:t xml:space="preserve">]t pas comment » </w:t>
      </w:r>
      <w:proofErr w:type="spellStart"/>
      <w:r w:rsidRPr="00B82BDF">
        <w:t>cela</w:t>
      </w:r>
      <w:proofErr w:type="spellEnd"/>
      <w:r w:rsidRPr="00B82BDF">
        <w:t xml:space="preserve"> </w:t>
      </w:r>
      <w:proofErr w:type="spellStart"/>
      <w:r w:rsidRPr="00B82BDF">
        <w:t>était</w:t>
      </w:r>
      <w:proofErr w:type="spellEnd"/>
      <w:r w:rsidRPr="00B82BDF">
        <w:t xml:space="preserve"> </w:t>
      </w:r>
      <w:proofErr w:type="spellStart"/>
      <w:r w:rsidRPr="00B82BDF">
        <w:t>arrivé</w:t>
      </w:r>
      <w:proofErr w:type="spellEnd"/>
      <w:r w:rsidRPr="00B82BDF">
        <w:t xml:space="preserve">, et </w:t>
      </w:r>
      <w:proofErr w:type="spellStart"/>
      <w:r w:rsidRPr="00B82BDF">
        <w:t>qu’alors</w:t>
      </w:r>
      <w:proofErr w:type="spellEnd"/>
      <w:r w:rsidRPr="00B82BDF">
        <w:t xml:space="preserve"> </w:t>
      </w:r>
      <w:proofErr w:type="spellStart"/>
      <w:r w:rsidRPr="00B82BDF">
        <w:t>qu’il</w:t>
      </w:r>
      <w:proofErr w:type="spellEnd"/>
      <w:r w:rsidRPr="00B82BDF">
        <w:t xml:space="preserve"> se </w:t>
      </w:r>
      <w:proofErr w:type="spellStart"/>
      <w:r w:rsidRPr="00B82BDF">
        <w:t>frottait</w:t>
      </w:r>
      <w:proofErr w:type="spellEnd"/>
      <w:r w:rsidRPr="00B82BDF">
        <w:t xml:space="preserve"> à la </w:t>
      </w:r>
      <w:proofErr w:type="spellStart"/>
      <w:r w:rsidRPr="00B82BDF">
        <w:t>requérante</w:t>
      </w:r>
      <w:proofErr w:type="spellEnd"/>
      <w:r w:rsidRPr="00B82BDF">
        <w:t xml:space="preserve"> malgré son premier </w:t>
      </w:r>
      <w:proofErr w:type="spellStart"/>
      <w:r w:rsidRPr="00B82BDF">
        <w:t>refus</w:t>
      </w:r>
      <w:proofErr w:type="spellEnd"/>
      <w:r w:rsidRPr="00B82BDF">
        <w:t xml:space="preserve"> </w:t>
      </w:r>
      <w:proofErr w:type="spellStart"/>
      <w:r w:rsidRPr="00B82BDF">
        <w:t>d’une</w:t>
      </w:r>
      <w:proofErr w:type="spellEnd"/>
      <w:r w:rsidRPr="00B82BDF">
        <w:t xml:space="preserve"> </w:t>
      </w:r>
      <w:proofErr w:type="spellStart"/>
      <w:r w:rsidRPr="00B82BDF">
        <w:t>pénétration</w:t>
      </w:r>
      <w:proofErr w:type="spellEnd"/>
      <w:r w:rsidRPr="00B82BDF">
        <w:t xml:space="preserve">, son </w:t>
      </w:r>
      <w:proofErr w:type="spellStart"/>
      <w:r w:rsidRPr="00B82BDF">
        <w:t>sexe</w:t>
      </w:r>
      <w:proofErr w:type="spellEnd"/>
      <w:r w:rsidRPr="00B82BDF">
        <w:t xml:space="preserve"> </w:t>
      </w:r>
      <w:proofErr w:type="spellStart"/>
      <w:r w:rsidRPr="00B82BDF">
        <w:t>aurait</w:t>
      </w:r>
      <w:proofErr w:type="spellEnd"/>
      <w:r w:rsidRPr="00B82BDF">
        <w:t xml:space="preserve"> « </w:t>
      </w:r>
      <w:proofErr w:type="spellStart"/>
      <w:r w:rsidRPr="00B82BDF">
        <w:t>glissé</w:t>
      </w:r>
      <w:proofErr w:type="spellEnd"/>
      <w:r w:rsidRPr="00B82BDF">
        <w:t> » dans son anus « sans forcer »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paragraph00071 \h \* CharFormat </w:instrText>
      </w:r>
      <w:r w:rsidRPr="00B82BDF">
        <w:fldChar w:fldCharType="separate"/>
      </w:r>
      <w:r w:rsidRPr="00B82BDF">
        <w:t>71</w:t>
      </w:r>
      <w:r w:rsidRPr="00B82BDF">
        <w:fldChar w:fldCharType="end"/>
      </w:r>
      <w:r w:rsidRPr="00B82BDF">
        <w:t xml:space="preserve"> ci-dessus),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confrontant</w:t>
      </w:r>
      <w:proofErr w:type="spellEnd"/>
      <w:r w:rsidRPr="00B82BDF">
        <w:t xml:space="preserve"> </w:t>
      </w:r>
      <w:proofErr w:type="spellStart"/>
      <w:r w:rsidRPr="00B82BDF">
        <w:t>ses</w:t>
      </w:r>
      <w:proofErr w:type="spellEnd"/>
      <w:r w:rsidRPr="00B82BDF">
        <w:t xml:space="preserve"> </w:t>
      </w:r>
      <w:proofErr w:type="spellStart"/>
      <w:r w:rsidRPr="00B82BDF">
        <w:t>déclarations</w:t>
      </w:r>
      <w:proofErr w:type="spellEnd"/>
      <w:r w:rsidRPr="00B82BDF">
        <w:t xml:space="preserve"> avec </w:t>
      </w:r>
      <w:proofErr w:type="spellStart"/>
      <w:r w:rsidRPr="00B82BDF">
        <w:t>celles</w:t>
      </w:r>
      <w:proofErr w:type="spellEnd"/>
      <w:r w:rsidRPr="00B82BDF">
        <w:t xml:space="preserve"> de M.L. </w:t>
      </w:r>
      <w:proofErr w:type="spellStart"/>
      <w:r w:rsidRPr="00B82BDF">
        <w:t>faisant</w:t>
      </w:r>
      <w:proofErr w:type="spellEnd"/>
      <w:r w:rsidRPr="00B82BDF">
        <w:t xml:space="preserve"> </w:t>
      </w:r>
      <w:proofErr w:type="spellStart"/>
      <w:r w:rsidRPr="00B82BDF">
        <w:t>état</w:t>
      </w:r>
      <w:proofErr w:type="spellEnd"/>
      <w:r w:rsidRPr="00B82BDF">
        <w:t xml:space="preserve"> de la violence de la première </w:t>
      </w:r>
      <w:proofErr w:type="spellStart"/>
      <w:r w:rsidRPr="00B82BDF">
        <w:t>pénétration</w:t>
      </w:r>
      <w:proofErr w:type="spellEnd"/>
      <w:r w:rsidRPr="00B82BDF">
        <w:t xml:space="preserve"> </w:t>
      </w:r>
      <w:proofErr w:type="spellStart"/>
      <w:r w:rsidRPr="00B82BDF">
        <w:t>anale</w:t>
      </w:r>
      <w:proofErr w:type="spellEnd"/>
      <w:r w:rsidRPr="00B82BDF">
        <w:t xml:space="preserve"> </w:t>
      </w:r>
      <w:proofErr w:type="spellStart"/>
      <w:r w:rsidRPr="00B82BDF">
        <w:t>subie</w:t>
      </w:r>
      <w:proofErr w:type="spellEnd"/>
      <w:r w:rsidRPr="00B82BDF">
        <w:t xml:space="preserve"> et de son </w:t>
      </w:r>
      <w:proofErr w:type="spellStart"/>
      <w:r w:rsidRPr="00B82BDF">
        <w:t>état</w:t>
      </w:r>
      <w:proofErr w:type="spellEnd"/>
      <w:r w:rsidRPr="00B82BDF">
        <w:t xml:space="preserve"> de </w:t>
      </w:r>
      <w:proofErr w:type="spellStart"/>
      <w:r w:rsidRPr="00B82BDF">
        <w:t>sidération</w:t>
      </w:r>
      <w:proofErr w:type="spellEnd"/>
      <w:r w:rsidRPr="00B82BDF">
        <w:t>.</w:t>
      </w:r>
    </w:p>
    <w:p w14:paraId="3E98B38A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242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deuxième</w:t>
      </w:r>
      <w:proofErr w:type="spellEnd"/>
      <w:r w:rsidRPr="00B82BDF">
        <w:t xml:space="preserve"> lieu,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que, bien que la </w:t>
      </w:r>
      <w:proofErr w:type="spellStart"/>
      <w:r w:rsidRPr="00B82BDF">
        <w:t>consommation</w:t>
      </w:r>
      <w:proofErr w:type="spellEnd"/>
      <w:r w:rsidRPr="00B82BDF">
        <w:t xml:space="preserve"> </w:t>
      </w:r>
      <w:proofErr w:type="spellStart"/>
      <w:r w:rsidRPr="00B82BDF">
        <w:t>d’alcool</w:t>
      </w:r>
      <w:proofErr w:type="spellEnd"/>
      <w:r w:rsidRPr="00B82BDF">
        <w:t xml:space="preserve"> et </w:t>
      </w:r>
      <w:proofErr w:type="spellStart"/>
      <w:r w:rsidRPr="00B82BDF">
        <w:t>d’autres</w:t>
      </w:r>
      <w:proofErr w:type="spellEnd"/>
      <w:r w:rsidRPr="00B82BDF">
        <w:t xml:space="preserve"> </w:t>
      </w:r>
      <w:proofErr w:type="spellStart"/>
      <w:r w:rsidRPr="00B82BDF">
        <w:t>toxiques</w:t>
      </w:r>
      <w:proofErr w:type="spellEnd"/>
      <w:r w:rsidRPr="00B82BDF">
        <w:t xml:space="preserve"> </w:t>
      </w:r>
      <w:proofErr w:type="spellStart"/>
      <w:r w:rsidRPr="00B82BDF">
        <w:t>fût</w:t>
      </w:r>
      <w:proofErr w:type="spellEnd"/>
      <w:r w:rsidRPr="00B82BDF">
        <w:t xml:space="preserve"> </w:t>
      </w:r>
      <w:proofErr w:type="spellStart"/>
      <w:r w:rsidRPr="00B82BDF">
        <w:t>établie</w:t>
      </w:r>
      <w:proofErr w:type="spellEnd"/>
      <w:r w:rsidRPr="00B82BDF">
        <w:t xml:space="preserve"> par les deux </w:t>
      </w:r>
      <w:proofErr w:type="spellStart"/>
      <w:r w:rsidRPr="00B82BDF">
        <w:t>protagonistes</w:t>
      </w:r>
      <w:proofErr w:type="spellEnd"/>
      <w:r w:rsidRPr="00B82BDF">
        <w:t xml:space="preserve"> et </w:t>
      </w:r>
      <w:proofErr w:type="spellStart"/>
      <w:r w:rsidRPr="00B82BDF">
        <w:t>reconnue</w:t>
      </w:r>
      <w:proofErr w:type="spellEnd"/>
      <w:r w:rsidRPr="00B82BDF">
        <w:t xml:space="preserve"> par le mis </w:t>
      </w:r>
      <w:proofErr w:type="spellStart"/>
      <w:r w:rsidRPr="00B82BDF">
        <w:t>en</w:t>
      </w:r>
      <w:proofErr w:type="spellEnd"/>
      <w:r w:rsidRPr="00B82BDF">
        <w:t xml:space="preserve"> cause </w:t>
      </w:r>
      <w:proofErr w:type="spellStart"/>
      <w:r w:rsidRPr="00B82BDF">
        <w:t>comme</w:t>
      </w:r>
      <w:proofErr w:type="spellEnd"/>
      <w:r w:rsidRPr="00B82BDF">
        <w:t xml:space="preserve"> un </w:t>
      </w:r>
      <w:proofErr w:type="spellStart"/>
      <w:r w:rsidRPr="00B82BDF">
        <w:t>facteur</w:t>
      </w:r>
      <w:proofErr w:type="spellEnd"/>
      <w:r w:rsidRPr="00B82BDF">
        <w:t xml:space="preserve"> </w:t>
      </w:r>
      <w:proofErr w:type="spellStart"/>
      <w:r w:rsidRPr="00B82BDF">
        <w:t>explicatif</w:t>
      </w:r>
      <w:proofErr w:type="spellEnd"/>
      <w:r w:rsidRPr="00B82BDF">
        <w:t xml:space="preserve"> de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comportement</w:t>
      </w:r>
      <w:proofErr w:type="spellEnd"/>
      <w:r w:rsidRPr="00B82BDF">
        <w:t xml:space="preserve">, </w:t>
      </w:r>
      <w:proofErr w:type="spellStart"/>
      <w:r w:rsidRPr="00B82BDF">
        <w:t>cette</w:t>
      </w:r>
      <w:proofErr w:type="spellEnd"/>
      <w:r w:rsidRPr="00B82BDF">
        <w:t xml:space="preserve"> </w:t>
      </w:r>
      <w:proofErr w:type="spellStart"/>
      <w:r w:rsidRPr="00B82BDF">
        <w:t>circonstance</w:t>
      </w:r>
      <w:proofErr w:type="spellEnd"/>
      <w:r w:rsidRPr="00B82BDF">
        <w:t xml:space="preserve">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retenue</w:t>
      </w:r>
      <w:proofErr w:type="spellEnd"/>
      <w:r w:rsidRPr="00B82BDF">
        <w:t xml:space="preserve">, par les </w:t>
      </w:r>
      <w:proofErr w:type="spellStart"/>
      <w:r w:rsidRPr="00B82BDF">
        <w:t>juges</w:t>
      </w:r>
      <w:proofErr w:type="spellEnd"/>
      <w:r w:rsidRPr="00B82BDF">
        <w:t xml:space="preserve"> internes, </w:t>
      </w:r>
      <w:proofErr w:type="spellStart"/>
      <w:r w:rsidRPr="00B82BDF">
        <w:t>comme</w:t>
      </w:r>
      <w:proofErr w:type="spellEnd"/>
      <w:r w:rsidRPr="00B82BDF">
        <w:t xml:space="preserve"> un </w:t>
      </w:r>
      <w:proofErr w:type="spellStart"/>
      <w:r w:rsidRPr="00B82BDF">
        <w:t>élément</w:t>
      </w:r>
      <w:proofErr w:type="spellEnd"/>
      <w:r w:rsidRPr="00B82BDF">
        <w:t xml:space="preserve"> qui, </w:t>
      </w:r>
      <w:proofErr w:type="spellStart"/>
      <w:r w:rsidRPr="00B82BDF">
        <w:t>conjugué</w:t>
      </w:r>
      <w:proofErr w:type="spellEnd"/>
      <w:r w:rsidRPr="00B82BDF">
        <w:t xml:space="preserve"> à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minorité</w:t>
      </w:r>
      <w:proofErr w:type="spellEnd"/>
      <w:r w:rsidRPr="00B82BDF">
        <w:t xml:space="preserve"> et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virginité</w:t>
      </w:r>
      <w:proofErr w:type="spellEnd"/>
      <w:r w:rsidRPr="00B82BDF">
        <w:t xml:space="preserve">, </w:t>
      </w:r>
      <w:proofErr w:type="spellStart"/>
      <w:r w:rsidRPr="00B82BDF">
        <w:t>plaçait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dans </w:t>
      </w:r>
      <w:proofErr w:type="spellStart"/>
      <w:r w:rsidRPr="00B82BDF">
        <w:t>une</w:t>
      </w:r>
      <w:proofErr w:type="spellEnd"/>
      <w:r w:rsidRPr="00B82BDF">
        <w:t xml:space="preserve"> situation de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. Une </w:t>
      </w:r>
      <w:proofErr w:type="spellStart"/>
      <w:r w:rsidRPr="00B82BDF">
        <w:t>telle</w:t>
      </w:r>
      <w:proofErr w:type="spellEnd"/>
      <w:r w:rsidRPr="00B82BDF">
        <w:t xml:space="preserve"> analyse de </w:t>
      </w:r>
      <w:proofErr w:type="spellStart"/>
      <w:r w:rsidRPr="00B82BDF">
        <w:t>l’effet</w:t>
      </w:r>
      <w:proofErr w:type="spellEnd"/>
      <w:r w:rsidRPr="00B82BDF">
        <w:t xml:space="preserve"> des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environnantes</w:t>
      </w:r>
      <w:proofErr w:type="spellEnd"/>
      <w:r w:rsidRPr="00B82BDF">
        <w:t xml:space="preserve"> </w:t>
      </w:r>
      <w:proofErr w:type="spellStart"/>
      <w:r w:rsidRPr="00B82BDF">
        <w:t>n’avait</w:t>
      </w:r>
      <w:proofErr w:type="spellEnd"/>
      <w:r w:rsidRPr="00B82BDF">
        <w:t xml:space="preserve"> </w:t>
      </w:r>
      <w:proofErr w:type="spellStart"/>
      <w:r w:rsidRPr="00B82BDF">
        <w:t>d’ailleurs</w:t>
      </w:r>
      <w:proofErr w:type="spellEnd"/>
      <w:r w:rsidRPr="00B82BDF">
        <w:t xml:space="preserve"> pas </w:t>
      </w:r>
      <w:proofErr w:type="spellStart"/>
      <w:r w:rsidRPr="00B82BDF">
        <w:t>davantage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menée</w:t>
      </w:r>
      <w:proofErr w:type="spellEnd"/>
      <w:r w:rsidRPr="00B82BDF">
        <w:t xml:space="preserve"> à </w:t>
      </w:r>
      <w:proofErr w:type="spellStart"/>
      <w:r w:rsidRPr="00B82BDF">
        <w:t>l’occasion</w:t>
      </w:r>
      <w:proofErr w:type="spellEnd"/>
      <w:r w:rsidRPr="00B82BDF">
        <w:t xml:space="preserve"> de </w:t>
      </w:r>
      <w:proofErr w:type="spellStart"/>
      <w:r w:rsidRPr="00B82BDF">
        <w:t>l’expertise</w:t>
      </w:r>
      <w:proofErr w:type="spellEnd"/>
      <w:r w:rsidRPr="00B82BDF">
        <w:t xml:space="preserve"> </w:t>
      </w:r>
      <w:proofErr w:type="spellStart"/>
      <w:r w:rsidRPr="00B82BDF">
        <w:t>psychiatrique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qui </w:t>
      </w:r>
      <w:proofErr w:type="spellStart"/>
      <w:r w:rsidRPr="00B82BDF">
        <w:t>aurait</w:t>
      </w:r>
      <w:proofErr w:type="spellEnd"/>
      <w:r w:rsidRPr="00B82BDF">
        <w:t xml:space="preserve"> </w:t>
      </w:r>
      <w:proofErr w:type="spellStart"/>
      <w:r w:rsidRPr="00B82BDF">
        <w:t>dû</w:t>
      </w:r>
      <w:proofErr w:type="spellEnd"/>
      <w:r w:rsidRPr="00B82BDF">
        <w:t xml:space="preserve"> </w:t>
      </w:r>
      <w:proofErr w:type="spellStart"/>
      <w:r w:rsidRPr="00B82BDF">
        <w:t>conduire</w:t>
      </w:r>
      <w:proofErr w:type="spellEnd"/>
      <w:r w:rsidRPr="00B82BDF">
        <w:t xml:space="preserve"> à </w:t>
      </w:r>
      <w:proofErr w:type="spellStart"/>
      <w:r w:rsidRPr="00B82BDF">
        <w:t>appréhender</w:t>
      </w:r>
      <w:proofErr w:type="spellEnd"/>
      <w:r w:rsidRPr="00B82BDF">
        <w:t xml:space="preserve">, de manière </w:t>
      </w:r>
      <w:proofErr w:type="spellStart"/>
      <w:r w:rsidRPr="00B82BDF">
        <w:t>adéquate</w:t>
      </w:r>
      <w:proofErr w:type="spellEnd"/>
      <w:r w:rsidRPr="00B82BDF">
        <w:t xml:space="preserve">, les </w:t>
      </w:r>
      <w:proofErr w:type="spellStart"/>
      <w:r w:rsidRPr="00B82BDF">
        <w:t>mécanismes</w:t>
      </w:r>
      <w:proofErr w:type="spellEnd"/>
      <w:r w:rsidRPr="00B82BDF">
        <w:t xml:space="preserve"> </w:t>
      </w:r>
      <w:proofErr w:type="spellStart"/>
      <w:r w:rsidRPr="00B82BDF">
        <w:t>psychiques</w:t>
      </w:r>
      <w:proofErr w:type="spellEnd"/>
      <w:r w:rsidRPr="00B82BDF">
        <w:t xml:space="preserve"> à </w:t>
      </w:r>
      <w:proofErr w:type="spellStart"/>
      <w:r w:rsidRPr="00B82BDF">
        <w:t>l’œuvre</w:t>
      </w:r>
      <w:proofErr w:type="spellEnd"/>
      <w:r w:rsidRPr="00B82BDF">
        <w:t xml:space="preserve"> </w:t>
      </w:r>
      <w:proofErr w:type="spellStart"/>
      <w:r w:rsidRPr="00B82BDF">
        <w:t>lors</w:t>
      </w:r>
      <w:proofErr w:type="spellEnd"/>
      <w:r w:rsidRPr="00B82BDF">
        <w:t xml:space="preserve"> des faits </w:t>
      </w:r>
      <w:proofErr w:type="spellStart"/>
      <w:r w:rsidRPr="00B82BDF">
        <w:t>litigieux</w:t>
      </w:r>
      <w:proofErr w:type="spellEnd"/>
      <w:r w:rsidRPr="00B82BDF">
        <w:t xml:space="preserve"> et son </w:t>
      </w:r>
      <w:proofErr w:type="spellStart"/>
      <w:r w:rsidRPr="00B82BDF">
        <w:t>comportement</w:t>
      </w:r>
      <w:proofErr w:type="spellEnd"/>
      <w:r w:rsidRPr="00B82BDF">
        <w:t xml:space="preserve"> </w:t>
      </w:r>
      <w:proofErr w:type="spellStart"/>
      <w:r w:rsidRPr="00B82BDF">
        <w:t>passif</w:t>
      </w:r>
      <w:proofErr w:type="spellEnd"/>
      <w:r w:rsidRPr="00B82BDF">
        <w:t xml:space="preserve"> pendant les </w:t>
      </w:r>
      <w:proofErr w:type="spellStart"/>
      <w:r w:rsidRPr="00B82BDF">
        <w:t>actes</w:t>
      </w:r>
      <w:proofErr w:type="spellEnd"/>
      <w:r w:rsidRPr="00B82BDF">
        <w:t xml:space="preserve"> </w:t>
      </w:r>
      <w:proofErr w:type="spellStart"/>
      <w:r w:rsidRPr="00B82BDF">
        <w:t>dénoncés</w:t>
      </w:r>
      <w:proofErr w:type="spellEnd"/>
      <w:r w:rsidRPr="00B82BDF">
        <w:t>.</w:t>
      </w:r>
    </w:p>
    <w:p w14:paraId="032C981E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243</w:t>
      </w:r>
      <w:r w:rsidRPr="00B82BDF">
        <w:rPr>
          <w:noProof/>
        </w:rPr>
        <w:fldChar w:fldCharType="end"/>
      </w:r>
      <w:r w:rsidRPr="00B82BDF">
        <w:t xml:space="preserve">.  De </w:t>
      </w:r>
      <w:proofErr w:type="spellStart"/>
      <w:r w:rsidRPr="00B82BDF">
        <w:t>l’ensemble</w:t>
      </w:r>
      <w:proofErr w:type="spellEnd"/>
      <w:r w:rsidRPr="00B82BDF">
        <w:t xml:space="preserve"> de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éléments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déduit</w:t>
      </w:r>
      <w:proofErr w:type="spellEnd"/>
      <w:r w:rsidRPr="00B82BDF">
        <w:t xml:space="preserve">, 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 le </w:t>
      </w:r>
      <w:proofErr w:type="spellStart"/>
      <w:r w:rsidRPr="00B82BDF">
        <w:t>caractère</w:t>
      </w:r>
      <w:proofErr w:type="spellEnd"/>
      <w:r w:rsidRPr="00B82BDF">
        <w:t xml:space="preserve"> à la </w:t>
      </w:r>
      <w:proofErr w:type="spellStart"/>
      <w:r w:rsidRPr="00B82BDF">
        <w:t>fois</w:t>
      </w:r>
      <w:proofErr w:type="spellEnd"/>
      <w:r w:rsidRPr="00B82BDF">
        <w:t xml:space="preserve"> </w:t>
      </w:r>
      <w:proofErr w:type="spellStart"/>
      <w:r w:rsidRPr="00B82BDF">
        <w:t>inopérant</w:t>
      </w:r>
      <w:proofErr w:type="spellEnd"/>
      <w:r w:rsidRPr="00B82BDF">
        <w:t xml:space="preserve"> et au </w:t>
      </w:r>
      <w:proofErr w:type="spellStart"/>
      <w:r w:rsidRPr="00B82BDF">
        <w:t>demeurant</w:t>
      </w:r>
      <w:proofErr w:type="spellEnd"/>
      <w:r w:rsidRPr="00B82BDF">
        <w:t xml:space="preserve"> </w:t>
      </w:r>
      <w:proofErr w:type="spellStart"/>
      <w:r w:rsidRPr="00B82BDF">
        <w:t>inapproprié</w:t>
      </w:r>
      <w:proofErr w:type="spellEnd"/>
      <w:r w:rsidRPr="00B82BDF">
        <w:t xml:space="preserve"> des </w:t>
      </w:r>
      <w:proofErr w:type="spellStart"/>
      <w:r w:rsidRPr="00B82BDF">
        <w:t>stéréotypes</w:t>
      </w:r>
      <w:proofErr w:type="spellEnd"/>
      <w:r w:rsidRPr="00B82BDF">
        <w:t xml:space="preserve"> de genre </w:t>
      </w:r>
      <w:proofErr w:type="spellStart"/>
      <w:r w:rsidRPr="00B82BDF">
        <w:t>auxquels</w:t>
      </w:r>
      <w:proofErr w:type="spellEnd"/>
      <w:r w:rsidRPr="00B82BDF">
        <w:t xml:space="preserve"> </w:t>
      </w:r>
      <w:proofErr w:type="spellStart"/>
      <w:r w:rsidRPr="00B82BDF">
        <w:t>ils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eu</w:t>
      </w:r>
      <w:proofErr w:type="spellEnd"/>
      <w:r w:rsidRPr="00B82BDF">
        <w:t xml:space="preserve"> </w:t>
      </w:r>
      <w:proofErr w:type="spellStart"/>
      <w:r w:rsidRPr="00B82BDF">
        <w:t>recours</w:t>
      </w:r>
      <w:proofErr w:type="spellEnd"/>
      <w:r w:rsidRPr="00B82BDF">
        <w:t xml:space="preserve">, que les </w:t>
      </w:r>
      <w:proofErr w:type="spellStart"/>
      <w:r w:rsidRPr="00B82BDF">
        <w:t>juges</w:t>
      </w:r>
      <w:proofErr w:type="spellEnd"/>
      <w:r w:rsidRPr="00B82BDF">
        <w:t xml:space="preserve"> </w:t>
      </w:r>
      <w:proofErr w:type="spellStart"/>
      <w:r w:rsidRPr="00B82BDF">
        <w:t>d’appel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caractérisé</w:t>
      </w:r>
      <w:proofErr w:type="spellEnd"/>
      <w:r w:rsidRPr="00B82BDF">
        <w:t xml:space="preserve"> le </w:t>
      </w:r>
      <w:proofErr w:type="spellStart"/>
      <w:r w:rsidRPr="00B82BDF">
        <w:t>consentement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se fondant </w:t>
      </w:r>
      <w:proofErr w:type="spellStart"/>
      <w:r w:rsidRPr="00B82BDF">
        <w:t>principalement</w:t>
      </w:r>
      <w:proofErr w:type="spellEnd"/>
      <w:r w:rsidRPr="00B82BDF">
        <w:t xml:space="preserve"> sur son </w:t>
      </w:r>
      <w:proofErr w:type="spellStart"/>
      <w:r w:rsidRPr="00B82BDF">
        <w:t>comportement</w:t>
      </w:r>
      <w:proofErr w:type="spellEnd"/>
      <w:r w:rsidRPr="00B82BDF">
        <w:t xml:space="preserve"> </w:t>
      </w:r>
      <w:proofErr w:type="spellStart"/>
      <w:r w:rsidRPr="00B82BDF">
        <w:t>passif</w:t>
      </w:r>
      <w:proofErr w:type="spellEnd"/>
      <w:r w:rsidRPr="00B82BDF">
        <w:t xml:space="preserve"> et son absence </w:t>
      </w:r>
      <w:proofErr w:type="spellStart"/>
      <w:r w:rsidRPr="00B82BDF">
        <w:t>d’opposition</w:t>
      </w:r>
      <w:proofErr w:type="spellEnd"/>
      <w:r w:rsidRPr="00B82BDF">
        <w:t xml:space="preserve"> physique sans prendre </w:t>
      </w:r>
      <w:proofErr w:type="spellStart"/>
      <w:r w:rsidRPr="00B82BDF">
        <w:t>dûment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</w:t>
      </w:r>
      <w:proofErr w:type="spellStart"/>
      <w:r w:rsidRPr="00B82BDF">
        <w:t>sa</w:t>
      </w:r>
      <w:proofErr w:type="spellEnd"/>
      <w:r w:rsidRPr="00B82BDF">
        <w:t xml:space="preserve">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son </w:t>
      </w:r>
      <w:proofErr w:type="spellStart"/>
      <w:r w:rsidRPr="00B82BDF">
        <w:t>état</w:t>
      </w:r>
      <w:proofErr w:type="spellEnd"/>
      <w:r w:rsidRPr="00B82BDF">
        <w:t xml:space="preserve"> </w:t>
      </w:r>
      <w:proofErr w:type="spellStart"/>
      <w:r w:rsidRPr="00B82BDF">
        <w:t>psychologique</w:t>
      </w:r>
      <w:proofErr w:type="spellEnd"/>
      <w:r w:rsidRPr="00B82BDF">
        <w:t xml:space="preserve">, à </w:t>
      </w:r>
      <w:proofErr w:type="spellStart"/>
      <w:r w:rsidRPr="00B82BDF">
        <w:t>rebours</w:t>
      </w:r>
      <w:proofErr w:type="spellEnd"/>
      <w:r w:rsidRPr="00B82BDF">
        <w:t xml:space="preserve"> des </w:t>
      </w:r>
      <w:proofErr w:type="spellStart"/>
      <w:r w:rsidRPr="00B82BDF">
        <w:t>connaissances</w:t>
      </w:r>
      <w:proofErr w:type="spellEnd"/>
      <w:r w:rsidRPr="00B82BDF">
        <w:t xml:space="preserve"> </w:t>
      </w:r>
      <w:proofErr w:type="spellStart"/>
      <w:r w:rsidRPr="00B82BDF">
        <w:t>actuelles</w:t>
      </w:r>
      <w:proofErr w:type="spellEnd"/>
      <w:r w:rsidRPr="00B82BDF">
        <w:t xml:space="preserve"> relatives au </w:t>
      </w:r>
      <w:proofErr w:type="spellStart"/>
      <w:r w:rsidRPr="00B82BDF">
        <w:t>comportement</w:t>
      </w:r>
      <w:proofErr w:type="spellEnd"/>
      <w:r w:rsidRPr="00B82BDF">
        <w:t xml:space="preserve"> des </w:t>
      </w:r>
      <w:proofErr w:type="spellStart"/>
      <w:r w:rsidRPr="00B82BDF">
        <w:t>victimes</w:t>
      </w:r>
      <w:proofErr w:type="spellEnd"/>
      <w:r w:rsidRPr="00B82BDF">
        <w:t xml:space="preserve"> </w:t>
      </w:r>
      <w:r w:rsidRPr="00B82BDF">
        <w:lastRenderedPageBreak/>
        <w:t xml:space="preserve">de viol </w:t>
      </w:r>
      <w:proofErr w:type="spellStart"/>
      <w:r w:rsidRPr="00B82BDF">
        <w:t>notamment</w:t>
      </w:r>
      <w:proofErr w:type="spellEnd"/>
      <w:r w:rsidRPr="00B82BDF">
        <w:t xml:space="preserve"> </w:t>
      </w:r>
      <w:proofErr w:type="spellStart"/>
      <w:r w:rsidRPr="00B82BDF">
        <w:t>lorsqu’elles</w:t>
      </w:r>
      <w:proofErr w:type="spellEnd"/>
      <w:r w:rsidRPr="00B82BDF">
        <w:t xml:space="preserve">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jeunes</w:t>
      </w:r>
      <w:proofErr w:type="spellEnd"/>
      <w:r w:rsidRPr="00B82BDF">
        <w:t xml:space="preserve"> (</w:t>
      </w:r>
      <w:r w:rsidRPr="00B82BDF">
        <w:rPr>
          <w:i/>
          <w:iCs/>
        </w:rPr>
        <w:t>mutatis mutandis</w:t>
      </w:r>
      <w:r w:rsidRPr="00B82BDF">
        <w:t xml:space="preserve">, </w:t>
      </w:r>
      <w:r w:rsidRPr="00B82BDF">
        <w:rPr>
          <w:i/>
          <w:iCs/>
        </w:rPr>
        <w:t>M.C. c. </w:t>
      </w:r>
      <w:proofErr w:type="spellStart"/>
      <w:r w:rsidRPr="00B82BDF">
        <w:rPr>
          <w:i/>
          <w:iCs/>
        </w:rPr>
        <w:t>Bulgarie</w:t>
      </w:r>
      <w:proofErr w:type="spellEnd"/>
      <w:r w:rsidRPr="00B82BDF">
        <w:t xml:space="preserve">, §§ 164-166, et 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paragraph00202 \h \* CharFormat </w:instrText>
      </w:r>
      <w:r w:rsidRPr="00B82BDF">
        <w:fldChar w:fldCharType="separate"/>
      </w:r>
      <w:r w:rsidRPr="00B82BDF">
        <w:t>202</w:t>
      </w:r>
      <w:r w:rsidRPr="00B82BDF">
        <w:fldChar w:fldCharType="end"/>
      </w:r>
      <w:r w:rsidRPr="00B82BDF">
        <w:t xml:space="preserve"> ci-dessus).</w:t>
      </w:r>
    </w:p>
    <w:p w14:paraId="60D46859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244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note que la </w:t>
      </w:r>
      <w:proofErr w:type="spellStart"/>
      <w:r w:rsidRPr="00B82BDF">
        <w:t>Cour</w:t>
      </w:r>
      <w:proofErr w:type="spellEnd"/>
      <w:r w:rsidRPr="00B82BDF">
        <w:t xml:space="preserve"> de cassation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remédié</w:t>
      </w:r>
      <w:proofErr w:type="spellEnd"/>
      <w:r w:rsidRPr="00B82BDF">
        <w:t xml:space="preserve"> à </w:t>
      </w:r>
      <w:proofErr w:type="spellStart"/>
      <w:r w:rsidRPr="00B82BDF">
        <w:t>ces</w:t>
      </w:r>
      <w:proofErr w:type="spellEnd"/>
      <w:r w:rsidRPr="00B82BDF">
        <w:t xml:space="preserve"> </w:t>
      </w:r>
      <w:proofErr w:type="spellStart"/>
      <w:r w:rsidRPr="00B82BDF">
        <w:t>défaillances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déclarant</w:t>
      </w:r>
      <w:proofErr w:type="spellEnd"/>
      <w:r w:rsidRPr="00B82BDF">
        <w:t xml:space="preserve"> non admis le </w:t>
      </w:r>
      <w:proofErr w:type="spellStart"/>
      <w:r w:rsidRPr="00B82BDF">
        <w:t>pourvoi</w:t>
      </w:r>
      <w:proofErr w:type="spellEnd"/>
      <w:r w:rsidRPr="00B82BDF">
        <w:t xml:space="preserve"> </w:t>
      </w:r>
      <w:proofErr w:type="spellStart"/>
      <w:r w:rsidRPr="00B82BDF">
        <w:t>dont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était</w:t>
      </w:r>
      <w:proofErr w:type="spellEnd"/>
      <w:r w:rsidRPr="00B82BDF">
        <w:t xml:space="preserve"> </w:t>
      </w:r>
      <w:proofErr w:type="spellStart"/>
      <w:r w:rsidRPr="00B82BDF">
        <w:t>saisie</w:t>
      </w:r>
      <w:proofErr w:type="spellEnd"/>
      <w:r w:rsidRPr="00B82BDF">
        <w:t xml:space="preserve">, </w:t>
      </w:r>
      <w:proofErr w:type="spellStart"/>
      <w:r w:rsidRPr="00B82BDF">
        <w:t>conformément</w:t>
      </w:r>
      <w:proofErr w:type="spellEnd"/>
      <w:r w:rsidRPr="00B82BDF">
        <w:t xml:space="preserve"> à la proposition du </w:t>
      </w:r>
      <w:proofErr w:type="spellStart"/>
      <w:r w:rsidRPr="00B82BDF">
        <w:t>conseiller</w:t>
      </w:r>
      <w:proofErr w:type="spellEnd"/>
      <w:r w:rsidRPr="00B82BDF">
        <w:t xml:space="preserve"> rapporteur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paragraph00087 \h \* CharFormat </w:instrText>
      </w:r>
      <w:r w:rsidRPr="00B82BDF">
        <w:fldChar w:fldCharType="separate"/>
      </w:r>
      <w:r w:rsidRPr="00B82BDF">
        <w:t>87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paragraph00088 \h \* CharFormat </w:instrText>
      </w:r>
      <w:r w:rsidRPr="00B82BDF">
        <w:fldChar w:fldCharType="separate"/>
      </w:r>
      <w:r w:rsidRPr="00B82BDF">
        <w:t>88</w:t>
      </w:r>
      <w:r w:rsidRPr="00B82BDF">
        <w:fldChar w:fldCharType="end"/>
      </w:r>
      <w:r w:rsidRPr="00B82BDF">
        <w:t xml:space="preserve"> ci-dessus).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au </w:t>
      </w:r>
      <w:proofErr w:type="spellStart"/>
      <w:r w:rsidRPr="00B82BDF">
        <w:t>demeurant</w:t>
      </w:r>
      <w:proofErr w:type="spellEnd"/>
      <w:r w:rsidRPr="00B82BDF">
        <w:t xml:space="preserve"> </w:t>
      </w:r>
      <w:proofErr w:type="spellStart"/>
      <w:r w:rsidRPr="00B82BDF">
        <w:t>qu’une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</w:t>
      </w:r>
      <w:proofErr w:type="spellStart"/>
      <w:r w:rsidRPr="00B82BDF">
        <w:t>différente</w:t>
      </w:r>
      <w:proofErr w:type="spellEnd"/>
      <w:r w:rsidRPr="00B82BDF">
        <w:t xml:space="preserve"> de </w:t>
      </w:r>
      <w:proofErr w:type="spellStart"/>
      <w:r w:rsidRPr="00B82BDF">
        <w:t>l’état</w:t>
      </w:r>
      <w:proofErr w:type="spellEnd"/>
      <w:r w:rsidRPr="00B82BDF">
        <w:t xml:space="preserve"> de prostration </w:t>
      </w:r>
      <w:proofErr w:type="spellStart"/>
      <w:r w:rsidRPr="00B82BDF">
        <w:t>ou</w:t>
      </w:r>
      <w:proofErr w:type="spellEnd"/>
      <w:r w:rsidRPr="00B82BDF">
        <w:t xml:space="preserve"> de </w:t>
      </w:r>
      <w:proofErr w:type="spellStart"/>
      <w:r w:rsidRPr="00B82BDF">
        <w:t>sidération</w:t>
      </w:r>
      <w:proofErr w:type="spellEnd"/>
      <w:r w:rsidRPr="00B82BDF">
        <w:t xml:space="preserve"> de la </w:t>
      </w:r>
      <w:proofErr w:type="spellStart"/>
      <w:r w:rsidRPr="00B82BDF">
        <w:t>victime</w:t>
      </w:r>
      <w:proofErr w:type="spellEnd"/>
      <w:r w:rsidRPr="00B82BDF">
        <w:t xml:space="preserve"> d’un viol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retenue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Cour</w:t>
      </w:r>
      <w:proofErr w:type="spellEnd"/>
      <w:r w:rsidRPr="00B82BDF">
        <w:t xml:space="preserve"> de cassation dans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décision</w:t>
      </w:r>
      <w:proofErr w:type="spellEnd"/>
      <w:r w:rsidRPr="00B82BDF">
        <w:t xml:space="preserve"> </w:t>
      </w:r>
      <w:proofErr w:type="spellStart"/>
      <w:r w:rsidRPr="00B82BDF">
        <w:t>postérieure</w:t>
      </w:r>
      <w:proofErr w:type="spellEnd"/>
      <w:r w:rsidRPr="00B82BDF">
        <w:t xml:space="preserve"> pour </w:t>
      </w:r>
      <w:proofErr w:type="spellStart"/>
      <w:r w:rsidRPr="00B82BDF">
        <w:t>caractériser</w:t>
      </w:r>
      <w:proofErr w:type="spellEnd"/>
      <w:r w:rsidRPr="00B82BDF">
        <w:t xml:space="preserve"> </w:t>
      </w:r>
      <w:proofErr w:type="spellStart"/>
      <w:r w:rsidRPr="00B82BDF">
        <w:t>l’élément</w:t>
      </w:r>
      <w:proofErr w:type="spellEnd"/>
      <w:r w:rsidRPr="00B82BDF">
        <w:t xml:space="preserve"> </w:t>
      </w:r>
      <w:proofErr w:type="spellStart"/>
      <w:r w:rsidRPr="00B82BDF">
        <w:t>intentionnel</w:t>
      </w:r>
      <w:proofErr w:type="spellEnd"/>
      <w:r w:rsidRPr="00B82BDF">
        <w:t xml:space="preserve"> de </w:t>
      </w:r>
      <w:proofErr w:type="spellStart"/>
      <w:r w:rsidRPr="00B82BDF">
        <w:t>l’auteur</w:t>
      </w:r>
      <w:proofErr w:type="spellEnd"/>
      <w:r w:rsidRPr="00B82BDF">
        <w:t xml:space="preserve"> (Cass. crim., 11 </w:t>
      </w:r>
      <w:proofErr w:type="spellStart"/>
      <w:r w:rsidRPr="00B82BDF">
        <w:t>septembre</w:t>
      </w:r>
      <w:proofErr w:type="spellEnd"/>
      <w:r w:rsidRPr="00B82BDF">
        <w:t xml:space="preserve"> 2024, </w:t>
      </w:r>
      <w:proofErr w:type="spellStart"/>
      <w:r w:rsidRPr="00B82BDF">
        <w:t>voir</w:t>
      </w:r>
      <w:proofErr w:type="spellEnd"/>
      <w:r w:rsidRPr="00B82BDF">
        <w:t xml:space="preserve"> 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paragraph00107 \h \* CharFormat </w:instrText>
      </w:r>
      <w:r w:rsidRPr="00B82BDF">
        <w:fldChar w:fldCharType="separate"/>
      </w:r>
      <w:r w:rsidRPr="00B82BDF">
        <w:t>107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paragraph00108 \h \* CharFormat </w:instrText>
      </w:r>
      <w:r w:rsidRPr="00B82BDF">
        <w:fldChar w:fldCharType="separate"/>
      </w:r>
      <w:r w:rsidRPr="00B82BDF">
        <w:t>108</w:t>
      </w:r>
      <w:r w:rsidRPr="00B82BDF">
        <w:fldChar w:fldCharType="end"/>
      </w:r>
      <w:r w:rsidRPr="00B82BDF">
        <w:t xml:space="preserve"> ci</w:t>
      </w:r>
      <w:r w:rsidRPr="00B82BDF">
        <w:noBreakHyphen/>
        <w:t>dessus).</w:t>
      </w:r>
    </w:p>
    <w:p w14:paraId="4FB41A0A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245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S’agissant</w:t>
      </w:r>
      <w:proofErr w:type="spellEnd"/>
      <w:r w:rsidRPr="00B82BDF">
        <w:t xml:space="preserve"> du volet du grief </w:t>
      </w:r>
      <w:proofErr w:type="spellStart"/>
      <w:r w:rsidRPr="00B82BDF">
        <w:t>tiré</w:t>
      </w:r>
      <w:proofErr w:type="spellEnd"/>
      <w:r w:rsidRPr="00B82BDF">
        <w:t xml:space="preserve"> du </w:t>
      </w:r>
      <w:proofErr w:type="spellStart"/>
      <w:r w:rsidRPr="00B82BDF">
        <w:t>défaut</w:t>
      </w:r>
      <w:proofErr w:type="spellEnd"/>
      <w:r w:rsidRPr="00B82BDF">
        <w:t xml:space="preserve"> </w:t>
      </w:r>
      <w:proofErr w:type="spellStart"/>
      <w:r w:rsidRPr="00B82BDF">
        <w:t>d’effectivité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judiciaire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, </w:t>
      </w:r>
      <w:proofErr w:type="spellStart"/>
      <w:r w:rsidRPr="00B82BDF">
        <w:t>comme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l’a</w:t>
      </w:r>
      <w:proofErr w:type="spellEnd"/>
      <w:r w:rsidRPr="00B82BDF">
        <w:t xml:space="preserve"> </w:t>
      </w:r>
      <w:proofErr w:type="spellStart"/>
      <w:r w:rsidRPr="00B82BDF">
        <w:t>rappelé</w:t>
      </w:r>
      <w:proofErr w:type="spellEnd"/>
      <w:r w:rsidRPr="00B82BDF">
        <w:t xml:space="preserve"> plus haut </w:t>
      </w:r>
      <w:proofErr w:type="spellStart"/>
      <w:r w:rsidRPr="00B82BDF">
        <w:t>s’agissant</w:t>
      </w:r>
      <w:proofErr w:type="spellEnd"/>
      <w:r w:rsidRPr="00B82BDF">
        <w:t xml:space="preserve"> de la première </w:t>
      </w:r>
      <w:proofErr w:type="spellStart"/>
      <w:r w:rsidRPr="00B82BDF">
        <w:t>requérante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paragraph00224 \h \* CharFormat </w:instrText>
      </w:r>
      <w:r w:rsidRPr="00B82BDF">
        <w:fldChar w:fldCharType="separate"/>
      </w:r>
      <w:r w:rsidRPr="00B82BDF">
        <w:t>224</w:t>
      </w:r>
      <w:r w:rsidRPr="00B82BDF">
        <w:fldChar w:fldCharType="end"/>
      </w:r>
      <w:r w:rsidRPr="00B82BDF">
        <w:t xml:space="preserve"> ci-dessus), </w:t>
      </w:r>
      <w:proofErr w:type="spellStart"/>
      <w:r w:rsidRPr="00B82BDF">
        <w:t>qu’il</w:t>
      </w:r>
      <w:proofErr w:type="spellEnd"/>
      <w:r w:rsidRPr="00B82BDF">
        <w:t xml:space="preserve"> </w:t>
      </w:r>
      <w:proofErr w:type="spellStart"/>
      <w:r w:rsidRPr="00B82BDF">
        <w:t>convient</w:t>
      </w:r>
      <w:proofErr w:type="spellEnd"/>
      <w:r w:rsidRPr="00B82BDF">
        <w:t xml:space="preserve"> 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</w:t>
      </w:r>
      <w:proofErr w:type="spellStart"/>
      <w:r w:rsidRPr="00B82BDF">
        <w:t>d’examiner</w:t>
      </w:r>
      <w:proofErr w:type="spellEnd"/>
      <w:r w:rsidRPr="00B82BDF">
        <w:t xml:space="preserve"> </w:t>
      </w:r>
      <w:proofErr w:type="spellStart"/>
      <w:r w:rsidRPr="00B82BDF">
        <w:t>si</w:t>
      </w:r>
      <w:proofErr w:type="spellEnd"/>
      <w:r w:rsidRPr="00B82BDF">
        <w:t xml:space="preserve"> les </w:t>
      </w:r>
      <w:proofErr w:type="spellStart"/>
      <w:r w:rsidRPr="00B82BDF">
        <w:t>autorités</w:t>
      </w:r>
      <w:proofErr w:type="spellEnd"/>
      <w:r w:rsidRPr="00B82BDF">
        <w:t xml:space="preserve"> internes se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livrées</w:t>
      </w:r>
      <w:proofErr w:type="spellEnd"/>
      <w:r w:rsidRPr="00B82BDF">
        <w:t xml:space="preserve"> à </w:t>
      </w:r>
      <w:proofErr w:type="spellStart"/>
      <w:r w:rsidRPr="00B82BDF">
        <w:t>l’examen</w:t>
      </w:r>
      <w:proofErr w:type="spellEnd"/>
      <w:r w:rsidRPr="00B82BDF">
        <w:t xml:space="preserve"> des faits de viol </w:t>
      </w:r>
      <w:proofErr w:type="spellStart"/>
      <w:r w:rsidRPr="00B82BDF">
        <w:t>dénoncés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avec la </w:t>
      </w:r>
      <w:proofErr w:type="spellStart"/>
      <w:r w:rsidRPr="00B82BDF">
        <w:t>célérité</w:t>
      </w:r>
      <w:proofErr w:type="spellEnd"/>
      <w:r w:rsidRPr="00B82BDF">
        <w:t xml:space="preserve"> </w:t>
      </w:r>
      <w:proofErr w:type="spellStart"/>
      <w:r w:rsidRPr="00B82BDF">
        <w:t>requise</w:t>
      </w:r>
      <w:proofErr w:type="spellEnd"/>
      <w:r w:rsidRPr="00B82BDF">
        <w:t xml:space="preserve"> au </w:t>
      </w:r>
      <w:proofErr w:type="spellStart"/>
      <w:r w:rsidRPr="00B82BDF">
        <w:t>cours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qui a </w:t>
      </w:r>
      <w:proofErr w:type="spellStart"/>
      <w:r w:rsidRPr="00B82BDF">
        <w:t>duré</w:t>
      </w:r>
      <w:proofErr w:type="spellEnd"/>
      <w:r w:rsidRPr="00B82BDF">
        <w:t xml:space="preserve"> </w:t>
      </w:r>
      <w:proofErr w:type="spellStart"/>
      <w:r w:rsidRPr="00B82BDF">
        <w:t>huit</w:t>
      </w:r>
      <w:proofErr w:type="spellEnd"/>
      <w:r w:rsidRPr="00B82BDF">
        <w:t xml:space="preserve"> </w:t>
      </w:r>
      <w:proofErr w:type="spellStart"/>
      <w:r w:rsidRPr="00B82BDF">
        <w:t>ans</w:t>
      </w:r>
      <w:proofErr w:type="spellEnd"/>
      <w:r w:rsidRPr="00B82BDF">
        <w:t xml:space="preserve"> et </w:t>
      </w:r>
      <w:proofErr w:type="spellStart"/>
      <w:r w:rsidRPr="00B82BDF">
        <w:t>huit</w:t>
      </w:r>
      <w:proofErr w:type="spellEnd"/>
      <w:r w:rsidRPr="00B82BDF">
        <w:t xml:space="preserve"> </w:t>
      </w:r>
      <w:proofErr w:type="spellStart"/>
      <w:r w:rsidRPr="00B82BDF">
        <w:t>mois</w:t>
      </w:r>
      <w:proofErr w:type="spellEnd"/>
      <w:r w:rsidRPr="00B82BDF">
        <w:t xml:space="preserve"> au total </w:t>
      </w:r>
      <w:proofErr w:type="spellStart"/>
      <w:r w:rsidRPr="00B82BDF">
        <w:t>avant</w:t>
      </w:r>
      <w:proofErr w:type="spellEnd"/>
      <w:r w:rsidRPr="00B82BDF">
        <w:t xml:space="preserve"> </w:t>
      </w:r>
      <w:proofErr w:type="spellStart"/>
      <w:r w:rsidRPr="00B82BDF">
        <w:t>d’aboutir</w:t>
      </w:r>
      <w:proofErr w:type="spellEnd"/>
      <w:r w:rsidRPr="00B82BDF">
        <w:t xml:space="preserve"> à un non-lieu au renvoi de la </w:t>
      </w:r>
      <w:proofErr w:type="spellStart"/>
      <w:r w:rsidRPr="00B82BDF">
        <w:t>personne</w:t>
      </w:r>
      <w:proofErr w:type="spellEnd"/>
      <w:r w:rsidRPr="00B82BDF">
        <w:t xml:space="preserve"> mise </w:t>
      </w:r>
      <w:proofErr w:type="spellStart"/>
      <w:r w:rsidRPr="00B82BDF">
        <w:t>en</w:t>
      </w:r>
      <w:proofErr w:type="spellEnd"/>
      <w:r w:rsidRPr="00B82BDF">
        <w:t xml:space="preserve"> cause </w:t>
      </w:r>
      <w:proofErr w:type="spellStart"/>
      <w:r w:rsidRPr="00B82BDF">
        <w:t>devant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</w:t>
      </w:r>
      <w:proofErr w:type="spellStart"/>
      <w:r w:rsidRPr="00B82BDF">
        <w:t>juridiction</w:t>
      </w:r>
      <w:proofErr w:type="spellEnd"/>
      <w:r w:rsidRPr="00B82BDF">
        <w:t xml:space="preserve"> de </w:t>
      </w:r>
      <w:proofErr w:type="spellStart"/>
      <w:r w:rsidRPr="00B82BDF">
        <w:t>jugement</w:t>
      </w:r>
      <w:proofErr w:type="spellEnd"/>
      <w:r w:rsidRPr="00B82BDF">
        <w:t>.</w:t>
      </w:r>
    </w:p>
    <w:p w14:paraId="4B57DE34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246</w:t>
      </w:r>
      <w:r w:rsidRPr="00B82BDF">
        <w:rPr>
          <w:noProof/>
        </w:rPr>
        <w:fldChar w:fldCharType="end"/>
      </w:r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note à </w:t>
      </w:r>
      <w:proofErr w:type="spellStart"/>
      <w:r w:rsidRPr="00B82BDF">
        <w:t>cet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que des </w:t>
      </w:r>
      <w:proofErr w:type="spellStart"/>
      <w:r w:rsidRPr="00B82BDF">
        <w:t>actes</w:t>
      </w:r>
      <w:proofErr w:type="spellEnd"/>
      <w:r w:rsidRPr="00B82BDF">
        <w:t xml:space="preserve"> simples et indispensables à </w:t>
      </w:r>
      <w:proofErr w:type="spellStart"/>
      <w:r w:rsidRPr="00B82BDF">
        <w:t>l’enquête</w:t>
      </w:r>
      <w:proofErr w:type="spellEnd"/>
      <w:r w:rsidRPr="00B82BDF">
        <w:t xml:space="preserve">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réalisés</w:t>
      </w:r>
      <w:proofErr w:type="spellEnd"/>
      <w:r w:rsidRPr="00B82BDF">
        <w:t xml:space="preserve"> dans des </w:t>
      </w:r>
      <w:proofErr w:type="spellStart"/>
      <w:r w:rsidRPr="00B82BDF">
        <w:t>délais</w:t>
      </w:r>
      <w:proofErr w:type="spellEnd"/>
      <w:r w:rsidRPr="00B82BDF">
        <w:t xml:space="preserve"> qui </w:t>
      </w:r>
      <w:proofErr w:type="spellStart"/>
      <w:r w:rsidRPr="00B82BDF">
        <w:t>apparaissent</w:t>
      </w:r>
      <w:proofErr w:type="spellEnd"/>
      <w:r w:rsidRPr="00B82BDF">
        <w:t xml:space="preserve"> </w:t>
      </w:r>
      <w:proofErr w:type="spellStart"/>
      <w:r w:rsidRPr="00B82BDF">
        <w:t>peu</w:t>
      </w:r>
      <w:proofErr w:type="spellEnd"/>
      <w:r w:rsidRPr="00B82BDF">
        <w:t xml:space="preserve"> compatibles avec la </w:t>
      </w:r>
      <w:proofErr w:type="spellStart"/>
      <w:r w:rsidRPr="00B82BDF">
        <w:t>gravité</w:t>
      </w:r>
      <w:proofErr w:type="spellEnd"/>
      <w:r w:rsidRPr="00B82BDF">
        <w:t xml:space="preserve"> des faits </w:t>
      </w:r>
      <w:proofErr w:type="spellStart"/>
      <w:r w:rsidRPr="00B82BDF">
        <w:t>dénoncés</w:t>
      </w:r>
      <w:proofErr w:type="spellEnd"/>
      <w:r w:rsidRPr="00B82BDF">
        <w:t xml:space="preserve">. Elle </w:t>
      </w:r>
      <w:proofErr w:type="spellStart"/>
      <w:r w:rsidRPr="00B82BDF">
        <w:t>relève</w:t>
      </w:r>
      <w:proofErr w:type="spellEnd"/>
      <w:r w:rsidRPr="00B82BDF">
        <w:t xml:space="preserve"> </w:t>
      </w:r>
      <w:proofErr w:type="spellStart"/>
      <w:r w:rsidRPr="00B82BDF">
        <w:t>ainsi</w:t>
      </w:r>
      <w:proofErr w:type="spellEnd"/>
      <w:r w:rsidRPr="00B82BDF">
        <w:t xml:space="preserve"> que A.H.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placé</w:t>
      </w:r>
      <w:proofErr w:type="spellEnd"/>
      <w:r w:rsidRPr="00B82BDF">
        <w:t xml:space="preserve"> pour la première </w:t>
      </w:r>
      <w:proofErr w:type="spellStart"/>
      <w:r w:rsidRPr="00B82BDF">
        <w:t>fois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garde</w:t>
      </w:r>
      <w:proofErr w:type="spellEnd"/>
      <w:r w:rsidRPr="00B82BDF">
        <w:t xml:space="preserve"> à </w:t>
      </w:r>
      <w:proofErr w:type="spellStart"/>
      <w:r w:rsidRPr="00B82BDF">
        <w:t>vue</w:t>
      </w:r>
      <w:proofErr w:type="spellEnd"/>
      <w:r w:rsidRPr="00B82BDF">
        <w:t xml:space="preserve"> le 9 </w:t>
      </w:r>
      <w:proofErr w:type="spellStart"/>
      <w:r w:rsidRPr="00B82BDF">
        <w:t>décembre</w:t>
      </w:r>
      <w:proofErr w:type="spellEnd"/>
      <w:r w:rsidRPr="00B82BDF">
        <w:t xml:space="preserve"> 2014, </w:t>
      </w:r>
      <w:proofErr w:type="spellStart"/>
      <w:r w:rsidRPr="00B82BDF">
        <w:t>soit</w:t>
      </w:r>
      <w:proofErr w:type="spellEnd"/>
      <w:r w:rsidRPr="00B82BDF">
        <w:t xml:space="preserve"> </w:t>
      </w:r>
      <w:proofErr w:type="spellStart"/>
      <w:r w:rsidRPr="00B82BDF">
        <w:t>presque</w:t>
      </w:r>
      <w:proofErr w:type="spellEnd"/>
      <w:r w:rsidRPr="00B82BDF">
        <w:t xml:space="preserve"> un an et quatre </w:t>
      </w:r>
      <w:proofErr w:type="spellStart"/>
      <w:r w:rsidRPr="00B82BDF">
        <w:t>mois</w:t>
      </w:r>
      <w:proofErr w:type="spellEnd"/>
      <w:r w:rsidRPr="00B82BDF">
        <w:t xml:space="preserve"> après la première </w:t>
      </w:r>
      <w:proofErr w:type="spellStart"/>
      <w:r w:rsidRPr="00B82BDF">
        <w:t>plainte</w:t>
      </w:r>
      <w:proofErr w:type="spellEnd"/>
      <w:r w:rsidRPr="00B82BDF">
        <w:t xml:space="preserve"> de la </w:t>
      </w:r>
      <w:proofErr w:type="spellStart"/>
      <w:r w:rsidRPr="00B82BDF">
        <w:t>requérante</w:t>
      </w:r>
      <w:proofErr w:type="spellEnd"/>
      <w:r w:rsidRPr="00B82BDF">
        <w:t xml:space="preserve"> du 13 </w:t>
      </w:r>
      <w:proofErr w:type="spellStart"/>
      <w:r w:rsidRPr="00B82BDF">
        <w:t>août</w:t>
      </w:r>
      <w:proofErr w:type="spellEnd"/>
      <w:r w:rsidRPr="00B82BDF">
        <w:t xml:space="preserve"> 2013. Certes, un an et </w:t>
      </w:r>
      <w:proofErr w:type="spellStart"/>
      <w:r w:rsidRPr="00B82BDF">
        <w:t>presque</w:t>
      </w:r>
      <w:proofErr w:type="spellEnd"/>
      <w:r w:rsidRPr="00B82BDF">
        <w:t xml:space="preserve"> dix </w:t>
      </w:r>
      <w:proofErr w:type="spellStart"/>
      <w:r w:rsidRPr="00B82BDF">
        <w:t>mois</w:t>
      </w:r>
      <w:proofErr w:type="spellEnd"/>
      <w:r w:rsidRPr="00B82BDF">
        <w:t xml:space="preserve"> se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écoulés</w:t>
      </w:r>
      <w:proofErr w:type="spellEnd"/>
      <w:r w:rsidRPr="00B82BDF">
        <w:t xml:space="preserve"> entre le </w:t>
      </w:r>
      <w:proofErr w:type="spellStart"/>
      <w:r w:rsidRPr="00B82BDF">
        <w:t>classement</w:t>
      </w:r>
      <w:proofErr w:type="spellEnd"/>
      <w:r w:rsidRPr="00B82BDF">
        <w:t xml:space="preserve"> de la </w:t>
      </w:r>
      <w:proofErr w:type="spellStart"/>
      <w:r w:rsidRPr="00B82BDF">
        <w:t>plainte</w:t>
      </w:r>
      <w:proofErr w:type="spellEnd"/>
      <w:r w:rsidRPr="00B82BDF">
        <w:t xml:space="preserve"> par le </w:t>
      </w:r>
      <w:proofErr w:type="spellStart"/>
      <w:r w:rsidRPr="00B82BDF">
        <w:t>ministère</w:t>
      </w:r>
      <w:proofErr w:type="spellEnd"/>
      <w:r w:rsidRPr="00B82BDF">
        <w:t xml:space="preserve"> public le 6 </w:t>
      </w:r>
      <w:proofErr w:type="spellStart"/>
      <w:r w:rsidRPr="00B82BDF">
        <w:t>janvier</w:t>
      </w:r>
      <w:proofErr w:type="spellEnd"/>
      <w:r w:rsidRPr="00B82BDF">
        <w:t xml:space="preserve"> 2015 et le </w:t>
      </w:r>
      <w:proofErr w:type="spellStart"/>
      <w:r w:rsidRPr="00B82BDF">
        <w:t>dépôt</w:t>
      </w:r>
      <w:proofErr w:type="spellEnd"/>
      <w:r w:rsidRPr="00B82BDF">
        <w:t xml:space="preserve"> </w:t>
      </w:r>
      <w:proofErr w:type="spellStart"/>
      <w:r w:rsidRPr="00B82BDF">
        <w:t>par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</w:t>
      </w:r>
      <w:proofErr w:type="spellStart"/>
      <w:r w:rsidRPr="00B82BDF">
        <w:t>d’une</w:t>
      </w:r>
      <w:proofErr w:type="spellEnd"/>
      <w:r w:rsidRPr="00B82BDF">
        <w:t xml:space="preserve"> </w:t>
      </w:r>
      <w:proofErr w:type="spellStart"/>
      <w:r w:rsidRPr="00B82BDF">
        <w:t>plainte</w:t>
      </w:r>
      <w:proofErr w:type="spellEnd"/>
      <w:r w:rsidRPr="00B82BDF">
        <w:t xml:space="preserve"> avec constitution de </w:t>
      </w:r>
      <w:proofErr w:type="spellStart"/>
      <w:r w:rsidRPr="00B82BDF">
        <w:t>partie</w:t>
      </w:r>
      <w:proofErr w:type="spellEnd"/>
      <w:r w:rsidRPr="00B82BDF">
        <w:t xml:space="preserve"> civile, le 3 </w:t>
      </w:r>
      <w:proofErr w:type="spellStart"/>
      <w:r w:rsidRPr="00B82BDF">
        <w:t>novembre</w:t>
      </w:r>
      <w:proofErr w:type="spellEnd"/>
      <w:r w:rsidRPr="00B82BDF">
        <w:t xml:space="preserve"> 2016 (</w:t>
      </w:r>
      <w:proofErr w:type="spellStart"/>
      <w:r w:rsidRPr="00B82BDF">
        <w:t>paragraphes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paragraph00074 \h \* CharFormat </w:instrText>
      </w:r>
      <w:r w:rsidRPr="00B82BDF">
        <w:fldChar w:fldCharType="separate"/>
      </w:r>
      <w:r w:rsidRPr="00B82BDF">
        <w:t>74</w:t>
      </w:r>
      <w:r w:rsidRPr="00B82BDF">
        <w:fldChar w:fldCharType="end"/>
      </w:r>
      <w:r w:rsidRPr="00B82BDF">
        <w:t>-</w:t>
      </w:r>
      <w:r w:rsidRPr="00B82BDF">
        <w:fldChar w:fldCharType="begin"/>
      </w:r>
      <w:r w:rsidRPr="00B82BDF">
        <w:instrText xml:space="preserve">REF paragraph00075 \h \* CharFormat </w:instrText>
      </w:r>
      <w:r w:rsidRPr="00B82BDF">
        <w:fldChar w:fldCharType="separate"/>
      </w:r>
      <w:r w:rsidRPr="00B82BDF">
        <w:t>75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dessus).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relève</w:t>
      </w:r>
      <w:proofErr w:type="spellEnd"/>
      <w:r w:rsidRPr="00B82BDF">
        <w:t xml:space="preserve"> pour </w:t>
      </w:r>
      <w:proofErr w:type="spellStart"/>
      <w:r w:rsidRPr="00B82BDF">
        <w:t>autant</w:t>
      </w:r>
      <w:proofErr w:type="spellEnd"/>
      <w:r w:rsidRPr="00B82BDF">
        <w:t xml:space="preserve"> que </w:t>
      </w:r>
      <w:proofErr w:type="spellStart"/>
      <w:r w:rsidRPr="00B82BDF">
        <w:t>huit</w:t>
      </w:r>
      <w:proofErr w:type="spellEnd"/>
      <w:r w:rsidRPr="00B82BDF">
        <w:t xml:space="preserve"> </w:t>
      </w:r>
      <w:proofErr w:type="spellStart"/>
      <w:r w:rsidRPr="00B82BDF">
        <w:t>mois</w:t>
      </w:r>
      <w:proofErr w:type="spellEnd"/>
      <w:r w:rsidRPr="00B82BDF">
        <w:t xml:space="preserve"> se </w:t>
      </w:r>
      <w:proofErr w:type="spellStart"/>
      <w:r w:rsidRPr="00B82BDF">
        <w:t>sont</w:t>
      </w:r>
      <w:proofErr w:type="spellEnd"/>
      <w:r w:rsidRPr="00B82BDF">
        <w:t xml:space="preserve"> </w:t>
      </w:r>
      <w:proofErr w:type="spellStart"/>
      <w:r w:rsidRPr="00B82BDF">
        <w:t>ensuite</w:t>
      </w:r>
      <w:proofErr w:type="spellEnd"/>
      <w:r w:rsidRPr="00B82BDF">
        <w:t xml:space="preserve"> </w:t>
      </w:r>
      <w:proofErr w:type="spellStart"/>
      <w:r w:rsidRPr="00B82BDF">
        <w:t>écoulés</w:t>
      </w:r>
      <w:proofErr w:type="spellEnd"/>
      <w:r w:rsidRPr="00B82BDF">
        <w:t xml:space="preserve"> </w:t>
      </w:r>
      <w:proofErr w:type="spellStart"/>
      <w:r w:rsidRPr="00B82BDF">
        <w:t>avant</w:t>
      </w:r>
      <w:proofErr w:type="spellEnd"/>
      <w:r w:rsidRPr="00B82BDF">
        <w:t xml:space="preserve"> </w:t>
      </w:r>
      <w:proofErr w:type="spellStart"/>
      <w:r w:rsidRPr="00B82BDF">
        <w:t>l’ouverture</w:t>
      </w:r>
      <w:proofErr w:type="spellEnd"/>
      <w:r w:rsidRPr="00B82BDF">
        <w:t xml:space="preserve"> de </w:t>
      </w:r>
      <w:proofErr w:type="spellStart"/>
      <w:r w:rsidRPr="00B82BDF">
        <w:t>l’information</w:t>
      </w:r>
      <w:proofErr w:type="spellEnd"/>
      <w:r w:rsidRPr="00B82BDF">
        <w:t xml:space="preserve"> </w:t>
      </w:r>
      <w:proofErr w:type="spellStart"/>
      <w:r w:rsidRPr="00B82BDF">
        <w:t>judiciaire</w:t>
      </w:r>
      <w:proofErr w:type="spellEnd"/>
      <w:r w:rsidRPr="00B82BDF">
        <w:t xml:space="preserve">, </w:t>
      </w:r>
      <w:proofErr w:type="spellStart"/>
      <w:r w:rsidRPr="00B82BDF">
        <w:t>puis</w:t>
      </w:r>
      <w:proofErr w:type="spellEnd"/>
      <w:r w:rsidRPr="00B82BDF">
        <w:t xml:space="preserve"> </w:t>
      </w:r>
      <w:proofErr w:type="spellStart"/>
      <w:r w:rsidRPr="00B82BDF">
        <w:t>presque</w:t>
      </w:r>
      <w:proofErr w:type="spellEnd"/>
      <w:r w:rsidRPr="00B82BDF">
        <w:t xml:space="preserve"> encore un an </w:t>
      </w:r>
      <w:proofErr w:type="spellStart"/>
      <w:r w:rsidRPr="00B82BDF">
        <w:t>avant</w:t>
      </w:r>
      <w:proofErr w:type="spellEnd"/>
      <w:r w:rsidRPr="00B82BDF">
        <w:t xml:space="preserve"> </w:t>
      </w:r>
      <w:proofErr w:type="spellStart"/>
      <w:r w:rsidRPr="00B82BDF">
        <w:t>l’audition</w:t>
      </w:r>
      <w:proofErr w:type="spellEnd"/>
      <w:r w:rsidRPr="00B82BDF">
        <w:t xml:space="preserve"> de la </w:t>
      </w:r>
      <w:proofErr w:type="spellStart"/>
      <w:r w:rsidRPr="00B82BDF">
        <w:t>partie</w:t>
      </w:r>
      <w:proofErr w:type="spellEnd"/>
      <w:r w:rsidRPr="00B82BDF">
        <w:t xml:space="preserve"> civile, et </w:t>
      </w:r>
      <w:proofErr w:type="spellStart"/>
      <w:r w:rsidRPr="00B82BDF">
        <w:t>presque</w:t>
      </w:r>
      <w:proofErr w:type="spellEnd"/>
      <w:r w:rsidRPr="00B82BDF">
        <w:t xml:space="preserve"> deux </w:t>
      </w:r>
      <w:proofErr w:type="spellStart"/>
      <w:r w:rsidRPr="00B82BDF">
        <w:t>ans</w:t>
      </w:r>
      <w:proofErr w:type="spellEnd"/>
      <w:r w:rsidRPr="00B82BDF">
        <w:t xml:space="preserve"> </w:t>
      </w:r>
      <w:proofErr w:type="spellStart"/>
      <w:r w:rsidRPr="00B82BDF">
        <w:t>avant</w:t>
      </w:r>
      <w:proofErr w:type="spellEnd"/>
      <w:r w:rsidRPr="00B82BDF">
        <w:t xml:space="preserve"> la </w:t>
      </w:r>
      <w:proofErr w:type="spellStart"/>
      <w:r w:rsidRPr="00B82BDF">
        <w:t>saisine</w:t>
      </w:r>
      <w:proofErr w:type="spellEnd"/>
      <w:r w:rsidRPr="00B82BDF">
        <w:t xml:space="preserve"> d’un expert </w:t>
      </w:r>
      <w:proofErr w:type="spellStart"/>
      <w:r w:rsidRPr="00B82BDF">
        <w:t>psychiatre</w:t>
      </w:r>
      <w:proofErr w:type="spellEnd"/>
      <w:r w:rsidRPr="00B82BDF">
        <w:t xml:space="preserve"> aux fins </w:t>
      </w:r>
      <w:proofErr w:type="spellStart"/>
      <w:r w:rsidRPr="00B82BDF">
        <w:t>d’examiner</w:t>
      </w:r>
      <w:proofErr w:type="spellEnd"/>
      <w:r w:rsidRPr="00B82BDF">
        <w:t xml:space="preserve"> la </w:t>
      </w:r>
      <w:proofErr w:type="spellStart"/>
      <w:r w:rsidRPr="00B82BDF">
        <w:t>requérante</w:t>
      </w:r>
      <w:proofErr w:type="spellEnd"/>
      <w:r w:rsidRPr="00B82BDF">
        <w:t xml:space="preserve"> le 26 </w:t>
      </w:r>
      <w:proofErr w:type="spellStart"/>
      <w:r w:rsidRPr="00B82BDF">
        <w:t>novembre</w:t>
      </w:r>
      <w:proofErr w:type="spellEnd"/>
      <w:r w:rsidRPr="00B82BDF">
        <w:t xml:space="preserve"> 2018. Un </w:t>
      </w:r>
      <w:proofErr w:type="spellStart"/>
      <w:r w:rsidRPr="00B82BDF">
        <w:t>délai</w:t>
      </w:r>
      <w:proofErr w:type="spellEnd"/>
      <w:r w:rsidRPr="00B82BDF">
        <w:t xml:space="preserve"> </w:t>
      </w:r>
      <w:proofErr w:type="spellStart"/>
      <w:r w:rsidRPr="00B82BDF">
        <w:t>d’environ</w:t>
      </w:r>
      <w:proofErr w:type="spellEnd"/>
      <w:r w:rsidRPr="00B82BDF">
        <w:t xml:space="preserve"> un an </w:t>
      </w:r>
      <w:proofErr w:type="spellStart"/>
      <w:r w:rsidRPr="00B82BDF">
        <w:t>s’est</w:t>
      </w:r>
      <w:proofErr w:type="spellEnd"/>
      <w:r w:rsidRPr="00B82BDF">
        <w:t xml:space="preserve"> </w:t>
      </w:r>
      <w:proofErr w:type="spellStart"/>
      <w:r w:rsidRPr="00B82BDF">
        <w:t>ensuite</w:t>
      </w:r>
      <w:proofErr w:type="spellEnd"/>
      <w:r w:rsidRPr="00B82BDF">
        <w:t xml:space="preserve"> </w:t>
      </w:r>
      <w:proofErr w:type="spellStart"/>
      <w:r w:rsidRPr="00B82BDF">
        <w:t>écoulé</w:t>
      </w:r>
      <w:proofErr w:type="spellEnd"/>
      <w:r w:rsidRPr="00B82BDF">
        <w:t xml:space="preserve"> à </w:t>
      </w:r>
      <w:proofErr w:type="spellStart"/>
      <w:r w:rsidRPr="00B82BDF">
        <w:t>chaque</w:t>
      </w:r>
      <w:proofErr w:type="spellEnd"/>
      <w:r w:rsidRPr="00B82BDF">
        <w:t xml:space="preserve"> </w:t>
      </w:r>
      <w:proofErr w:type="spellStart"/>
      <w:r w:rsidRPr="00B82BDF">
        <w:t>stade</w:t>
      </w:r>
      <w:proofErr w:type="spellEnd"/>
      <w:r w:rsidRPr="00B82BDF">
        <w:t xml:space="preserve"> de </w:t>
      </w:r>
      <w:proofErr w:type="spellStart"/>
      <w:r w:rsidRPr="00B82BDF">
        <w:t>l’instance</w:t>
      </w:r>
      <w:proofErr w:type="spellEnd"/>
      <w:r w:rsidRPr="00B82BDF">
        <w:t xml:space="preserve"> (</w:t>
      </w:r>
      <w:proofErr w:type="spellStart"/>
      <w:r w:rsidRPr="00B82BDF">
        <w:t>mai</w:t>
      </w:r>
      <w:proofErr w:type="spellEnd"/>
      <w:r w:rsidRPr="00B82BDF">
        <w:t xml:space="preserve"> 2020, </w:t>
      </w:r>
      <w:proofErr w:type="spellStart"/>
      <w:r w:rsidRPr="00B82BDF">
        <w:t>mai</w:t>
      </w:r>
      <w:proofErr w:type="spellEnd"/>
      <w:r w:rsidRPr="00B82BDF">
        <w:t xml:space="preserve"> 2021 et </w:t>
      </w:r>
      <w:proofErr w:type="spellStart"/>
      <w:r w:rsidRPr="00B82BDF">
        <w:t>avril</w:t>
      </w:r>
      <w:proofErr w:type="spellEnd"/>
      <w:r w:rsidRPr="00B82BDF">
        <w:t xml:space="preserve"> 2022). </w:t>
      </w:r>
      <w:proofErr w:type="spellStart"/>
      <w:r w:rsidRPr="00B82BDF">
        <w:t>Appréhendée</w:t>
      </w:r>
      <w:proofErr w:type="spellEnd"/>
      <w:r w:rsidRPr="00B82BDF">
        <w:t xml:space="preserve"> dans son ensemble et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des diligences qui </w:t>
      </w:r>
      <w:proofErr w:type="spellStart"/>
      <w:r w:rsidRPr="00B82BDF">
        <w:t>s’imposent</w:t>
      </w:r>
      <w:proofErr w:type="spellEnd"/>
      <w:r w:rsidRPr="00B82BDF">
        <w:t xml:space="preserve"> dans </w:t>
      </w:r>
      <w:proofErr w:type="spellStart"/>
      <w:r w:rsidRPr="00B82BDF">
        <w:t>ce</w:t>
      </w:r>
      <w:proofErr w:type="spellEnd"/>
      <w:r w:rsidRPr="00B82BDF">
        <w:t xml:space="preserve"> type de </w:t>
      </w:r>
      <w:proofErr w:type="spellStart"/>
      <w:r w:rsidRPr="00B82BDF">
        <w:t>contentieux</w:t>
      </w:r>
      <w:proofErr w:type="spellEnd"/>
      <w:r w:rsidRPr="00B82BDF">
        <w:t xml:space="preserve"> (</w:t>
      </w:r>
      <w:proofErr w:type="spellStart"/>
      <w:r w:rsidRPr="00B82BDF">
        <w:t>paragraphe</w:t>
      </w:r>
      <w:proofErr w:type="spellEnd"/>
      <w:r w:rsidRPr="00B82BDF">
        <w:t> </w:t>
      </w:r>
      <w:r w:rsidRPr="00B82BDF">
        <w:fldChar w:fldCharType="begin"/>
      </w:r>
      <w:r w:rsidRPr="00B82BDF">
        <w:instrText xml:space="preserve">REF paragraph00199 \h \* CharFormat </w:instrText>
      </w:r>
      <w:r w:rsidRPr="00B82BDF">
        <w:fldChar w:fldCharType="separate"/>
      </w:r>
      <w:r w:rsidRPr="00B82BDF">
        <w:t>199</w:t>
      </w:r>
      <w:r w:rsidRPr="00B82BDF">
        <w:fldChar w:fldCharType="end"/>
      </w:r>
      <w:r w:rsidRPr="00B82BDF">
        <w:t xml:space="preserve"> ci</w:t>
      </w:r>
      <w:r w:rsidRPr="00B82BDF">
        <w:noBreakHyphen/>
        <w:t xml:space="preserve">dessus),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considère</w:t>
      </w:r>
      <w:proofErr w:type="spellEnd"/>
      <w:r w:rsidRPr="00B82BDF">
        <w:t xml:space="preserve"> que les </w:t>
      </w:r>
      <w:proofErr w:type="spellStart"/>
      <w:r w:rsidRPr="00B82BDF">
        <w:t>délais</w:t>
      </w:r>
      <w:proofErr w:type="spellEnd"/>
      <w:r w:rsidRPr="00B82BDF">
        <w:t xml:space="preserve"> </w:t>
      </w:r>
      <w:proofErr w:type="spellStart"/>
      <w:r w:rsidRPr="00B82BDF">
        <w:t>susmentionnés</w:t>
      </w:r>
      <w:proofErr w:type="spellEnd"/>
      <w:r w:rsidRPr="00B82BDF">
        <w:t xml:space="preserve"> </w:t>
      </w:r>
      <w:proofErr w:type="spellStart"/>
      <w:r w:rsidRPr="00B82BDF">
        <w:t>révèlent</w:t>
      </w:r>
      <w:proofErr w:type="spellEnd"/>
      <w:r w:rsidRPr="00B82BDF">
        <w:t xml:space="preserve"> un manque </w:t>
      </w:r>
      <w:proofErr w:type="spellStart"/>
      <w:r w:rsidRPr="00B82BDF">
        <w:t>de</w:t>
      </w:r>
      <w:proofErr w:type="spellEnd"/>
      <w:r w:rsidRPr="00B82BDF">
        <w:t xml:space="preserve"> diligence dans la </w:t>
      </w:r>
      <w:proofErr w:type="spellStart"/>
      <w:r w:rsidRPr="00B82BDF">
        <w:t>conduite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cause, </w:t>
      </w:r>
      <w:proofErr w:type="spellStart"/>
      <w:r w:rsidRPr="00B82BDF">
        <w:t>alors</w:t>
      </w:r>
      <w:proofErr w:type="spellEnd"/>
      <w:r w:rsidRPr="00B82BDF">
        <w:t xml:space="preserve"> que </w:t>
      </w:r>
      <w:proofErr w:type="spellStart"/>
      <w:r w:rsidRPr="00B82BDF">
        <w:t>l’affaire</w:t>
      </w:r>
      <w:proofErr w:type="spellEnd"/>
      <w:r w:rsidRPr="00B82BDF">
        <w:t xml:space="preserve"> ne </w:t>
      </w:r>
      <w:proofErr w:type="spellStart"/>
      <w:r w:rsidRPr="00B82BDF">
        <w:t>présentait</w:t>
      </w:r>
      <w:proofErr w:type="spellEnd"/>
      <w:r w:rsidRPr="00B82BDF">
        <w:t xml:space="preserve"> pas de </w:t>
      </w:r>
      <w:proofErr w:type="spellStart"/>
      <w:r w:rsidRPr="00B82BDF">
        <w:t>complexité</w:t>
      </w:r>
      <w:proofErr w:type="spellEnd"/>
      <w:r w:rsidRPr="00B82BDF">
        <w:t xml:space="preserve"> </w:t>
      </w:r>
      <w:proofErr w:type="spellStart"/>
      <w:r w:rsidRPr="00B82BDF">
        <w:t>particulière</w:t>
      </w:r>
      <w:proofErr w:type="spellEnd"/>
      <w:r w:rsidRPr="00B82BDF">
        <w:t>.</w:t>
      </w:r>
    </w:p>
    <w:p w14:paraId="04F4524D" w14:textId="77777777" w:rsidR="008A7B1D" w:rsidRPr="00B82BDF" w:rsidRDefault="008A7B1D" w:rsidP="008A7B1D">
      <w:pPr>
        <w:pStyle w:val="ECHRPara"/>
        <w:rPr>
          <w:rFonts w:ascii="Times New Roman" w:hAnsi="Times New Roman" w:cs="Times New Roman"/>
          <w:color w:val="000000"/>
        </w:rPr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247</w:t>
      </w:r>
      <w:r w:rsidRPr="00B82BDF">
        <w:rPr>
          <w:noProof/>
        </w:rPr>
        <w:fldChar w:fldCharType="end"/>
      </w:r>
      <w:r w:rsidRPr="00B82BDF">
        <w:t>.  </w:t>
      </w:r>
      <w:r w:rsidRPr="00B82BDF">
        <w:rPr>
          <w:rFonts w:ascii="Times New Roman" w:hAnsi="Times New Roman" w:cs="Times New Roman"/>
          <w:iCs/>
        </w:rPr>
        <w:t xml:space="preserve">De </w:t>
      </w:r>
      <w:proofErr w:type="spellStart"/>
      <w:r w:rsidRPr="00B82BDF">
        <w:rPr>
          <w:rFonts w:ascii="Times New Roman" w:hAnsi="Times New Roman" w:cs="Times New Roman"/>
          <w:iCs/>
        </w:rPr>
        <w:t>l’ensemble</w:t>
      </w:r>
      <w:proofErr w:type="spellEnd"/>
      <w:r w:rsidRPr="00B82BDF">
        <w:rPr>
          <w:rFonts w:ascii="Times New Roman" w:hAnsi="Times New Roman" w:cs="Times New Roman"/>
          <w:iCs/>
        </w:rPr>
        <w:t xml:space="preserve"> des </w:t>
      </w:r>
      <w:proofErr w:type="spellStart"/>
      <w:r w:rsidRPr="00B82BDF">
        <w:rPr>
          <w:rFonts w:ascii="Times New Roman" w:hAnsi="Times New Roman" w:cs="Times New Roman"/>
          <w:iCs/>
        </w:rPr>
        <w:t>considérations</w:t>
      </w:r>
      <w:proofErr w:type="spellEnd"/>
      <w:r w:rsidRPr="00B82BDF">
        <w:rPr>
          <w:rFonts w:ascii="Times New Roman" w:hAnsi="Times New Roman" w:cs="Times New Roman"/>
          <w:iCs/>
        </w:rPr>
        <w:t xml:space="preserve"> qui </w:t>
      </w:r>
      <w:proofErr w:type="spellStart"/>
      <w:r w:rsidRPr="00B82BDF">
        <w:rPr>
          <w:rFonts w:ascii="Times New Roman" w:hAnsi="Times New Roman" w:cs="Times New Roman"/>
          <w:iCs/>
        </w:rPr>
        <w:t>précèdent</w:t>
      </w:r>
      <w:proofErr w:type="spellEnd"/>
      <w:r w:rsidRPr="00B82BDF">
        <w:rPr>
          <w:rFonts w:ascii="Times New Roman" w:hAnsi="Times New Roman" w:cs="Times New Roman"/>
          <w:iCs/>
        </w:rPr>
        <w:t xml:space="preserve">, la </w:t>
      </w:r>
      <w:proofErr w:type="spellStart"/>
      <w:r w:rsidRPr="00B82BDF">
        <w:rPr>
          <w:rFonts w:ascii="Times New Roman" w:hAnsi="Times New Roman" w:cs="Times New Roman"/>
          <w:iCs/>
        </w:rPr>
        <w:t>Cour</w:t>
      </w:r>
      <w:proofErr w:type="spellEnd"/>
      <w:r w:rsidRPr="00B82BDF">
        <w:rPr>
          <w:rFonts w:ascii="Times New Roman" w:hAnsi="Times New Roman" w:cs="Times New Roman"/>
          <w:iCs/>
        </w:rPr>
        <w:t xml:space="preserve"> </w:t>
      </w:r>
      <w:proofErr w:type="spellStart"/>
      <w:r w:rsidRPr="00B82BDF">
        <w:rPr>
          <w:rFonts w:ascii="Times New Roman" w:hAnsi="Times New Roman" w:cs="Times New Roman"/>
          <w:iCs/>
        </w:rPr>
        <w:t>déduit</w:t>
      </w:r>
      <w:proofErr w:type="spellEnd"/>
      <w:r w:rsidRPr="00B82BDF">
        <w:rPr>
          <w:rFonts w:ascii="Times New Roman" w:hAnsi="Times New Roman" w:cs="Times New Roman"/>
          <w:iCs/>
        </w:rPr>
        <w:t xml:space="preserve"> que, </w:t>
      </w:r>
      <w:proofErr w:type="spellStart"/>
      <w:r w:rsidRPr="00B82BDF">
        <w:rPr>
          <w:rFonts w:ascii="Times New Roman" w:hAnsi="Times New Roman" w:cs="Times New Roman"/>
          <w:iCs/>
        </w:rPr>
        <w:t>compte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tenu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la </w:t>
      </w:r>
      <w:proofErr w:type="spellStart"/>
      <w:r w:rsidRPr="00B82BDF">
        <w:rPr>
          <w:rFonts w:ascii="Times New Roman" w:hAnsi="Times New Roman" w:cs="Times New Roman"/>
          <w:color w:val="000000"/>
        </w:rPr>
        <w:t>fois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du cadre </w:t>
      </w:r>
      <w:proofErr w:type="spellStart"/>
      <w:r w:rsidRPr="00B82BDF">
        <w:rPr>
          <w:rFonts w:ascii="Times New Roman" w:hAnsi="Times New Roman" w:cs="Times New Roman"/>
          <w:color w:val="000000"/>
        </w:rPr>
        <w:t>juridique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vigueur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B82BDF">
        <w:rPr>
          <w:rFonts w:ascii="Times New Roman" w:hAnsi="Times New Roman" w:cs="Times New Roman"/>
          <w:color w:val="000000"/>
        </w:rPr>
        <w:t>l’époque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faits et de </w:t>
      </w:r>
      <w:proofErr w:type="spellStart"/>
      <w:r w:rsidRPr="00B82BDF">
        <w:rPr>
          <w:rFonts w:ascii="Times New Roman" w:hAnsi="Times New Roman" w:cs="Times New Roman"/>
          <w:color w:val="000000"/>
        </w:rPr>
        <w:t>l’application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qui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B82BDF">
        <w:rPr>
          <w:rFonts w:ascii="Times New Roman" w:hAnsi="Times New Roman" w:cs="Times New Roman"/>
          <w:color w:val="000000"/>
        </w:rPr>
        <w:t>été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faite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en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l’espèce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, les </w:t>
      </w:r>
      <w:proofErr w:type="spellStart"/>
      <w:r w:rsidRPr="00B82BDF">
        <w:rPr>
          <w:rFonts w:ascii="Times New Roman" w:hAnsi="Times New Roman" w:cs="Times New Roman"/>
          <w:color w:val="000000"/>
        </w:rPr>
        <w:t>défaillances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des </w:t>
      </w:r>
      <w:proofErr w:type="spellStart"/>
      <w:r w:rsidRPr="00B82BDF">
        <w:rPr>
          <w:rFonts w:ascii="Times New Roman" w:hAnsi="Times New Roman" w:cs="Times New Roman"/>
          <w:color w:val="000000"/>
        </w:rPr>
        <w:t>autorités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nationales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relatives tant au manque de </w:t>
      </w:r>
      <w:proofErr w:type="spellStart"/>
      <w:r w:rsidRPr="00B82BDF">
        <w:rPr>
          <w:rFonts w:ascii="Times New Roman" w:hAnsi="Times New Roman" w:cs="Times New Roman"/>
          <w:color w:val="000000"/>
        </w:rPr>
        <w:t>célérité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B82BDF">
        <w:rPr>
          <w:rFonts w:ascii="Times New Roman" w:hAnsi="Times New Roman" w:cs="Times New Roman"/>
          <w:color w:val="000000"/>
        </w:rPr>
        <w:t>procédure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qu’aux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modalités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d’évaluation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</w:t>
      </w:r>
      <w:r w:rsidRPr="00B82BDF">
        <w:rPr>
          <w:rFonts w:ascii="Times New Roman" w:hAnsi="Times New Roman" w:cs="Times New Roman"/>
          <w:iCs/>
        </w:rPr>
        <w:t xml:space="preserve">la </w:t>
      </w:r>
      <w:proofErr w:type="spellStart"/>
      <w:r w:rsidRPr="00B82BDF">
        <w:rPr>
          <w:rFonts w:ascii="Times New Roman" w:hAnsi="Times New Roman" w:cs="Times New Roman"/>
          <w:iCs/>
        </w:rPr>
        <w:t>réalité</w:t>
      </w:r>
      <w:proofErr w:type="spellEnd"/>
      <w:r w:rsidRPr="00B82BDF">
        <w:rPr>
          <w:rFonts w:ascii="Times New Roman" w:hAnsi="Times New Roman" w:cs="Times New Roman"/>
          <w:iCs/>
        </w:rPr>
        <w:t xml:space="preserve"> de son </w:t>
      </w:r>
      <w:proofErr w:type="spellStart"/>
      <w:r w:rsidRPr="00B82BDF">
        <w:rPr>
          <w:rFonts w:ascii="Times New Roman" w:hAnsi="Times New Roman" w:cs="Times New Roman"/>
          <w:iCs/>
        </w:rPr>
        <w:t>consentement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n’ont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pas </w:t>
      </w:r>
      <w:proofErr w:type="spellStart"/>
      <w:r w:rsidRPr="00B82BDF">
        <w:rPr>
          <w:rFonts w:ascii="Times New Roman" w:hAnsi="Times New Roman" w:cs="Times New Roman"/>
          <w:color w:val="000000"/>
        </w:rPr>
        <w:t>permis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B82BDF">
        <w:rPr>
          <w:rFonts w:ascii="Times New Roman" w:hAnsi="Times New Roman" w:cs="Times New Roman"/>
          <w:color w:val="000000"/>
        </w:rPr>
        <w:t>garantir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à la </w:t>
      </w:r>
      <w:proofErr w:type="spellStart"/>
      <w:r w:rsidRPr="00B82BDF">
        <w:rPr>
          <w:rFonts w:ascii="Times New Roman" w:hAnsi="Times New Roman" w:cs="Times New Roman"/>
          <w:color w:val="000000"/>
        </w:rPr>
        <w:t>requérante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</w:rPr>
        <w:t>une</w:t>
      </w:r>
      <w:proofErr w:type="spellEnd"/>
      <w:r w:rsidRPr="00B82BDF">
        <w:rPr>
          <w:rFonts w:ascii="Times New Roman" w:hAnsi="Times New Roman" w:cs="Times New Roman"/>
          <w:color w:val="000000"/>
        </w:rPr>
        <w:t xml:space="preserve"> protection </w:t>
      </w:r>
      <w:proofErr w:type="spellStart"/>
      <w:r w:rsidRPr="00B82BDF">
        <w:rPr>
          <w:rFonts w:ascii="Times New Roman" w:hAnsi="Times New Roman" w:cs="Times New Roman"/>
          <w:color w:val="000000"/>
        </w:rPr>
        <w:t>appropriée</w:t>
      </w:r>
      <w:proofErr w:type="spellEnd"/>
      <w:r w:rsidRPr="00B82BDF">
        <w:rPr>
          <w:rFonts w:ascii="Times New Roman" w:hAnsi="Times New Roman" w:cs="Times New Roman"/>
          <w:color w:val="000000"/>
        </w:rPr>
        <w:t>.</w:t>
      </w:r>
    </w:p>
    <w:p w14:paraId="2C060C8C" w14:textId="77777777" w:rsidR="008A7B1D" w:rsidRPr="00B82BDF" w:rsidRDefault="008A7B1D" w:rsidP="008A7B1D">
      <w:pPr>
        <w:pStyle w:val="ECHRHeading5"/>
        <w:numPr>
          <w:ilvl w:val="0"/>
          <w:numId w:val="21"/>
        </w:numPr>
        <w:ind w:left="1190" w:hanging="357"/>
      </w:pPr>
      <w:r w:rsidRPr="00B82BDF">
        <w:lastRenderedPageBreak/>
        <w:t>Conclusion</w:t>
      </w:r>
    </w:p>
    <w:p w14:paraId="7F1C0FA7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248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En</w:t>
      </w:r>
      <w:proofErr w:type="spellEnd"/>
      <w:r w:rsidRPr="00B82BDF">
        <w:t xml:space="preserve"> conclusion,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considère</w:t>
      </w:r>
      <w:proofErr w:type="spellEnd"/>
      <w:r w:rsidRPr="00B82BDF">
        <w:t xml:space="preserve"> que, dans </w:t>
      </w:r>
      <w:proofErr w:type="spellStart"/>
      <w:r w:rsidRPr="00B82BDF">
        <w:t>chacune</w:t>
      </w:r>
      <w:proofErr w:type="spellEnd"/>
      <w:r w:rsidRPr="00B82BDF">
        <w:t xml:space="preserve"> des trois </w:t>
      </w:r>
      <w:proofErr w:type="spellStart"/>
      <w:r w:rsidRPr="00B82BDF">
        <w:t>requêtes</w:t>
      </w:r>
      <w:proofErr w:type="spellEnd"/>
      <w:r w:rsidRPr="00B82BDF">
        <w:t xml:space="preserve">, les </w:t>
      </w:r>
      <w:proofErr w:type="spellStart"/>
      <w:r w:rsidRPr="00B82BDF">
        <w:t>autorités</w:t>
      </w:r>
      <w:proofErr w:type="spellEnd"/>
      <w:r w:rsidRPr="00B82BDF">
        <w:t xml:space="preserve"> </w:t>
      </w:r>
      <w:proofErr w:type="spellStart"/>
      <w:r w:rsidRPr="00B82BDF">
        <w:t>d’enquête</w:t>
      </w:r>
      <w:proofErr w:type="spellEnd"/>
      <w:r w:rsidRPr="00B82BDF">
        <w:t xml:space="preserve"> et les </w:t>
      </w:r>
      <w:proofErr w:type="spellStart"/>
      <w:r w:rsidRPr="00B82BDF">
        <w:t>juridictions</w:t>
      </w:r>
      <w:proofErr w:type="spellEnd"/>
      <w:r w:rsidRPr="00B82BDF">
        <w:t xml:space="preserve"> internes </w:t>
      </w:r>
      <w:proofErr w:type="spellStart"/>
      <w:r w:rsidRPr="00B82BDF">
        <w:t>ont</w:t>
      </w:r>
      <w:proofErr w:type="spellEnd"/>
      <w:r w:rsidRPr="00B82BDF">
        <w:t xml:space="preserve"> </w:t>
      </w:r>
      <w:proofErr w:type="spellStart"/>
      <w:r w:rsidRPr="00B82BDF">
        <w:t>failli</w:t>
      </w:r>
      <w:proofErr w:type="spellEnd"/>
      <w:r w:rsidRPr="00B82BDF">
        <w:t xml:space="preserve"> à </w:t>
      </w:r>
      <w:proofErr w:type="spellStart"/>
      <w:r w:rsidRPr="00B82BDF">
        <w:t>protéger</w:t>
      </w:r>
      <w:proofErr w:type="spellEnd"/>
      <w:r w:rsidRPr="00B82BDF">
        <w:t xml:space="preserve">, de manière </w:t>
      </w:r>
      <w:proofErr w:type="spellStart"/>
      <w:r w:rsidRPr="00B82BDF">
        <w:t>adéquate</w:t>
      </w:r>
      <w:proofErr w:type="spellEnd"/>
      <w:r w:rsidRPr="00B82BDF">
        <w:t xml:space="preserve">, les </w:t>
      </w:r>
      <w:proofErr w:type="spellStart"/>
      <w:r w:rsidRPr="00B82BDF">
        <w:t>requérantes</w:t>
      </w:r>
      <w:proofErr w:type="spellEnd"/>
      <w:r w:rsidRPr="00B82BDF">
        <w:t xml:space="preserve"> qui </w:t>
      </w:r>
      <w:proofErr w:type="spellStart"/>
      <w:r w:rsidRPr="00B82BDF">
        <w:t>dénonçaient</w:t>
      </w:r>
      <w:proofErr w:type="spellEnd"/>
      <w:r w:rsidRPr="00B82BDF">
        <w:t xml:space="preserve"> des </w:t>
      </w:r>
      <w:proofErr w:type="spellStart"/>
      <w:r w:rsidRPr="00B82BDF">
        <w:t>actes</w:t>
      </w:r>
      <w:proofErr w:type="spellEnd"/>
      <w:r w:rsidRPr="00B82BDF">
        <w:t xml:space="preserve"> de viols </w:t>
      </w:r>
      <w:proofErr w:type="spellStart"/>
      <w:r w:rsidRPr="00B82BDF">
        <w:t>alors</w:t>
      </w:r>
      <w:proofErr w:type="spellEnd"/>
      <w:r w:rsidRPr="00B82BDF">
        <w:t xml:space="preserve"> </w:t>
      </w:r>
      <w:proofErr w:type="spellStart"/>
      <w:r w:rsidRPr="00B82BDF">
        <w:t>qu’elles</w:t>
      </w:r>
      <w:proofErr w:type="spellEnd"/>
      <w:r w:rsidRPr="00B82BDF">
        <w:t xml:space="preserve"> </w:t>
      </w:r>
      <w:proofErr w:type="spellStart"/>
      <w:r w:rsidRPr="00B82BDF">
        <w:t>n’étaient</w:t>
      </w:r>
      <w:proofErr w:type="spellEnd"/>
      <w:r w:rsidRPr="00B82BDF">
        <w:t xml:space="preserve"> </w:t>
      </w:r>
      <w:proofErr w:type="spellStart"/>
      <w:r w:rsidRPr="00B82BDF">
        <w:t>âgées</w:t>
      </w:r>
      <w:proofErr w:type="spellEnd"/>
      <w:r w:rsidRPr="00B82BDF">
        <w:t xml:space="preserve"> que de 13, 14 et 16 </w:t>
      </w:r>
      <w:proofErr w:type="spellStart"/>
      <w:r w:rsidRPr="00B82BDF">
        <w:t>ans</w:t>
      </w:r>
      <w:proofErr w:type="spellEnd"/>
      <w:r w:rsidRPr="00B82BDF">
        <w:t xml:space="preserve"> au moment des faits.</w:t>
      </w:r>
    </w:p>
    <w:p w14:paraId="72916DBB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249</w:t>
      </w:r>
      <w:r w:rsidRPr="00B82BDF">
        <w:rPr>
          <w:noProof/>
        </w:rPr>
        <w:fldChar w:fldCharType="end"/>
      </w:r>
      <w:r w:rsidRPr="00B82BDF">
        <w:t xml:space="preserve">.  Après </w:t>
      </w:r>
      <w:proofErr w:type="spellStart"/>
      <w:r w:rsidRPr="00B82BDF">
        <w:t>avoir</w:t>
      </w:r>
      <w:proofErr w:type="spellEnd"/>
      <w:r w:rsidRPr="00B82BDF">
        <w:t xml:space="preserve"> </w:t>
      </w:r>
      <w:proofErr w:type="spellStart"/>
      <w:r w:rsidRPr="00B82BDF">
        <w:t>relevé</w:t>
      </w:r>
      <w:proofErr w:type="spellEnd"/>
      <w:r w:rsidRPr="00B82BDF">
        <w:t xml:space="preserve">, dans deux des </w:t>
      </w:r>
      <w:proofErr w:type="spellStart"/>
      <w:r w:rsidRPr="00B82BDF">
        <w:t>requêtes</w:t>
      </w:r>
      <w:proofErr w:type="spellEnd"/>
      <w:r w:rsidRPr="00B82BDF">
        <w:t xml:space="preserve">, </w:t>
      </w:r>
      <w:proofErr w:type="spellStart"/>
      <w:r w:rsidRPr="00B82BDF">
        <w:t>l’absence</w:t>
      </w:r>
      <w:proofErr w:type="spellEnd"/>
      <w:r w:rsidRPr="00B82BDF">
        <w:t xml:space="preserve"> de </w:t>
      </w:r>
      <w:proofErr w:type="spellStart"/>
      <w:r w:rsidRPr="00B82BDF">
        <w:t>célérité</w:t>
      </w:r>
      <w:proofErr w:type="spellEnd"/>
      <w:r w:rsidRPr="00B82BDF">
        <w:t xml:space="preserve"> et de diligence dans la </w:t>
      </w:r>
      <w:proofErr w:type="spellStart"/>
      <w:r w:rsidRPr="00B82BDF">
        <w:t>conduite</w:t>
      </w:r>
      <w:proofErr w:type="spellEnd"/>
      <w:r w:rsidRPr="00B82BDF">
        <w:t xml:space="preserve"> de la </w:t>
      </w:r>
      <w:proofErr w:type="spellStart"/>
      <w:r w:rsidRPr="00B82BDF">
        <w:t>procédure</w:t>
      </w:r>
      <w:proofErr w:type="spellEnd"/>
      <w:r w:rsidRPr="00B82BDF">
        <w:t xml:space="preserve"> </w:t>
      </w:r>
      <w:proofErr w:type="spellStart"/>
      <w:r w:rsidRPr="00B82BDF">
        <w:t>pénale</w:t>
      </w:r>
      <w:proofErr w:type="spellEnd"/>
      <w:r w:rsidRPr="00B82BDF">
        <w:t xml:space="preserve">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est</w:t>
      </w:r>
      <w:proofErr w:type="spellEnd"/>
      <w:r w:rsidRPr="00B82BDF">
        <w:t xml:space="preserve"> </w:t>
      </w:r>
      <w:proofErr w:type="spellStart"/>
      <w:r w:rsidRPr="00B82BDF">
        <w:t>d’avis</w:t>
      </w:r>
      <w:proofErr w:type="spellEnd"/>
      <w:r w:rsidRPr="00B82BDF">
        <w:t xml:space="preserve"> que, dans </w:t>
      </w:r>
      <w:proofErr w:type="spellStart"/>
      <w:r w:rsidRPr="00B82BDF">
        <w:t>chacune</w:t>
      </w:r>
      <w:proofErr w:type="spellEnd"/>
      <w:r w:rsidRPr="00B82BDF">
        <w:t xml:space="preserve"> des trois </w:t>
      </w:r>
      <w:proofErr w:type="spellStart"/>
      <w:r w:rsidRPr="00B82BDF">
        <w:t>requêtes</w:t>
      </w:r>
      <w:proofErr w:type="spellEnd"/>
      <w:r w:rsidRPr="00B82BDF">
        <w:t xml:space="preserve">, les </w:t>
      </w:r>
      <w:proofErr w:type="spellStart"/>
      <w:r w:rsidRPr="00B82BDF">
        <w:t>juridictions</w:t>
      </w:r>
      <w:proofErr w:type="spellEnd"/>
      <w:r w:rsidRPr="00B82BDF">
        <w:t xml:space="preserve"> internes </w:t>
      </w:r>
      <w:proofErr w:type="spellStart"/>
      <w:r w:rsidRPr="00B82BDF">
        <w:t>n’ont</w:t>
      </w:r>
      <w:proofErr w:type="spellEnd"/>
      <w:r w:rsidRPr="00B82BDF">
        <w:t xml:space="preserve"> pas </w:t>
      </w:r>
      <w:proofErr w:type="spellStart"/>
      <w:r w:rsidRPr="00B82BDF">
        <w:t>dûment</w:t>
      </w:r>
      <w:proofErr w:type="spellEnd"/>
      <w:r w:rsidRPr="00B82BDF">
        <w:t xml:space="preserve"> </w:t>
      </w:r>
      <w:proofErr w:type="spellStart"/>
      <w:r w:rsidRPr="00B82BDF">
        <w:t>analysé</w:t>
      </w:r>
      <w:proofErr w:type="spellEnd"/>
      <w:r w:rsidRPr="00B82BDF">
        <w:t xml:space="preserve"> </w:t>
      </w:r>
      <w:proofErr w:type="spellStart"/>
      <w:r w:rsidRPr="00B82BDF">
        <w:t>l’effet</w:t>
      </w:r>
      <w:proofErr w:type="spellEnd"/>
      <w:r w:rsidRPr="00B82BDF">
        <w:t xml:space="preserve"> de </w:t>
      </w:r>
      <w:proofErr w:type="spellStart"/>
      <w:r w:rsidRPr="00B82BDF">
        <w:t>toutes</w:t>
      </w:r>
      <w:proofErr w:type="spellEnd"/>
      <w:r w:rsidRPr="00B82BDF">
        <w:t xml:space="preserve"> les </w:t>
      </w:r>
      <w:proofErr w:type="spellStart"/>
      <w:r w:rsidRPr="00B82BDF">
        <w:t>circonstances</w:t>
      </w:r>
      <w:proofErr w:type="spellEnd"/>
      <w:r w:rsidRPr="00B82BDF">
        <w:t xml:space="preserve"> </w:t>
      </w:r>
      <w:proofErr w:type="spellStart"/>
      <w:r w:rsidRPr="00B82BDF">
        <w:t>environnantes</w:t>
      </w:r>
      <w:proofErr w:type="spellEnd"/>
      <w:r w:rsidRPr="00B82BDF">
        <w:t xml:space="preserve"> </w:t>
      </w:r>
      <w:proofErr w:type="spellStart"/>
      <w:r w:rsidRPr="00B82BDF">
        <w:t>ni</w:t>
      </w:r>
      <w:proofErr w:type="spellEnd"/>
      <w:r w:rsidRPr="00B82BDF">
        <w:t xml:space="preserve"> </w:t>
      </w:r>
      <w:proofErr w:type="spellStart"/>
      <w:r w:rsidRPr="00B82BDF">
        <w:t>n’ont</w:t>
      </w:r>
      <w:proofErr w:type="spellEnd"/>
      <w:r w:rsidRPr="00B82BDF">
        <w:t xml:space="preserve"> </w:t>
      </w:r>
      <w:proofErr w:type="spellStart"/>
      <w:r w:rsidRPr="00B82BDF">
        <w:t>suffisamment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</w:t>
      </w:r>
      <w:proofErr w:type="spellStart"/>
      <w:r w:rsidRPr="00B82BDF">
        <w:t>compte</w:t>
      </w:r>
      <w:proofErr w:type="spellEnd"/>
      <w:r w:rsidRPr="00B82BDF">
        <w:t xml:space="preserve">, dans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appréciation</w:t>
      </w:r>
      <w:proofErr w:type="spellEnd"/>
      <w:r w:rsidRPr="00B82BDF">
        <w:t xml:space="preserve"> du </w:t>
      </w:r>
      <w:proofErr w:type="spellStart"/>
      <w:r w:rsidRPr="00B82BDF">
        <w:t>discernement</w:t>
      </w:r>
      <w:proofErr w:type="spellEnd"/>
      <w:r w:rsidRPr="00B82BDF">
        <w:t xml:space="preserve"> et du </w:t>
      </w:r>
      <w:proofErr w:type="spellStart"/>
      <w:r w:rsidRPr="00B82BDF">
        <w:t>consentement</w:t>
      </w:r>
      <w:proofErr w:type="spellEnd"/>
      <w:r w:rsidRPr="00B82BDF">
        <w:t xml:space="preserve"> des </w:t>
      </w:r>
      <w:proofErr w:type="spellStart"/>
      <w:r w:rsidRPr="00B82BDF">
        <w:t>requérantes</w:t>
      </w:r>
      <w:proofErr w:type="spellEnd"/>
      <w:r w:rsidRPr="00B82BDF">
        <w:t xml:space="preserve">, de la situation de </w:t>
      </w:r>
      <w:proofErr w:type="spellStart"/>
      <w:r w:rsidRPr="00B82BDF">
        <w:t>particulière</w:t>
      </w:r>
      <w:proofErr w:type="spellEnd"/>
      <w:r w:rsidRPr="00B82BDF">
        <w:t xml:space="preserve"> </w:t>
      </w:r>
      <w:proofErr w:type="spellStart"/>
      <w:r w:rsidRPr="00B82BDF">
        <w:t>vulnérabilité</w:t>
      </w:r>
      <w:proofErr w:type="spellEnd"/>
      <w:r w:rsidRPr="00B82BDF">
        <w:t xml:space="preserve"> dans </w:t>
      </w:r>
      <w:proofErr w:type="spellStart"/>
      <w:r w:rsidRPr="00B82BDF">
        <w:t>laquelle</w:t>
      </w:r>
      <w:proofErr w:type="spellEnd"/>
      <w:r w:rsidRPr="00B82BDF">
        <w:t xml:space="preserve"> </w:t>
      </w:r>
      <w:proofErr w:type="spellStart"/>
      <w:r w:rsidRPr="00B82BDF">
        <w:t>elles</w:t>
      </w:r>
      <w:proofErr w:type="spellEnd"/>
      <w:r w:rsidRPr="00B82BDF">
        <w:t xml:space="preserve"> se </w:t>
      </w:r>
      <w:proofErr w:type="spellStart"/>
      <w:r w:rsidRPr="00B82BDF">
        <w:t>trouvaient</w:t>
      </w:r>
      <w:proofErr w:type="spellEnd"/>
      <w:r w:rsidRPr="00B82BDF">
        <w:t xml:space="preserve">, </w:t>
      </w:r>
      <w:proofErr w:type="spellStart"/>
      <w:r w:rsidRPr="00B82BDF">
        <w:t>en</w:t>
      </w:r>
      <w:proofErr w:type="spellEnd"/>
      <w:r w:rsidRPr="00B82BDF">
        <w:t xml:space="preserve"> particulier </w:t>
      </w:r>
      <w:proofErr w:type="spellStart"/>
      <w:r w:rsidRPr="00B82BDF">
        <w:t>eu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à </w:t>
      </w:r>
      <w:proofErr w:type="spellStart"/>
      <w:r w:rsidRPr="00B82BDF">
        <w:t>leur</w:t>
      </w:r>
      <w:proofErr w:type="spellEnd"/>
      <w:r w:rsidRPr="00B82BDF">
        <w:t xml:space="preserve"> </w:t>
      </w:r>
      <w:proofErr w:type="spellStart"/>
      <w:r w:rsidRPr="00B82BDF">
        <w:t>minorité</w:t>
      </w:r>
      <w:proofErr w:type="spellEnd"/>
      <w:r w:rsidRPr="00B82BDF">
        <w:t xml:space="preserve"> à la date des faits </w:t>
      </w:r>
      <w:proofErr w:type="spellStart"/>
      <w:r w:rsidRPr="00B82BDF">
        <w:t>litigieux</w:t>
      </w:r>
      <w:proofErr w:type="spellEnd"/>
      <w:r w:rsidRPr="00B82BDF">
        <w:t>.</w:t>
      </w:r>
    </w:p>
    <w:p w14:paraId="502B86B5" w14:textId="77777777" w:rsidR="008A7B1D" w:rsidRPr="00B82BDF" w:rsidRDefault="008A7B1D" w:rsidP="008A7B1D">
      <w:pPr>
        <w:pStyle w:val="ECHRPara"/>
      </w:pPr>
      <w:r w:rsidRPr="00B82BDF">
        <w:fldChar w:fldCharType="begin"/>
      </w:r>
      <w:r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250</w:t>
      </w:r>
      <w:r w:rsidRPr="00B82BDF">
        <w:rPr>
          <w:noProof/>
        </w:rPr>
        <w:fldChar w:fldCharType="end"/>
      </w:r>
      <w:r w:rsidRPr="00B82BDF">
        <w:t>.  </w:t>
      </w:r>
      <w:proofErr w:type="spellStart"/>
      <w:r w:rsidRPr="00B82BDF">
        <w:t>Rappelant</w:t>
      </w:r>
      <w:proofErr w:type="spellEnd"/>
      <w:r w:rsidRPr="00B82BDF">
        <w:t xml:space="preserve"> que le </w:t>
      </w:r>
      <w:proofErr w:type="spellStart"/>
      <w:r w:rsidRPr="00B82BDF">
        <w:t>consentement</w:t>
      </w:r>
      <w:proofErr w:type="spellEnd"/>
      <w:r w:rsidRPr="00B82BDF">
        <w:t xml:space="preserve"> doit </w:t>
      </w:r>
      <w:proofErr w:type="spellStart"/>
      <w:r w:rsidRPr="00B82BDF">
        <w:t>traduire</w:t>
      </w:r>
      <w:proofErr w:type="spellEnd"/>
      <w:r w:rsidRPr="00B82BDF">
        <w:t xml:space="preserve"> la libre </w:t>
      </w:r>
      <w:proofErr w:type="spellStart"/>
      <w:r w:rsidRPr="00B82BDF">
        <w:t>volonté</w:t>
      </w:r>
      <w:proofErr w:type="spellEnd"/>
      <w:r w:rsidRPr="00B82BDF">
        <w:t xml:space="preserve"> </w:t>
      </w:r>
      <w:proofErr w:type="spellStart"/>
      <w:r w:rsidRPr="00B82BDF">
        <w:t>d’avoir</w:t>
      </w:r>
      <w:proofErr w:type="spellEnd"/>
      <w:r w:rsidRPr="00B82BDF">
        <w:t xml:space="preserve"> </w:t>
      </w:r>
      <w:proofErr w:type="spellStart"/>
      <w:r w:rsidRPr="00B82BDF">
        <w:t>une</w:t>
      </w:r>
      <w:proofErr w:type="spellEnd"/>
      <w:r w:rsidRPr="00B82BDF">
        <w:t xml:space="preserve"> relation </w:t>
      </w:r>
      <w:proofErr w:type="spellStart"/>
      <w:r w:rsidRPr="00B82BDF">
        <w:t>sexuelle</w:t>
      </w:r>
      <w:proofErr w:type="spellEnd"/>
      <w:r w:rsidRPr="00B82BDF">
        <w:t xml:space="preserve"> </w:t>
      </w:r>
      <w:proofErr w:type="spellStart"/>
      <w:r w:rsidRPr="00B82BDF">
        <w:t>déterminée</w:t>
      </w:r>
      <w:proofErr w:type="spellEnd"/>
      <w:r w:rsidRPr="00B82BDF">
        <w:t xml:space="preserve">, au moment </w:t>
      </w:r>
      <w:proofErr w:type="spellStart"/>
      <w:r w:rsidRPr="00B82BDF">
        <w:t>où</w:t>
      </w:r>
      <w:proofErr w:type="spellEnd"/>
      <w:r w:rsidRPr="00B82BDF">
        <w:t xml:space="preserve"> </w:t>
      </w:r>
      <w:proofErr w:type="spellStart"/>
      <w:r w:rsidRPr="00B82BDF">
        <w:t>elle</w:t>
      </w:r>
      <w:proofErr w:type="spellEnd"/>
      <w:r w:rsidRPr="00B82BDF">
        <w:t xml:space="preserve"> </w:t>
      </w:r>
      <w:proofErr w:type="spellStart"/>
      <w:r w:rsidRPr="00B82BDF">
        <w:t>intervient</w:t>
      </w:r>
      <w:proofErr w:type="spellEnd"/>
      <w:r w:rsidRPr="00B82BDF">
        <w:t xml:space="preserve"> et </w:t>
      </w:r>
      <w:proofErr w:type="spellStart"/>
      <w:r w:rsidRPr="00B82BDF">
        <w:t>en</w:t>
      </w:r>
      <w:proofErr w:type="spellEnd"/>
      <w:r w:rsidRPr="00B82BDF">
        <w:t xml:space="preserve"> tenant </w:t>
      </w:r>
      <w:proofErr w:type="spellStart"/>
      <w:r w:rsidRPr="00B82BDF">
        <w:t>compte</w:t>
      </w:r>
      <w:proofErr w:type="spellEnd"/>
      <w:r w:rsidRPr="00B82BDF">
        <w:t xml:space="preserve"> de </w:t>
      </w:r>
      <w:proofErr w:type="spellStart"/>
      <w:r w:rsidRPr="00B82BDF">
        <w:t>ses</w:t>
      </w:r>
      <w:proofErr w:type="spellEnd"/>
      <w:r w:rsidRPr="00B82BDF">
        <w:t xml:space="preserve"> </w:t>
      </w:r>
      <w:proofErr w:type="spellStart"/>
      <w:r w:rsidRPr="00B82BDF">
        <w:t>circonstances</w:t>
      </w:r>
      <w:proofErr w:type="spellEnd"/>
      <w:r w:rsidRPr="00B82BDF">
        <w:t xml:space="preserve"> (</w:t>
      </w:r>
      <w:r w:rsidRPr="00B82BDF">
        <w:rPr>
          <w:i/>
          <w:iCs/>
        </w:rPr>
        <w:t>H.W. c. France</w:t>
      </w:r>
      <w:r w:rsidRPr="00B82BDF">
        <w:t>, n</w:t>
      </w:r>
      <w:r w:rsidRPr="00B82BDF">
        <w:rPr>
          <w:vertAlign w:val="superscript"/>
        </w:rPr>
        <w:t>o</w:t>
      </w:r>
      <w:r w:rsidRPr="00B82BDF">
        <w:t> 13805/21, § 91, 23 </w:t>
      </w:r>
      <w:proofErr w:type="spellStart"/>
      <w:r w:rsidRPr="00B82BDF">
        <w:t>janvier</w:t>
      </w:r>
      <w:proofErr w:type="spellEnd"/>
      <w:r w:rsidRPr="00B82BDF">
        <w:t xml:space="preserve"> 2025), 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considère</w:t>
      </w:r>
      <w:proofErr w:type="spellEnd"/>
      <w:r w:rsidRPr="00B82BDF">
        <w:t xml:space="preserve"> que, </w:t>
      </w:r>
      <w:proofErr w:type="spellStart"/>
      <w:r w:rsidRPr="00B82BDF">
        <w:t>compte</w:t>
      </w:r>
      <w:proofErr w:type="spellEnd"/>
      <w:r w:rsidRPr="00B82BDF">
        <w:t xml:space="preserve"> </w:t>
      </w:r>
      <w:proofErr w:type="spellStart"/>
      <w:r w:rsidRPr="00B82BDF">
        <w:t>tenu</w:t>
      </w:r>
      <w:proofErr w:type="spellEnd"/>
      <w:r w:rsidRPr="00B82BDF">
        <w:t xml:space="preserve"> à la </w:t>
      </w:r>
      <w:proofErr w:type="spellStart"/>
      <w:r w:rsidRPr="00B82BDF">
        <w:t>fois</w:t>
      </w:r>
      <w:proofErr w:type="spellEnd"/>
      <w:r w:rsidRPr="00B82BDF">
        <w:t xml:space="preserve"> du cadre </w:t>
      </w:r>
      <w:proofErr w:type="spellStart"/>
      <w:r w:rsidRPr="00B82BDF">
        <w:t>juridique</w:t>
      </w:r>
      <w:proofErr w:type="spellEnd"/>
      <w:r w:rsidRPr="00B82BDF">
        <w:t xml:space="preserve"> </w:t>
      </w:r>
      <w:proofErr w:type="spellStart"/>
      <w:r w:rsidRPr="00B82BDF">
        <w:t>alors</w:t>
      </w:r>
      <w:proofErr w:type="spellEnd"/>
      <w:r w:rsidRPr="00B82BDF">
        <w:t xml:space="preserve"> applicable et de </w:t>
      </w:r>
      <w:proofErr w:type="spellStart"/>
      <w:r w:rsidRPr="00B82BDF">
        <w:t>l’application</w:t>
      </w:r>
      <w:proofErr w:type="spellEnd"/>
      <w:r w:rsidRPr="00B82BDF">
        <w:t xml:space="preserve"> qui </w:t>
      </w:r>
      <w:proofErr w:type="spellStart"/>
      <w:r w:rsidRPr="00B82BDF">
        <w:t>en</w:t>
      </w:r>
      <w:proofErr w:type="spellEnd"/>
      <w:r w:rsidRPr="00B82BDF">
        <w:t xml:space="preserve"> a </w:t>
      </w:r>
      <w:proofErr w:type="spellStart"/>
      <w:r w:rsidRPr="00B82BDF">
        <w:t>été</w:t>
      </w:r>
      <w:proofErr w:type="spellEnd"/>
      <w:r w:rsidRPr="00B82BDF">
        <w:t xml:space="preserve"> </w:t>
      </w:r>
      <w:proofErr w:type="spellStart"/>
      <w:r w:rsidRPr="00B82BDF">
        <w:t>faite</w:t>
      </w:r>
      <w:proofErr w:type="spellEnd"/>
      <w:r w:rsidRPr="00B82BDF">
        <w:t xml:space="preserve"> aux </w:t>
      </w:r>
      <w:proofErr w:type="spellStart"/>
      <w:r w:rsidRPr="00B82BDF">
        <w:t>cas</w:t>
      </w:r>
      <w:proofErr w:type="spellEnd"/>
      <w:r w:rsidRPr="00B82BDF">
        <w:t xml:space="preserve"> </w:t>
      </w:r>
      <w:proofErr w:type="spellStart"/>
      <w:r w:rsidRPr="00B82BDF">
        <w:t>d’espèces</w:t>
      </w:r>
      <w:proofErr w:type="spellEnd"/>
      <w:r w:rsidRPr="00B82BDF">
        <w:t xml:space="preserve">,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a manqué à </w:t>
      </w:r>
      <w:proofErr w:type="spellStart"/>
      <w:r w:rsidRPr="00B82BDF">
        <w:t>ses</w:t>
      </w:r>
      <w:proofErr w:type="spellEnd"/>
      <w:r w:rsidRPr="00B82BDF">
        <w:t xml:space="preserve"> obligations positives qui </w:t>
      </w:r>
      <w:proofErr w:type="spellStart"/>
      <w:r w:rsidRPr="00B82BDF">
        <w:t>lui</w:t>
      </w:r>
      <w:proofErr w:type="spellEnd"/>
      <w:r w:rsidRPr="00B82BDF">
        <w:t xml:space="preserve"> </w:t>
      </w:r>
      <w:proofErr w:type="spellStart"/>
      <w:r w:rsidRPr="00B82BDF">
        <w:t>imposaient</w:t>
      </w:r>
      <w:proofErr w:type="spellEnd"/>
      <w:r w:rsidRPr="00B82BDF">
        <w:t xml:space="preserve">, </w:t>
      </w:r>
      <w:proofErr w:type="spellStart"/>
      <w:r w:rsidRPr="00B82BDF">
        <w:t>eu</w:t>
      </w:r>
      <w:proofErr w:type="spellEnd"/>
      <w:r w:rsidRPr="00B82BDF">
        <w:t xml:space="preserve"> </w:t>
      </w:r>
      <w:proofErr w:type="spellStart"/>
      <w:r w:rsidRPr="00B82BDF">
        <w:t>égard</w:t>
      </w:r>
      <w:proofErr w:type="spellEnd"/>
      <w:r w:rsidRPr="00B82BDF">
        <w:t xml:space="preserve"> aux exigences </w:t>
      </w:r>
      <w:proofErr w:type="spellStart"/>
      <w:r w:rsidRPr="00B82BDF">
        <w:t>résultant</w:t>
      </w:r>
      <w:proofErr w:type="spellEnd"/>
      <w:r w:rsidRPr="00B82BDF">
        <w:t xml:space="preserve"> de </w:t>
      </w:r>
      <w:proofErr w:type="spellStart"/>
      <w:r w:rsidRPr="00B82BDF">
        <w:t>sa</w:t>
      </w:r>
      <w:proofErr w:type="spellEnd"/>
      <w:r w:rsidRPr="00B82BDF">
        <w:t xml:space="preserve"> jurisprudence et à la lumière des standards </w:t>
      </w:r>
      <w:proofErr w:type="spellStart"/>
      <w:r w:rsidRPr="00B82BDF">
        <w:t>internationaux</w:t>
      </w:r>
      <w:proofErr w:type="spellEnd"/>
      <w:r w:rsidRPr="00B82BDF">
        <w:t xml:space="preserve">, </w:t>
      </w:r>
      <w:proofErr w:type="spellStart"/>
      <w:r w:rsidRPr="00B82BDF">
        <w:rPr>
          <w:rFonts w:asciiTheme="majorHAnsi" w:hAnsiTheme="majorHAnsi" w:cstheme="majorHAnsi"/>
        </w:rPr>
        <w:t>d’appliquer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effectivement</w:t>
      </w:r>
      <w:proofErr w:type="spellEnd"/>
      <w:r w:rsidRPr="00B82BDF">
        <w:rPr>
          <w:rFonts w:asciiTheme="majorHAnsi" w:hAnsiTheme="majorHAnsi" w:cstheme="majorHAnsi"/>
        </w:rPr>
        <w:t xml:space="preserve"> un </w:t>
      </w:r>
      <w:proofErr w:type="spellStart"/>
      <w:r w:rsidRPr="00B82BDF">
        <w:rPr>
          <w:rFonts w:asciiTheme="majorHAnsi" w:hAnsiTheme="majorHAnsi" w:cstheme="majorHAnsi"/>
        </w:rPr>
        <w:t>système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pénal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apte</w:t>
      </w:r>
      <w:proofErr w:type="spellEnd"/>
      <w:r w:rsidRPr="00B82BDF">
        <w:rPr>
          <w:rFonts w:asciiTheme="majorHAnsi" w:hAnsiTheme="majorHAnsi" w:cstheme="majorHAnsi"/>
        </w:rPr>
        <w:t xml:space="preserve"> à </w:t>
      </w:r>
      <w:proofErr w:type="spellStart"/>
      <w:r w:rsidRPr="00B82BDF">
        <w:rPr>
          <w:rFonts w:asciiTheme="majorHAnsi" w:hAnsiTheme="majorHAnsi" w:cstheme="majorHAnsi"/>
        </w:rPr>
        <w:t>réprimer</w:t>
      </w:r>
      <w:proofErr w:type="spellEnd"/>
      <w:r w:rsidRPr="00B82BDF">
        <w:rPr>
          <w:rFonts w:asciiTheme="majorHAnsi" w:hAnsiTheme="majorHAnsi" w:cstheme="majorHAnsi"/>
        </w:rPr>
        <w:t xml:space="preserve"> les </w:t>
      </w:r>
      <w:proofErr w:type="spellStart"/>
      <w:r w:rsidRPr="00B82BDF">
        <w:rPr>
          <w:rFonts w:asciiTheme="majorHAnsi" w:hAnsiTheme="majorHAnsi" w:cstheme="majorHAnsi"/>
        </w:rPr>
        <w:t>actes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sexuels</w:t>
      </w:r>
      <w:proofErr w:type="spellEnd"/>
      <w:r w:rsidRPr="00B82BDF">
        <w:rPr>
          <w:rFonts w:asciiTheme="majorHAnsi" w:hAnsiTheme="majorHAnsi" w:cstheme="majorHAnsi"/>
        </w:rPr>
        <w:t xml:space="preserve"> non </w:t>
      </w:r>
      <w:proofErr w:type="spellStart"/>
      <w:r w:rsidRPr="00B82BDF">
        <w:rPr>
          <w:rFonts w:asciiTheme="majorHAnsi" w:hAnsiTheme="majorHAnsi" w:cstheme="majorHAnsi"/>
        </w:rPr>
        <w:t>consentis</w:t>
      </w:r>
      <w:proofErr w:type="spellEnd"/>
      <w:r w:rsidRPr="00B82BDF">
        <w:rPr>
          <w:rFonts w:asciiTheme="majorHAnsi" w:hAnsiTheme="majorHAnsi" w:cstheme="majorHAnsi"/>
        </w:rPr>
        <w:t xml:space="preserve">. À </w:t>
      </w:r>
      <w:proofErr w:type="spellStart"/>
      <w:r w:rsidRPr="00B82BDF">
        <w:rPr>
          <w:rFonts w:asciiTheme="majorHAnsi" w:hAnsiTheme="majorHAnsi" w:cstheme="majorHAnsi"/>
        </w:rPr>
        <w:t>cet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égard</w:t>
      </w:r>
      <w:proofErr w:type="spellEnd"/>
      <w:r w:rsidRPr="00B82BDF">
        <w:rPr>
          <w:rFonts w:asciiTheme="majorHAnsi" w:hAnsiTheme="majorHAnsi" w:cstheme="majorHAnsi"/>
        </w:rPr>
        <w:t xml:space="preserve">, </w:t>
      </w:r>
      <w:proofErr w:type="spellStart"/>
      <w:r w:rsidRPr="00B82BDF">
        <w:rPr>
          <w:rFonts w:asciiTheme="majorHAnsi" w:hAnsiTheme="majorHAnsi" w:cstheme="majorHAnsi"/>
        </w:rPr>
        <w:t>elle</w:t>
      </w:r>
      <w:proofErr w:type="spellEnd"/>
      <w:r w:rsidRPr="00B82BDF">
        <w:rPr>
          <w:rFonts w:asciiTheme="majorHAnsi" w:hAnsiTheme="majorHAnsi" w:cstheme="majorHAnsi"/>
        </w:rPr>
        <w:t xml:space="preserve"> </w:t>
      </w:r>
      <w:proofErr w:type="spellStart"/>
      <w:r w:rsidRPr="00B82BDF">
        <w:rPr>
          <w:rFonts w:asciiTheme="majorHAnsi" w:hAnsiTheme="majorHAnsi" w:cstheme="majorHAnsi"/>
        </w:rPr>
        <w:t>rappelle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qu’elle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n’est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pas </w:t>
      </w:r>
      <w:proofErr w:type="spellStart"/>
      <w:r w:rsidRPr="00B82BDF">
        <w:rPr>
          <w:rFonts w:asciiTheme="majorHAnsi" w:hAnsiTheme="majorHAnsi" w:cstheme="majorHAnsi"/>
          <w:color w:val="000000"/>
        </w:rPr>
        <w:t>appelée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à </w:t>
      </w:r>
      <w:proofErr w:type="spellStart"/>
      <w:r w:rsidRPr="00B82BDF">
        <w:rPr>
          <w:rFonts w:asciiTheme="majorHAnsi" w:hAnsiTheme="majorHAnsi" w:cstheme="majorHAnsi"/>
          <w:color w:val="000000"/>
        </w:rPr>
        <w:t>statuer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sur la </w:t>
      </w:r>
      <w:proofErr w:type="spellStart"/>
      <w:r w:rsidRPr="00B82BDF">
        <w:rPr>
          <w:rFonts w:asciiTheme="majorHAnsi" w:hAnsiTheme="majorHAnsi" w:cstheme="majorHAnsi"/>
          <w:color w:val="000000"/>
        </w:rPr>
        <w:t>responsabilité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pénale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des auteurs des faits </w:t>
      </w:r>
      <w:proofErr w:type="spellStart"/>
      <w:r w:rsidRPr="00B82BDF">
        <w:rPr>
          <w:rFonts w:asciiTheme="majorHAnsi" w:hAnsiTheme="majorHAnsi" w:cstheme="majorHAnsi"/>
          <w:color w:val="000000"/>
        </w:rPr>
        <w:t>litigieux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(</w:t>
      </w:r>
      <w:r w:rsidRPr="00B82BDF">
        <w:rPr>
          <w:rFonts w:asciiTheme="majorHAnsi" w:hAnsiTheme="majorHAnsi" w:cstheme="majorHAnsi"/>
          <w:i/>
          <w:iCs/>
          <w:color w:val="000000"/>
        </w:rPr>
        <w:t>M.C. c. </w:t>
      </w:r>
      <w:proofErr w:type="spellStart"/>
      <w:r w:rsidRPr="00B82BDF">
        <w:rPr>
          <w:rFonts w:asciiTheme="majorHAnsi" w:hAnsiTheme="majorHAnsi" w:cstheme="majorHAnsi"/>
          <w:i/>
          <w:iCs/>
          <w:color w:val="000000"/>
        </w:rPr>
        <w:t>Bulgarie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B82BDF">
        <w:rPr>
          <w:rFonts w:asciiTheme="majorHAnsi" w:hAnsiTheme="majorHAnsi" w:cstheme="majorHAnsi"/>
          <w:color w:val="000000"/>
        </w:rPr>
        <w:t>précité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, § 168) et que les </w:t>
      </w:r>
      <w:proofErr w:type="spellStart"/>
      <w:r w:rsidRPr="00B82BDF">
        <w:rPr>
          <w:rFonts w:asciiTheme="majorHAnsi" w:hAnsiTheme="majorHAnsi" w:cstheme="majorHAnsi"/>
          <w:color w:val="000000"/>
        </w:rPr>
        <w:t>constats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qui </w:t>
      </w:r>
      <w:proofErr w:type="spellStart"/>
      <w:r w:rsidRPr="00B82BDF">
        <w:rPr>
          <w:rFonts w:asciiTheme="majorHAnsi" w:hAnsiTheme="majorHAnsi" w:cstheme="majorHAnsi"/>
          <w:color w:val="000000"/>
        </w:rPr>
        <w:t>précèdent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ne </w:t>
      </w:r>
      <w:proofErr w:type="spellStart"/>
      <w:r w:rsidRPr="00B82BDF">
        <w:rPr>
          <w:rFonts w:asciiTheme="majorHAnsi" w:hAnsiTheme="majorHAnsi" w:cstheme="majorHAnsi"/>
          <w:color w:val="000000"/>
        </w:rPr>
        <w:t>sauraient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donc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être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interprétés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comme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un </w:t>
      </w:r>
      <w:proofErr w:type="spellStart"/>
      <w:r w:rsidRPr="00B82BDF">
        <w:rPr>
          <w:rFonts w:asciiTheme="majorHAnsi" w:hAnsiTheme="majorHAnsi" w:cstheme="majorHAnsi"/>
          <w:color w:val="000000"/>
        </w:rPr>
        <w:t>avis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sur la </w:t>
      </w:r>
      <w:proofErr w:type="spellStart"/>
      <w:r w:rsidRPr="00B82BDF">
        <w:rPr>
          <w:rFonts w:asciiTheme="majorHAnsi" w:hAnsiTheme="majorHAnsi" w:cstheme="majorHAnsi"/>
          <w:color w:val="000000"/>
        </w:rPr>
        <w:t>culpabilité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des </w:t>
      </w:r>
      <w:proofErr w:type="spellStart"/>
      <w:r w:rsidRPr="00B82BDF">
        <w:rPr>
          <w:rFonts w:asciiTheme="majorHAnsi" w:hAnsiTheme="majorHAnsi" w:cstheme="majorHAnsi"/>
          <w:color w:val="000000"/>
        </w:rPr>
        <w:t>personnes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mises </w:t>
      </w:r>
      <w:proofErr w:type="spellStart"/>
      <w:r w:rsidRPr="00B82BDF">
        <w:rPr>
          <w:rFonts w:asciiTheme="majorHAnsi" w:hAnsiTheme="majorHAnsi" w:cstheme="majorHAnsi"/>
          <w:color w:val="000000"/>
        </w:rPr>
        <w:t>en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cause </w:t>
      </w:r>
      <w:proofErr w:type="spellStart"/>
      <w:r w:rsidRPr="00B82BDF">
        <w:rPr>
          <w:rFonts w:asciiTheme="majorHAnsi" w:hAnsiTheme="majorHAnsi" w:cstheme="majorHAnsi"/>
          <w:color w:val="000000"/>
        </w:rPr>
        <w:t>en</w:t>
      </w:r>
      <w:proofErr w:type="spellEnd"/>
      <w:r w:rsidRPr="00B82BD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2BDF">
        <w:rPr>
          <w:rFonts w:asciiTheme="majorHAnsi" w:hAnsiTheme="majorHAnsi" w:cstheme="majorHAnsi"/>
          <w:color w:val="000000"/>
        </w:rPr>
        <w:t>l’espèce</w:t>
      </w:r>
      <w:proofErr w:type="spellEnd"/>
      <w:r w:rsidRPr="00B82BDF">
        <w:rPr>
          <w:rFonts w:asciiTheme="majorHAnsi" w:hAnsiTheme="majorHAnsi" w:cstheme="majorHAnsi"/>
          <w:color w:val="000000"/>
        </w:rPr>
        <w:t>.</w:t>
      </w:r>
    </w:p>
    <w:bookmarkStart w:id="48" w:name="paragraph00251"/>
    <w:p w14:paraId="30DBBDA0" w14:textId="77777777" w:rsidR="008A7B1D" w:rsidRPr="00B82BDF" w:rsidRDefault="008A7B1D" w:rsidP="008A7B1D">
      <w:pPr>
        <w:pStyle w:val="ECHRPara"/>
        <w:rPr>
          <w:iCs/>
        </w:rPr>
      </w:pPr>
      <w:r w:rsidRPr="00B82BDF">
        <w:fldChar w:fldCharType="begin"/>
      </w:r>
      <w:r w:rsidRPr="00B82BDF">
        <w:instrText xml:space="preserve"> SEQ level0 \*arabic \* MERGEFORMAT </w:instrText>
      </w:r>
      <w:r w:rsidRPr="00B82BDF">
        <w:fldChar w:fldCharType="separate"/>
      </w:r>
      <w:r w:rsidRPr="00B82BDF">
        <w:rPr>
          <w:noProof/>
        </w:rPr>
        <w:t>251</w:t>
      </w:r>
      <w:r w:rsidRPr="00B82BDF">
        <w:fldChar w:fldCharType="end"/>
      </w:r>
      <w:bookmarkEnd w:id="48"/>
      <w:r w:rsidRPr="00B82BDF">
        <w:t xml:space="preserve">.  La </w:t>
      </w:r>
      <w:proofErr w:type="spellStart"/>
      <w:r w:rsidRPr="00B82BDF">
        <w:t>Cour</w:t>
      </w:r>
      <w:proofErr w:type="spellEnd"/>
      <w:r w:rsidRPr="00B82BDF">
        <w:t xml:space="preserve"> </w:t>
      </w:r>
      <w:proofErr w:type="spellStart"/>
      <w:r w:rsidRPr="00B82BDF">
        <w:t>en</w:t>
      </w:r>
      <w:proofErr w:type="spellEnd"/>
      <w:r w:rsidRPr="00B82BDF">
        <w:t xml:space="preserve"> </w:t>
      </w:r>
      <w:proofErr w:type="spellStart"/>
      <w:r w:rsidRPr="00B82BDF">
        <w:t>conclut</w:t>
      </w:r>
      <w:proofErr w:type="spellEnd"/>
      <w:r w:rsidRPr="00B82BDF">
        <w:t xml:space="preserve"> que </w:t>
      </w:r>
      <w:proofErr w:type="spellStart"/>
      <w:r w:rsidRPr="00B82BDF">
        <w:t>l’État</w:t>
      </w:r>
      <w:proofErr w:type="spellEnd"/>
      <w:r w:rsidRPr="00B82BDF">
        <w:t xml:space="preserve"> </w:t>
      </w:r>
      <w:proofErr w:type="spellStart"/>
      <w:r w:rsidRPr="00B82BDF">
        <w:t>défendeur</w:t>
      </w:r>
      <w:proofErr w:type="spellEnd"/>
      <w:r w:rsidRPr="00B82BDF">
        <w:t xml:space="preserve"> </w:t>
      </w:r>
      <w:proofErr w:type="spellStart"/>
      <w:r w:rsidRPr="00B82BDF">
        <w:t>n’a</w:t>
      </w:r>
      <w:proofErr w:type="spellEnd"/>
      <w:r w:rsidRPr="00B82BDF">
        <w:t xml:space="preserve"> pas </w:t>
      </w:r>
      <w:proofErr w:type="spellStart"/>
      <w:r w:rsidRPr="00B82BDF">
        <w:t>respecté</w:t>
      </w:r>
      <w:proofErr w:type="spellEnd"/>
      <w:r w:rsidRPr="00B82BDF">
        <w:t xml:space="preserve"> </w:t>
      </w:r>
      <w:proofErr w:type="spellStart"/>
      <w:r w:rsidRPr="00B82BDF">
        <w:t>ses</w:t>
      </w:r>
      <w:proofErr w:type="spellEnd"/>
      <w:r w:rsidRPr="00B82BDF">
        <w:t xml:space="preserve"> obligations positives à </w:t>
      </w:r>
      <w:proofErr w:type="spellStart"/>
      <w:r w:rsidRPr="00B82BDF">
        <w:t>l’égard</w:t>
      </w:r>
      <w:proofErr w:type="spellEnd"/>
      <w:r w:rsidRPr="00B82BDF">
        <w:t xml:space="preserve"> des trois </w:t>
      </w:r>
      <w:proofErr w:type="spellStart"/>
      <w:r w:rsidRPr="00B82BDF">
        <w:t>requérantes</w:t>
      </w:r>
      <w:proofErr w:type="spellEnd"/>
      <w:r w:rsidRPr="00B82BDF">
        <w:t xml:space="preserve"> et, </w:t>
      </w:r>
      <w:proofErr w:type="spellStart"/>
      <w:r w:rsidRPr="00B82BDF">
        <w:t>partant</w:t>
      </w:r>
      <w:proofErr w:type="spellEnd"/>
      <w:r w:rsidRPr="00B82BDF">
        <w:t xml:space="preserve">, </w:t>
      </w:r>
      <w:proofErr w:type="spellStart"/>
      <w:r w:rsidRPr="00B82BDF">
        <w:t>qu’il</w:t>
      </w:r>
      <w:proofErr w:type="spellEnd"/>
      <w:r w:rsidRPr="00B82BDF">
        <w:t xml:space="preserve"> y a </w:t>
      </w:r>
      <w:proofErr w:type="spellStart"/>
      <w:r w:rsidRPr="00B82BDF">
        <w:t>eu</w:t>
      </w:r>
      <w:proofErr w:type="spellEnd"/>
      <w:r w:rsidRPr="00B82BDF">
        <w:t xml:space="preserve"> violation des articles 3 et 8 de la Convention dans </w:t>
      </w:r>
      <w:proofErr w:type="spellStart"/>
      <w:r w:rsidRPr="00B82BDF">
        <w:t>chacune</w:t>
      </w:r>
      <w:proofErr w:type="spellEnd"/>
      <w:r w:rsidRPr="00B82BDF">
        <w:t xml:space="preserve"> des trois </w:t>
      </w:r>
      <w:proofErr w:type="spellStart"/>
      <w:r w:rsidRPr="00B82BDF">
        <w:t>requêtes</w:t>
      </w:r>
      <w:proofErr w:type="spellEnd"/>
      <w:r w:rsidRPr="00B82BDF">
        <w:t>.</w:t>
      </w:r>
    </w:p>
    <w:p w14:paraId="79065DDE" w14:textId="77777777" w:rsidR="008A7B1D" w:rsidRPr="00B82BDF" w:rsidRDefault="008A7B1D" w:rsidP="008A7B1D">
      <w:pPr>
        <w:pStyle w:val="ECHRPara"/>
        <w:rPr>
          <w:iCs/>
        </w:rPr>
      </w:pPr>
      <w:r w:rsidRPr="00B82BDF">
        <w:rPr>
          <w:iCs/>
          <w:lang w:bidi="en-US"/>
        </w:rPr>
        <w:fldChar w:fldCharType="begin"/>
      </w:r>
      <w:r w:rsidRPr="00B82BDF">
        <w:rPr>
          <w:iCs/>
          <w:lang w:bidi="en-US"/>
        </w:rPr>
        <w:instrText xml:space="preserve"> SEQ level0 \*arabic \* MERGEFORMAT </w:instrText>
      </w:r>
      <w:r w:rsidRPr="00B82BDF">
        <w:rPr>
          <w:iCs/>
          <w:lang w:bidi="en-US"/>
        </w:rPr>
        <w:fldChar w:fldCharType="separate"/>
      </w:r>
      <w:r w:rsidRPr="00B82BDF">
        <w:rPr>
          <w:iCs/>
          <w:noProof/>
          <w:lang w:bidi="en-US"/>
        </w:rPr>
        <w:t>252</w:t>
      </w:r>
      <w:r w:rsidRPr="00B82BDF">
        <w:rPr>
          <w:lang w:bidi="en-US"/>
        </w:rPr>
        <w:fldChar w:fldCharType="end"/>
      </w:r>
      <w:r w:rsidRPr="00B82BDF">
        <w:rPr>
          <w:iCs/>
          <w:lang w:bidi="en-US"/>
        </w:rPr>
        <w:t xml:space="preserve">.  Elle </w:t>
      </w:r>
      <w:proofErr w:type="spellStart"/>
      <w:r w:rsidRPr="00B82BDF">
        <w:rPr>
          <w:iCs/>
          <w:lang w:bidi="en-US"/>
        </w:rPr>
        <w:t>conclut</w:t>
      </w:r>
      <w:proofErr w:type="spellEnd"/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également</w:t>
      </w:r>
      <w:proofErr w:type="spellEnd"/>
      <w:r w:rsidRPr="00B82BDF">
        <w:rPr>
          <w:iCs/>
          <w:lang w:bidi="en-US"/>
        </w:rPr>
        <w:t xml:space="preserve">, </w:t>
      </w:r>
      <w:proofErr w:type="spellStart"/>
      <w:r w:rsidRPr="00B82BDF">
        <w:rPr>
          <w:iCs/>
          <w:lang w:bidi="en-US"/>
        </w:rPr>
        <w:t>s’agissant</w:t>
      </w:r>
      <w:proofErr w:type="spellEnd"/>
      <w:r w:rsidRPr="00B82BDF">
        <w:rPr>
          <w:iCs/>
          <w:lang w:bidi="en-US"/>
        </w:rPr>
        <w:t xml:space="preserve"> de la </w:t>
      </w:r>
      <w:proofErr w:type="spellStart"/>
      <w:r w:rsidRPr="00B82BDF">
        <w:rPr>
          <w:lang w:bidi="en-US"/>
        </w:rPr>
        <w:t>requête</w:t>
      </w:r>
      <w:proofErr w:type="spellEnd"/>
      <w:r w:rsidRPr="00B82BDF">
        <w:rPr>
          <w:lang w:bidi="en-US"/>
        </w:rPr>
        <w:t xml:space="preserve"> de L. (n</w:t>
      </w:r>
      <w:r w:rsidRPr="00B82BDF">
        <w:rPr>
          <w:vertAlign w:val="superscript"/>
          <w:lang w:bidi="en-US"/>
        </w:rPr>
        <w:t>o</w:t>
      </w:r>
      <w:r w:rsidRPr="00B82BDF">
        <w:rPr>
          <w:lang w:bidi="en-US"/>
        </w:rPr>
        <w:t> 46949/21) (</w:t>
      </w:r>
      <w:proofErr w:type="spellStart"/>
      <w:r w:rsidRPr="00B82BDF">
        <w:rPr>
          <w:lang w:bidi="en-US"/>
        </w:rPr>
        <w:t>paragraphe</w:t>
      </w:r>
      <w:proofErr w:type="spellEnd"/>
      <w:r w:rsidRPr="00B82BDF">
        <w:rPr>
          <w:lang w:bidi="en-US"/>
        </w:rPr>
        <w:t> </w:t>
      </w:r>
      <w:r w:rsidRPr="00B82BDF">
        <w:rPr>
          <w:lang w:bidi="en-US"/>
        </w:rPr>
        <w:fldChar w:fldCharType="begin"/>
      </w:r>
      <w:r w:rsidRPr="00B82BDF">
        <w:rPr>
          <w:lang w:bidi="en-US"/>
        </w:rPr>
        <w:instrText xml:space="preserve">REF paragraph00230 \h \* CharFormat </w:instrText>
      </w:r>
      <w:r w:rsidRPr="00B82BDF">
        <w:rPr>
          <w:lang w:bidi="en-US"/>
        </w:rPr>
      </w:r>
      <w:r w:rsidRPr="00B82BDF">
        <w:rPr>
          <w:lang w:bidi="en-US"/>
        </w:rPr>
        <w:fldChar w:fldCharType="separate"/>
      </w:r>
      <w:r w:rsidRPr="00B82BDF">
        <w:rPr>
          <w:lang w:bidi="en-US"/>
        </w:rPr>
        <w:t>230</w:t>
      </w:r>
      <w:r w:rsidRPr="00B82BDF">
        <w:rPr>
          <w:lang w:bidi="en-US"/>
        </w:rPr>
        <w:fldChar w:fldCharType="end"/>
      </w:r>
      <w:r w:rsidRPr="00B82BDF">
        <w:rPr>
          <w:lang w:bidi="en-US"/>
        </w:rPr>
        <w:t xml:space="preserve"> ci-dessus),</w:t>
      </w:r>
      <w:r w:rsidRPr="00B82BDF">
        <w:rPr>
          <w:iCs/>
          <w:lang w:bidi="en-US"/>
        </w:rPr>
        <w:t xml:space="preserve"> </w:t>
      </w:r>
      <w:proofErr w:type="spellStart"/>
      <w:r w:rsidRPr="00B82BDF">
        <w:rPr>
          <w:iCs/>
          <w:lang w:bidi="en-US"/>
        </w:rPr>
        <w:t>qu’il</w:t>
      </w:r>
      <w:proofErr w:type="spellEnd"/>
      <w:r w:rsidRPr="00B82BDF">
        <w:rPr>
          <w:iCs/>
          <w:lang w:bidi="en-US"/>
        </w:rPr>
        <w:t xml:space="preserve"> y a </w:t>
      </w:r>
      <w:proofErr w:type="spellStart"/>
      <w:r w:rsidRPr="00B82BDF">
        <w:rPr>
          <w:iCs/>
          <w:lang w:bidi="en-US"/>
        </w:rPr>
        <w:t>eu</w:t>
      </w:r>
      <w:proofErr w:type="spellEnd"/>
      <w:r w:rsidRPr="00B82BDF">
        <w:rPr>
          <w:iCs/>
          <w:lang w:bidi="en-US"/>
        </w:rPr>
        <w:t xml:space="preserve"> violation de </w:t>
      </w:r>
      <w:proofErr w:type="spellStart"/>
      <w:r w:rsidRPr="00B82BDF">
        <w:rPr>
          <w:iCs/>
          <w:lang w:bidi="en-US"/>
        </w:rPr>
        <w:t>l’article</w:t>
      </w:r>
      <w:proofErr w:type="spellEnd"/>
      <w:r w:rsidRPr="00B82BDF">
        <w:rPr>
          <w:iCs/>
          <w:lang w:bidi="en-US"/>
        </w:rPr>
        <w:t xml:space="preserve"> 14 </w:t>
      </w:r>
      <w:proofErr w:type="spellStart"/>
      <w:r w:rsidRPr="00B82BDF">
        <w:rPr>
          <w:iCs/>
          <w:lang w:bidi="en-US"/>
        </w:rPr>
        <w:t>combiné</w:t>
      </w:r>
      <w:proofErr w:type="spellEnd"/>
      <w:r w:rsidRPr="00B82BDF">
        <w:rPr>
          <w:iCs/>
          <w:lang w:bidi="en-US"/>
        </w:rPr>
        <w:t xml:space="preserve"> avec les articles 3 et 8 </w:t>
      </w:r>
      <w:proofErr w:type="spellStart"/>
      <w:r w:rsidRPr="00B82BDF">
        <w:rPr>
          <w:iCs/>
          <w:lang w:bidi="en-US"/>
        </w:rPr>
        <w:t>précités</w:t>
      </w:r>
      <w:proofErr w:type="spellEnd"/>
      <w:r w:rsidRPr="00B82BDF">
        <w:rPr>
          <w:iCs/>
          <w:lang w:bidi="en-US"/>
        </w:rPr>
        <w:t>.</w:t>
      </w:r>
    </w:p>
    <w:sectPr w:rsidR="008A7B1D" w:rsidRPr="00B82BDF" w:rsidSect="00A42F40">
      <w:headerReference w:type="even" r:id="rId19"/>
      <w:headerReference w:type="default" r:id="rId20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0F61" w14:textId="77777777" w:rsidR="005F1A4F" w:rsidRDefault="005F1A4F">
      <w:r>
        <w:separator/>
      </w:r>
    </w:p>
  </w:endnote>
  <w:endnote w:type="continuationSeparator" w:id="0">
    <w:p w14:paraId="28ADD654" w14:textId="77777777" w:rsidR="005F1A4F" w:rsidRDefault="005F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E772" w14:textId="77777777" w:rsidR="005D5C86" w:rsidRPr="00F25EFC" w:rsidRDefault="005D5C86" w:rsidP="00954AD6">
    <w:pPr>
      <w:pStyle w:val="ECHR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79A" w14:textId="77777777" w:rsidR="005D5C86" w:rsidRPr="00150BFA" w:rsidRDefault="005D5C86" w:rsidP="0020718E">
    <w:pPr>
      <w:jc w:val="center"/>
    </w:pPr>
    <w:r>
      <w:rPr>
        <w:noProof/>
        <w:lang w:val="en-US"/>
      </w:rPr>
      <w:drawing>
        <wp:inline distT="0" distB="0" distL="0" distR="0" wp14:anchorId="7B10439B" wp14:editId="39FE8034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12CD4" w14:textId="77777777" w:rsidR="005D5C86" w:rsidRPr="00F25EFC" w:rsidRDefault="005D5C86" w:rsidP="00F27D13">
    <w:pPr>
      <w:pStyle w:val="Pieddepage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D9ED" w14:textId="399FCB4F" w:rsidR="005D5C86" w:rsidRPr="00150BFA" w:rsidRDefault="005D5C86" w:rsidP="0020718E">
    <w:pPr>
      <w:jc w:val="center"/>
    </w:pPr>
  </w:p>
  <w:p w14:paraId="212D2C6C" w14:textId="77777777" w:rsidR="005D5C86" w:rsidRPr="00F25EFC" w:rsidRDefault="005D5C86" w:rsidP="00902601">
    <w:pPr>
      <w:pStyle w:val="Pieddepage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36475"/>
      <w:docPartObj>
        <w:docPartGallery w:val="Page Numbers (Bottom of Page)"/>
        <w:docPartUnique/>
      </w:docPartObj>
    </w:sdtPr>
    <w:sdtContent>
      <w:p w14:paraId="5702B4E7" w14:textId="77777777" w:rsidR="008A7B1D" w:rsidRDefault="008A7B1D" w:rsidP="00A64699">
        <w:pPr>
          <w:pStyle w:val="Pieddepage"/>
        </w:pPr>
        <w:r>
          <w:tab/>
          <w:t>1</w:t>
        </w:r>
      </w:p>
    </w:sdtContent>
  </w:sdt>
  <w:p w14:paraId="1DE2DF6E" w14:textId="77777777" w:rsidR="008A7B1D" w:rsidRDefault="008A7B1D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478522"/>
      <w:docPartObj>
        <w:docPartGallery w:val="Page Numbers (Bottom of Page)"/>
        <w:docPartUnique/>
      </w:docPartObj>
    </w:sdtPr>
    <w:sdtContent>
      <w:p w14:paraId="246996D7" w14:textId="77777777" w:rsidR="008A7B1D" w:rsidRDefault="008A7B1D" w:rsidP="00A64699">
        <w:pPr>
          <w:pStyle w:val="Pieddepage"/>
        </w:pPr>
        <w:r>
          <w:tab/>
        </w:r>
        <w:r>
          <w:fldChar w:fldCharType="begin"/>
        </w:r>
        <w:r w:rsidRPr="00F921AB">
          <w:instrText xml:space="preserve"> PAGE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1CC7054" w14:textId="77777777" w:rsidR="008A7B1D" w:rsidRDefault="008A7B1D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A3DA" w14:textId="77777777" w:rsidR="008A7B1D" w:rsidRDefault="008A7B1D" w:rsidP="00DB026A">
    <w:pPr>
      <w:pStyle w:val="Pieddepage"/>
      <w:jc w:val="center"/>
    </w:pPr>
    <w:r>
      <w:rPr>
        <w:noProof/>
        <w:lang w:val="en-US"/>
      </w:rPr>
      <w:drawing>
        <wp:inline distT="0" distB="0" distL="0" distR="0" wp14:anchorId="2BCCA8F5" wp14:editId="657A806A">
          <wp:extent cx="771525" cy="619125"/>
          <wp:effectExtent l="0" t="0" r="9525" b="9525"/>
          <wp:docPr id="9" name="Picture 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674D" w14:textId="77777777" w:rsidR="005F1A4F" w:rsidRDefault="005F1A4F">
      <w:r>
        <w:separator/>
      </w:r>
    </w:p>
  </w:footnote>
  <w:footnote w:type="continuationSeparator" w:id="0">
    <w:p w14:paraId="6A033BC9" w14:textId="77777777" w:rsidR="005F1A4F" w:rsidRDefault="005F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2ECB" w14:textId="77777777" w:rsidR="005D5C86" w:rsidRPr="00A45145" w:rsidRDefault="005D5C86" w:rsidP="00A45145">
    <w:pPr>
      <w:jc w:val="center"/>
    </w:pPr>
    <w:r>
      <w:rPr>
        <w:noProof/>
        <w:lang w:val="en-US"/>
      </w:rPr>
      <w:drawing>
        <wp:inline distT="0" distB="0" distL="0" distR="0" wp14:anchorId="780EBED2" wp14:editId="68BB78A5">
          <wp:extent cx="2962275" cy="1219200"/>
          <wp:effectExtent l="0" t="0" r="9525" b="0"/>
          <wp:docPr id="141" name="Picture 14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AF79D" w14:textId="77777777" w:rsidR="005D5C86" w:rsidRPr="00F25EFC" w:rsidRDefault="005D5C86" w:rsidP="009840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4DCA" w14:textId="424775E8" w:rsidR="005D5C86" w:rsidRPr="00A45145" w:rsidRDefault="005D5C86" w:rsidP="00A45145">
    <w:pPr>
      <w:jc w:val="center"/>
    </w:pPr>
  </w:p>
  <w:p w14:paraId="4FD3FA8D" w14:textId="77777777" w:rsidR="005D5C86" w:rsidRPr="00F25EFC" w:rsidRDefault="005D5C86" w:rsidP="00902601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BE" w14:textId="77777777" w:rsidR="008A7B1D" w:rsidRPr="00F40416" w:rsidRDefault="008A7B1D" w:rsidP="00A21624">
    <w:pPr>
      <w:pStyle w:val="ECHRHeader"/>
    </w:pPr>
    <w:r w:rsidRPr="00F40416">
      <w:t>ARR</w:t>
    </w:r>
    <w:r>
      <w:t>Ê</w:t>
    </w:r>
    <w:r w:rsidRPr="00F40416">
      <w:t>T L ET AUTRES. c. FRANCE</w:t>
    </w:r>
    <w:r w:rsidRPr="00F40416"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8842" w14:textId="77777777" w:rsidR="008A7B1D" w:rsidRPr="00F40416" w:rsidRDefault="008A7B1D" w:rsidP="00DB026A">
    <w:pPr>
      <w:pStyle w:val="ECHRHeader"/>
    </w:pPr>
    <w:r w:rsidRPr="00F40416">
      <w:t>ARR</w:t>
    </w:r>
    <w:r>
      <w:t>Ê</w:t>
    </w:r>
    <w:r w:rsidRPr="00F40416">
      <w:t>T L ET AUTRES. c. FRANCE</w:t>
    </w:r>
  </w:p>
  <w:p w14:paraId="0CC21988" w14:textId="77777777" w:rsidR="008A7B1D" w:rsidRPr="00DB026A" w:rsidRDefault="008A7B1D" w:rsidP="00DB026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AE07" w14:textId="77777777" w:rsidR="008A7B1D" w:rsidRDefault="008A7B1D" w:rsidP="00DB026A">
    <w:pPr>
      <w:pStyle w:val="En-tte"/>
      <w:jc w:val="center"/>
    </w:pPr>
    <w:r>
      <w:rPr>
        <w:noProof/>
        <w:lang w:val="en-US"/>
      </w:rPr>
      <w:drawing>
        <wp:inline distT="0" distB="0" distL="0" distR="0" wp14:anchorId="3ECB23F2" wp14:editId="122EE324">
          <wp:extent cx="2962275" cy="1219200"/>
          <wp:effectExtent l="0" t="0" r="9525" b="0"/>
          <wp:docPr id="17" name="Picture 1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25F" w14:textId="77777777" w:rsidR="002F3776" w:rsidRPr="00DE0CDA" w:rsidRDefault="005F1A4F" w:rsidP="00C611D8">
    <w:pPr>
      <w:pStyle w:val="ECHRHeader"/>
      <w:rPr>
        <w:lang w:val="fr-FR"/>
      </w:rPr>
    </w:pPr>
    <w:r>
      <w:rPr>
        <w:rStyle w:val="Numrodepage"/>
        <w:lang w:val="fr-FR"/>
      </w:rPr>
      <w:fldChar w:fldCharType="begin"/>
    </w:r>
    <w:r>
      <w:rPr>
        <w:rStyle w:val="Numrodepage"/>
        <w:lang w:val="fr-FR"/>
      </w:rPr>
      <w:instrText xml:space="preserve"> PAGE </w:instrText>
    </w:r>
    <w:r>
      <w:rPr>
        <w:rStyle w:val="Numrodepage"/>
        <w:lang w:val="fr-FR"/>
      </w:rPr>
      <w:fldChar w:fldCharType="separate"/>
    </w:r>
    <w:r w:rsidR="0018148A">
      <w:rPr>
        <w:rStyle w:val="Numrodepage"/>
        <w:noProof/>
        <w:lang w:val="fr-FR"/>
      </w:rPr>
      <w:t>10</w:t>
    </w:r>
    <w:r>
      <w:rPr>
        <w:rStyle w:val="Numrodepage"/>
        <w:lang w:val="fr-FR"/>
      </w:rPr>
      <w:fldChar w:fldCharType="end"/>
    </w:r>
    <w:r w:rsidRPr="00DE0CDA">
      <w:rPr>
        <w:rStyle w:val="Numrodepage"/>
        <w:lang w:val="fr-FR"/>
      </w:rPr>
      <w:tab/>
    </w:r>
    <w:r>
      <w:rPr>
        <w:noProof/>
        <w:lang w:val="fr-FR"/>
      </w:rPr>
      <w:t>ARRÊT</w:t>
    </w:r>
    <w:r>
      <w:rPr>
        <w:lang w:val="fr-FR"/>
      </w:rPr>
      <w:t xml:space="preserve"> LAURENT c. FRANCE</w:t>
    </w:r>
  </w:p>
  <w:p w14:paraId="34629AC8" w14:textId="77777777" w:rsidR="00000000" w:rsidRDefault="005F1A4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0DA0" w14:textId="77777777" w:rsidR="002F3776" w:rsidRPr="00DE0CDA" w:rsidRDefault="005F1A4F" w:rsidP="00C63990">
    <w:pPr>
      <w:pStyle w:val="ECHRHeader"/>
      <w:rPr>
        <w:lang w:val="fr-FR"/>
      </w:rPr>
    </w:pPr>
    <w:r w:rsidRPr="00DE0CDA">
      <w:rPr>
        <w:lang w:val="fr-FR"/>
      </w:rPr>
      <w:tab/>
    </w:r>
    <w:r>
      <w:rPr>
        <w:noProof/>
        <w:lang w:val="fr-FR"/>
      </w:rPr>
      <w:t>ARRÊT</w:t>
    </w:r>
    <w:r>
      <w:rPr>
        <w:lang w:val="fr-FR"/>
      </w:rPr>
      <w:t xml:space="preserve"> LAURENT c. FRANCE</w:t>
    </w:r>
    <w:r w:rsidRPr="00DE0CDA">
      <w:rPr>
        <w:lang w:val="fr-FR"/>
      </w:rPr>
      <w:tab/>
    </w:r>
    <w:r>
      <w:rPr>
        <w:rStyle w:val="Numrodepage"/>
        <w:lang w:val="fr-FR"/>
      </w:rPr>
      <w:fldChar w:fldCharType="begin"/>
    </w:r>
    <w:r>
      <w:rPr>
        <w:rStyle w:val="Numrodepage"/>
        <w:lang w:val="fr-FR"/>
      </w:rPr>
      <w:instrText xml:space="preserve"> PAGE </w:instrText>
    </w:r>
    <w:r>
      <w:rPr>
        <w:rStyle w:val="Numrodepage"/>
        <w:lang w:val="fr-FR"/>
      </w:rPr>
      <w:fldChar w:fldCharType="separate"/>
    </w:r>
    <w:r w:rsidR="0018148A">
      <w:rPr>
        <w:rStyle w:val="Numrodepage"/>
        <w:noProof/>
        <w:lang w:val="fr-FR"/>
      </w:rPr>
      <w:t>9</w:t>
    </w:r>
    <w:r>
      <w:rPr>
        <w:rStyle w:val="Numrodepage"/>
        <w:lang w:val="fr-FR"/>
      </w:rPr>
      <w:fldChar w:fldCharType="end"/>
    </w:r>
  </w:p>
  <w:p w14:paraId="6EB1354B" w14:textId="77777777" w:rsidR="00000000" w:rsidRDefault="005F1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A222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89B2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4301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68F2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0A71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8292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AD3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501D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43E0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EA0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8750E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0F5BFC"/>
    <w:multiLevelType w:val="multilevel"/>
    <w:tmpl w:val="EE20E2DE"/>
    <w:lvl w:ilvl="0">
      <w:start w:val="1"/>
      <w:numFmt w:val="none"/>
      <w:pStyle w:val="JuHeaderLandscap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ITMark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List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Listi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ECHRHeading1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ECHRHeading2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NAMES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ECHRDecisionBody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A1StyleBulletedSquare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7063F06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D5546B"/>
    <w:multiLevelType w:val="multilevel"/>
    <w:tmpl w:val="7222064C"/>
    <w:styleLink w:val="ECHRA1Style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98544F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5D7306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7FD1241"/>
    <w:multiLevelType w:val="hybridMultilevel"/>
    <w:tmpl w:val="F6D86CC2"/>
    <w:lvl w:ilvl="0" w:tplc="7ECCEA0E">
      <w:start w:val="1"/>
      <w:numFmt w:val="bullet"/>
      <w:pStyle w:val="Liste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DA44EE0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F5AE17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89EA692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BFA18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4A341AA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04A553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D52FE2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600512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705A6B"/>
    <w:multiLevelType w:val="hybridMultilevel"/>
    <w:tmpl w:val="14CA0AE6"/>
    <w:lvl w:ilvl="0" w:tplc="A89AD0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E588D3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44A27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94C4D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626FB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68236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FCF07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82E0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A6AC20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0EC5FBA"/>
    <w:multiLevelType w:val="hybridMultilevel"/>
    <w:tmpl w:val="5D1A043A"/>
    <w:lvl w:ilvl="0" w:tplc="26063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60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60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8D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E6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C9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B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26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61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C54F2"/>
    <w:multiLevelType w:val="multilevel"/>
    <w:tmpl w:val="7222064C"/>
    <w:numStyleLink w:val="ECHRA1StyleList"/>
  </w:abstractNum>
  <w:abstractNum w:abstractNumId="22" w15:restartNumberingAfterBreak="0">
    <w:nsid w:val="72557906"/>
    <w:multiLevelType w:val="hybridMultilevel"/>
    <w:tmpl w:val="B470A86C"/>
    <w:lvl w:ilvl="0" w:tplc="7AF22A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1F6E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06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E3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81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E9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0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00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18"/>
  </w:num>
  <w:num w:numId="21">
    <w:abstractNumId w:val="11"/>
  </w:num>
  <w:num w:numId="22">
    <w:abstractNumId w:val="14"/>
  </w:num>
  <w:num w:numId="23">
    <w:abstractNumId w:val="13"/>
  </w:num>
  <w:num w:numId="24">
    <w:abstractNumId w:val="15"/>
  </w:num>
  <w:num w:numId="25">
    <w:abstractNumId w:val="21"/>
  </w:num>
  <w:num w:numId="26">
    <w:abstractNumId w:val="16"/>
  </w:num>
  <w:num w:numId="27">
    <w:abstractNumId w:val="20"/>
  </w:num>
  <w:num w:numId="28">
    <w:abstractNumId w:val="2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MM" w:val="0"/>
    <w:docVar w:name="NBEMMDOC" w:val="0"/>
  </w:docVars>
  <w:rsids>
    <w:rsidRoot w:val="000F7410"/>
    <w:rsid w:val="000041F8"/>
    <w:rsid w:val="000042A8"/>
    <w:rsid w:val="00004308"/>
    <w:rsid w:val="00005BF0"/>
    <w:rsid w:val="00007154"/>
    <w:rsid w:val="000103AE"/>
    <w:rsid w:val="00011D69"/>
    <w:rsid w:val="00012AD3"/>
    <w:rsid w:val="00015C2D"/>
    <w:rsid w:val="00015F00"/>
    <w:rsid w:val="00022C1D"/>
    <w:rsid w:val="00025879"/>
    <w:rsid w:val="00031347"/>
    <w:rsid w:val="00034772"/>
    <w:rsid w:val="00034987"/>
    <w:rsid w:val="00035334"/>
    <w:rsid w:val="00043A74"/>
    <w:rsid w:val="000602DF"/>
    <w:rsid w:val="00060790"/>
    <w:rsid w:val="00061B05"/>
    <w:rsid w:val="000632D5"/>
    <w:rsid w:val="000644EE"/>
    <w:rsid w:val="00066A71"/>
    <w:rsid w:val="00067922"/>
    <w:rsid w:val="000925AD"/>
    <w:rsid w:val="000A24EB"/>
    <w:rsid w:val="000A3652"/>
    <w:rsid w:val="000B6923"/>
    <w:rsid w:val="000B7DF1"/>
    <w:rsid w:val="000C5F3C"/>
    <w:rsid w:val="000C6475"/>
    <w:rsid w:val="000C6DCC"/>
    <w:rsid w:val="000D47AA"/>
    <w:rsid w:val="000D721F"/>
    <w:rsid w:val="000E069B"/>
    <w:rsid w:val="000E0E82"/>
    <w:rsid w:val="000E1DC5"/>
    <w:rsid w:val="000E223F"/>
    <w:rsid w:val="000E2430"/>
    <w:rsid w:val="000E2C55"/>
    <w:rsid w:val="000E5A6B"/>
    <w:rsid w:val="000E7D45"/>
    <w:rsid w:val="000F00EF"/>
    <w:rsid w:val="000F42DA"/>
    <w:rsid w:val="000F7410"/>
    <w:rsid w:val="000F7851"/>
    <w:rsid w:val="00101668"/>
    <w:rsid w:val="00103D3D"/>
    <w:rsid w:val="00104E23"/>
    <w:rsid w:val="00111B0C"/>
    <w:rsid w:val="00115722"/>
    <w:rsid w:val="00116DC2"/>
    <w:rsid w:val="00120D6C"/>
    <w:rsid w:val="00125386"/>
    <w:rsid w:val="001257EC"/>
    <w:rsid w:val="00130B8E"/>
    <w:rsid w:val="00132695"/>
    <w:rsid w:val="00133D33"/>
    <w:rsid w:val="00134D64"/>
    <w:rsid w:val="00135A30"/>
    <w:rsid w:val="0013612C"/>
    <w:rsid w:val="00137FF6"/>
    <w:rsid w:val="00141650"/>
    <w:rsid w:val="00141992"/>
    <w:rsid w:val="00141CFC"/>
    <w:rsid w:val="001454F9"/>
    <w:rsid w:val="001456AE"/>
    <w:rsid w:val="00150BFA"/>
    <w:rsid w:val="001516A3"/>
    <w:rsid w:val="001560DC"/>
    <w:rsid w:val="00160168"/>
    <w:rsid w:val="0016174F"/>
    <w:rsid w:val="001619D7"/>
    <w:rsid w:val="00162A12"/>
    <w:rsid w:val="00163CB4"/>
    <w:rsid w:val="001641A7"/>
    <w:rsid w:val="00166530"/>
    <w:rsid w:val="0018148A"/>
    <w:rsid w:val="001832BD"/>
    <w:rsid w:val="0018541C"/>
    <w:rsid w:val="00186818"/>
    <w:rsid w:val="0019002D"/>
    <w:rsid w:val="001943B5"/>
    <w:rsid w:val="00194720"/>
    <w:rsid w:val="00195134"/>
    <w:rsid w:val="0019607A"/>
    <w:rsid w:val="001A145B"/>
    <w:rsid w:val="001A35F8"/>
    <w:rsid w:val="001A3EF2"/>
    <w:rsid w:val="001A674C"/>
    <w:rsid w:val="001B0379"/>
    <w:rsid w:val="001B13C9"/>
    <w:rsid w:val="001B3B24"/>
    <w:rsid w:val="001B64E4"/>
    <w:rsid w:val="001B7851"/>
    <w:rsid w:val="001C0F98"/>
    <w:rsid w:val="001C2A42"/>
    <w:rsid w:val="001C3531"/>
    <w:rsid w:val="001C41FA"/>
    <w:rsid w:val="001D63ED"/>
    <w:rsid w:val="001D6AD1"/>
    <w:rsid w:val="001D7348"/>
    <w:rsid w:val="001E035B"/>
    <w:rsid w:val="001E0961"/>
    <w:rsid w:val="001E0B6D"/>
    <w:rsid w:val="001E3EAE"/>
    <w:rsid w:val="001E6F32"/>
    <w:rsid w:val="001F2145"/>
    <w:rsid w:val="001F4E43"/>
    <w:rsid w:val="001F6262"/>
    <w:rsid w:val="001F67B0"/>
    <w:rsid w:val="001F6F11"/>
    <w:rsid w:val="001F7B3D"/>
    <w:rsid w:val="00205F9F"/>
    <w:rsid w:val="002061B7"/>
    <w:rsid w:val="00210338"/>
    <w:rsid w:val="002115FC"/>
    <w:rsid w:val="00213A89"/>
    <w:rsid w:val="0021423C"/>
    <w:rsid w:val="002201BA"/>
    <w:rsid w:val="00230D00"/>
    <w:rsid w:val="00231DF7"/>
    <w:rsid w:val="00231FD1"/>
    <w:rsid w:val="002339E0"/>
    <w:rsid w:val="00233CF8"/>
    <w:rsid w:val="0023575D"/>
    <w:rsid w:val="00237148"/>
    <w:rsid w:val="0024222D"/>
    <w:rsid w:val="00243432"/>
    <w:rsid w:val="00244B0E"/>
    <w:rsid w:val="00244F6C"/>
    <w:rsid w:val="00246ABB"/>
    <w:rsid w:val="002532C5"/>
    <w:rsid w:val="00254CF8"/>
    <w:rsid w:val="00260C03"/>
    <w:rsid w:val="0026540E"/>
    <w:rsid w:val="00275123"/>
    <w:rsid w:val="002803DC"/>
    <w:rsid w:val="00282240"/>
    <w:rsid w:val="00284043"/>
    <w:rsid w:val="00291379"/>
    <w:rsid w:val="002948AD"/>
    <w:rsid w:val="00294D49"/>
    <w:rsid w:val="00295120"/>
    <w:rsid w:val="00297719"/>
    <w:rsid w:val="002A01CC"/>
    <w:rsid w:val="002A2E56"/>
    <w:rsid w:val="002A61B1"/>
    <w:rsid w:val="002A663C"/>
    <w:rsid w:val="002B00E6"/>
    <w:rsid w:val="002B339D"/>
    <w:rsid w:val="002B444B"/>
    <w:rsid w:val="002B5887"/>
    <w:rsid w:val="002C0E27"/>
    <w:rsid w:val="002C3040"/>
    <w:rsid w:val="002C41E7"/>
    <w:rsid w:val="002C58D7"/>
    <w:rsid w:val="002D022D"/>
    <w:rsid w:val="002D0A92"/>
    <w:rsid w:val="002D10FF"/>
    <w:rsid w:val="002D23B6"/>
    <w:rsid w:val="002D24BB"/>
    <w:rsid w:val="002E02CB"/>
    <w:rsid w:val="002F0928"/>
    <w:rsid w:val="002F2AF7"/>
    <w:rsid w:val="002F3776"/>
    <w:rsid w:val="002F4652"/>
    <w:rsid w:val="002F7E1C"/>
    <w:rsid w:val="00301A75"/>
    <w:rsid w:val="00302F70"/>
    <w:rsid w:val="0030336F"/>
    <w:rsid w:val="0030375E"/>
    <w:rsid w:val="00312A30"/>
    <w:rsid w:val="003175BA"/>
    <w:rsid w:val="00320F72"/>
    <w:rsid w:val="00321DC9"/>
    <w:rsid w:val="0032463E"/>
    <w:rsid w:val="003252F0"/>
    <w:rsid w:val="00326224"/>
    <w:rsid w:val="00337EE4"/>
    <w:rsid w:val="00340FFD"/>
    <w:rsid w:val="00347339"/>
    <w:rsid w:val="003506B1"/>
    <w:rsid w:val="00354F8C"/>
    <w:rsid w:val="00356AC7"/>
    <w:rsid w:val="00360179"/>
    <w:rsid w:val="003609FA"/>
    <w:rsid w:val="003710C8"/>
    <w:rsid w:val="003750BE"/>
    <w:rsid w:val="00384D70"/>
    <w:rsid w:val="00387B9D"/>
    <w:rsid w:val="0039364F"/>
    <w:rsid w:val="00396686"/>
    <w:rsid w:val="0039778E"/>
    <w:rsid w:val="003A1379"/>
    <w:rsid w:val="003B2814"/>
    <w:rsid w:val="003B4941"/>
    <w:rsid w:val="003C5714"/>
    <w:rsid w:val="003C6B9F"/>
    <w:rsid w:val="003C6E2A"/>
    <w:rsid w:val="003D0299"/>
    <w:rsid w:val="003E32A0"/>
    <w:rsid w:val="003E6D80"/>
    <w:rsid w:val="003F05FA"/>
    <w:rsid w:val="003F244A"/>
    <w:rsid w:val="003F30B8"/>
    <w:rsid w:val="003F4C45"/>
    <w:rsid w:val="003F5F7B"/>
    <w:rsid w:val="003F7D64"/>
    <w:rsid w:val="0040739D"/>
    <w:rsid w:val="00414300"/>
    <w:rsid w:val="00414623"/>
    <w:rsid w:val="004147EA"/>
    <w:rsid w:val="00425C67"/>
    <w:rsid w:val="00427E7A"/>
    <w:rsid w:val="00434EC4"/>
    <w:rsid w:val="00436C49"/>
    <w:rsid w:val="00445366"/>
    <w:rsid w:val="00447F5B"/>
    <w:rsid w:val="0045067D"/>
    <w:rsid w:val="00450E7A"/>
    <w:rsid w:val="00461DB0"/>
    <w:rsid w:val="00463926"/>
    <w:rsid w:val="00464C9A"/>
    <w:rsid w:val="004741F5"/>
    <w:rsid w:val="00474239"/>
    <w:rsid w:val="00474F3D"/>
    <w:rsid w:val="00475964"/>
    <w:rsid w:val="004763E8"/>
    <w:rsid w:val="00477E3A"/>
    <w:rsid w:val="00483E5F"/>
    <w:rsid w:val="00485FF9"/>
    <w:rsid w:val="0048758B"/>
    <w:rsid w:val="004907F0"/>
    <w:rsid w:val="004911D4"/>
    <w:rsid w:val="0049140B"/>
    <w:rsid w:val="004923A5"/>
    <w:rsid w:val="0049647E"/>
    <w:rsid w:val="00496BFB"/>
    <w:rsid w:val="004A15C7"/>
    <w:rsid w:val="004B013B"/>
    <w:rsid w:val="004B112B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2979"/>
    <w:rsid w:val="004F304D"/>
    <w:rsid w:val="004F61BE"/>
    <w:rsid w:val="004F66B1"/>
    <w:rsid w:val="005029CE"/>
    <w:rsid w:val="00503A1B"/>
    <w:rsid w:val="00511C07"/>
    <w:rsid w:val="005173A6"/>
    <w:rsid w:val="00520BAA"/>
    <w:rsid w:val="00525208"/>
    <w:rsid w:val="005257A5"/>
    <w:rsid w:val="005264C0"/>
    <w:rsid w:val="00526A8A"/>
    <w:rsid w:val="00531DF2"/>
    <w:rsid w:val="00535FCC"/>
    <w:rsid w:val="005378EC"/>
    <w:rsid w:val="0054142D"/>
    <w:rsid w:val="005429EF"/>
    <w:rsid w:val="005442EE"/>
    <w:rsid w:val="00547353"/>
    <w:rsid w:val="005474E7"/>
    <w:rsid w:val="005512A3"/>
    <w:rsid w:val="00551727"/>
    <w:rsid w:val="00553E3F"/>
    <w:rsid w:val="005578CE"/>
    <w:rsid w:val="00562781"/>
    <w:rsid w:val="00566E67"/>
    <w:rsid w:val="00570602"/>
    <w:rsid w:val="0057271C"/>
    <w:rsid w:val="00572845"/>
    <w:rsid w:val="00574C83"/>
    <w:rsid w:val="00575C4F"/>
    <w:rsid w:val="005767F9"/>
    <w:rsid w:val="00586627"/>
    <w:rsid w:val="00592772"/>
    <w:rsid w:val="0059574A"/>
    <w:rsid w:val="00596468"/>
    <w:rsid w:val="005A02CB"/>
    <w:rsid w:val="005A1B9B"/>
    <w:rsid w:val="005A6751"/>
    <w:rsid w:val="005B092E"/>
    <w:rsid w:val="005B0ED2"/>
    <w:rsid w:val="005B152C"/>
    <w:rsid w:val="005B1EE0"/>
    <w:rsid w:val="005B2B24"/>
    <w:rsid w:val="005B43B5"/>
    <w:rsid w:val="005B4425"/>
    <w:rsid w:val="005B4B94"/>
    <w:rsid w:val="005B5D3A"/>
    <w:rsid w:val="005C3EE8"/>
    <w:rsid w:val="005D34F9"/>
    <w:rsid w:val="005D4190"/>
    <w:rsid w:val="005D5C86"/>
    <w:rsid w:val="005D67A3"/>
    <w:rsid w:val="005E2988"/>
    <w:rsid w:val="005E3085"/>
    <w:rsid w:val="005E3331"/>
    <w:rsid w:val="005E3412"/>
    <w:rsid w:val="005E37C6"/>
    <w:rsid w:val="005F1A4F"/>
    <w:rsid w:val="005F1FAA"/>
    <w:rsid w:val="005F51E1"/>
    <w:rsid w:val="00611C80"/>
    <w:rsid w:val="00617E0D"/>
    <w:rsid w:val="00620692"/>
    <w:rsid w:val="006242CA"/>
    <w:rsid w:val="00627507"/>
    <w:rsid w:val="00633717"/>
    <w:rsid w:val="006344E1"/>
    <w:rsid w:val="006425AA"/>
    <w:rsid w:val="00646454"/>
    <w:rsid w:val="0065298D"/>
    <w:rsid w:val="006542F2"/>
    <w:rsid w:val="006545C4"/>
    <w:rsid w:val="00657290"/>
    <w:rsid w:val="006615B8"/>
    <w:rsid w:val="00661971"/>
    <w:rsid w:val="00661CE8"/>
    <w:rsid w:val="006623D9"/>
    <w:rsid w:val="0066550C"/>
    <w:rsid w:val="00666E98"/>
    <w:rsid w:val="00667B26"/>
    <w:rsid w:val="00667EFE"/>
    <w:rsid w:val="006704CE"/>
    <w:rsid w:val="006716F2"/>
    <w:rsid w:val="00672530"/>
    <w:rsid w:val="00680D9A"/>
    <w:rsid w:val="00682BF2"/>
    <w:rsid w:val="006859CE"/>
    <w:rsid w:val="00691270"/>
    <w:rsid w:val="00694A2E"/>
    <w:rsid w:val="00694BA8"/>
    <w:rsid w:val="006A037C"/>
    <w:rsid w:val="006A36F4"/>
    <w:rsid w:val="006A406F"/>
    <w:rsid w:val="006A5D3A"/>
    <w:rsid w:val="006A74EE"/>
    <w:rsid w:val="006C0964"/>
    <w:rsid w:val="006C1BCB"/>
    <w:rsid w:val="006C23D4"/>
    <w:rsid w:val="006C25E8"/>
    <w:rsid w:val="006C2EDA"/>
    <w:rsid w:val="006C64BE"/>
    <w:rsid w:val="006C750C"/>
    <w:rsid w:val="006C7BB0"/>
    <w:rsid w:val="006D25BD"/>
    <w:rsid w:val="006D3237"/>
    <w:rsid w:val="006E19C7"/>
    <w:rsid w:val="006E2E37"/>
    <w:rsid w:val="006E3CF1"/>
    <w:rsid w:val="006E66E9"/>
    <w:rsid w:val="006E7181"/>
    <w:rsid w:val="006E7E80"/>
    <w:rsid w:val="006F48CA"/>
    <w:rsid w:val="006F64DD"/>
    <w:rsid w:val="006F6C13"/>
    <w:rsid w:val="00711B9F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196"/>
    <w:rsid w:val="00747FF0"/>
    <w:rsid w:val="007513B3"/>
    <w:rsid w:val="007522C9"/>
    <w:rsid w:val="00761550"/>
    <w:rsid w:val="0076235B"/>
    <w:rsid w:val="00764D4E"/>
    <w:rsid w:val="00765A1F"/>
    <w:rsid w:val="00775B6D"/>
    <w:rsid w:val="00776D68"/>
    <w:rsid w:val="00782FCD"/>
    <w:rsid w:val="007850EE"/>
    <w:rsid w:val="00785B95"/>
    <w:rsid w:val="00786D5D"/>
    <w:rsid w:val="00790E96"/>
    <w:rsid w:val="00793366"/>
    <w:rsid w:val="007952DA"/>
    <w:rsid w:val="007963B0"/>
    <w:rsid w:val="007A0725"/>
    <w:rsid w:val="007A716F"/>
    <w:rsid w:val="007B270A"/>
    <w:rsid w:val="007B4B56"/>
    <w:rsid w:val="007B722D"/>
    <w:rsid w:val="007C0695"/>
    <w:rsid w:val="007C1C7F"/>
    <w:rsid w:val="007C1CB8"/>
    <w:rsid w:val="007C419A"/>
    <w:rsid w:val="007C4CC8"/>
    <w:rsid w:val="007C5300"/>
    <w:rsid w:val="007C5426"/>
    <w:rsid w:val="007C5798"/>
    <w:rsid w:val="007D4832"/>
    <w:rsid w:val="007E014F"/>
    <w:rsid w:val="007E117B"/>
    <w:rsid w:val="007E21B2"/>
    <w:rsid w:val="007E2C4E"/>
    <w:rsid w:val="007E3ED4"/>
    <w:rsid w:val="007E48C2"/>
    <w:rsid w:val="007E5FBE"/>
    <w:rsid w:val="007F1905"/>
    <w:rsid w:val="007F4F51"/>
    <w:rsid w:val="00801300"/>
    <w:rsid w:val="00802C64"/>
    <w:rsid w:val="00805E52"/>
    <w:rsid w:val="008061D0"/>
    <w:rsid w:val="00810B38"/>
    <w:rsid w:val="008204C7"/>
    <w:rsid w:val="00820765"/>
    <w:rsid w:val="00820992"/>
    <w:rsid w:val="00823602"/>
    <w:rsid w:val="008255F5"/>
    <w:rsid w:val="00826F51"/>
    <w:rsid w:val="0083014E"/>
    <w:rsid w:val="00831218"/>
    <w:rsid w:val="0083214A"/>
    <w:rsid w:val="008323C4"/>
    <w:rsid w:val="00834220"/>
    <w:rsid w:val="00842605"/>
    <w:rsid w:val="0084351A"/>
    <w:rsid w:val="00844C8F"/>
    <w:rsid w:val="00845723"/>
    <w:rsid w:val="00846517"/>
    <w:rsid w:val="008468A7"/>
    <w:rsid w:val="00851EF9"/>
    <w:rsid w:val="00854389"/>
    <w:rsid w:val="008577FD"/>
    <w:rsid w:val="00860B03"/>
    <w:rsid w:val="008629CB"/>
    <w:rsid w:val="0086497A"/>
    <w:rsid w:val="008713A1"/>
    <w:rsid w:val="00874DA4"/>
    <w:rsid w:val="008754AB"/>
    <w:rsid w:val="00875AB3"/>
    <w:rsid w:val="0088060C"/>
    <w:rsid w:val="008851E6"/>
    <w:rsid w:val="00893576"/>
    <w:rsid w:val="00893E73"/>
    <w:rsid w:val="0089489B"/>
    <w:rsid w:val="008949AE"/>
    <w:rsid w:val="008A7B1D"/>
    <w:rsid w:val="008B02DC"/>
    <w:rsid w:val="008B57CE"/>
    <w:rsid w:val="008C26DE"/>
    <w:rsid w:val="008D2225"/>
    <w:rsid w:val="008D4752"/>
    <w:rsid w:val="008D7298"/>
    <w:rsid w:val="008E2300"/>
    <w:rsid w:val="008E271C"/>
    <w:rsid w:val="008E418E"/>
    <w:rsid w:val="008E5BC6"/>
    <w:rsid w:val="008E6A25"/>
    <w:rsid w:val="008F3BA9"/>
    <w:rsid w:val="008F5193"/>
    <w:rsid w:val="009013A7"/>
    <w:rsid w:val="009017FB"/>
    <w:rsid w:val="009017FC"/>
    <w:rsid w:val="00903E4E"/>
    <w:rsid w:val="00904E3C"/>
    <w:rsid w:val="0090506B"/>
    <w:rsid w:val="009050C9"/>
    <w:rsid w:val="009066FC"/>
    <w:rsid w:val="009140A3"/>
    <w:rsid w:val="009144A2"/>
    <w:rsid w:val="0091510C"/>
    <w:rsid w:val="00915286"/>
    <w:rsid w:val="00922F52"/>
    <w:rsid w:val="009259AC"/>
    <w:rsid w:val="00926AD5"/>
    <w:rsid w:val="00926F38"/>
    <w:rsid w:val="00934301"/>
    <w:rsid w:val="00936C2D"/>
    <w:rsid w:val="00936CD1"/>
    <w:rsid w:val="00941747"/>
    <w:rsid w:val="00941EFB"/>
    <w:rsid w:val="00947AFB"/>
    <w:rsid w:val="00951D7D"/>
    <w:rsid w:val="009564F5"/>
    <w:rsid w:val="00957429"/>
    <w:rsid w:val="009630C7"/>
    <w:rsid w:val="009677B6"/>
    <w:rsid w:val="00971428"/>
    <w:rsid w:val="00972B55"/>
    <w:rsid w:val="009743B7"/>
    <w:rsid w:val="009776A2"/>
    <w:rsid w:val="0098228B"/>
    <w:rsid w:val="009828DA"/>
    <w:rsid w:val="00985BAB"/>
    <w:rsid w:val="009B1B5F"/>
    <w:rsid w:val="009B54BF"/>
    <w:rsid w:val="009B5610"/>
    <w:rsid w:val="009B6673"/>
    <w:rsid w:val="009C0321"/>
    <w:rsid w:val="009C191B"/>
    <w:rsid w:val="009C1F1B"/>
    <w:rsid w:val="009C2BD6"/>
    <w:rsid w:val="009C55B1"/>
    <w:rsid w:val="009C5881"/>
    <w:rsid w:val="009D16B0"/>
    <w:rsid w:val="009D7C06"/>
    <w:rsid w:val="009E1F32"/>
    <w:rsid w:val="009E5DA9"/>
    <w:rsid w:val="009E776C"/>
    <w:rsid w:val="009F0096"/>
    <w:rsid w:val="009F30E5"/>
    <w:rsid w:val="00A00144"/>
    <w:rsid w:val="00A1726E"/>
    <w:rsid w:val="00A204CF"/>
    <w:rsid w:val="00A23D49"/>
    <w:rsid w:val="00A27004"/>
    <w:rsid w:val="00A30C29"/>
    <w:rsid w:val="00A31595"/>
    <w:rsid w:val="00A34DD6"/>
    <w:rsid w:val="00A36819"/>
    <w:rsid w:val="00A36989"/>
    <w:rsid w:val="00A42F40"/>
    <w:rsid w:val="00A43308"/>
    <w:rsid w:val="00A43628"/>
    <w:rsid w:val="00A45145"/>
    <w:rsid w:val="00A457C7"/>
    <w:rsid w:val="00A50E72"/>
    <w:rsid w:val="00A52386"/>
    <w:rsid w:val="00A54192"/>
    <w:rsid w:val="00A6035E"/>
    <w:rsid w:val="00A60AB3"/>
    <w:rsid w:val="00A6144C"/>
    <w:rsid w:val="00A66617"/>
    <w:rsid w:val="00A671F8"/>
    <w:rsid w:val="00A673A4"/>
    <w:rsid w:val="00A67531"/>
    <w:rsid w:val="00A70034"/>
    <w:rsid w:val="00A724AE"/>
    <w:rsid w:val="00A73329"/>
    <w:rsid w:val="00A74BC1"/>
    <w:rsid w:val="00A82359"/>
    <w:rsid w:val="00A8486D"/>
    <w:rsid w:val="00A865D2"/>
    <w:rsid w:val="00A93CDC"/>
    <w:rsid w:val="00A94C20"/>
    <w:rsid w:val="00AA227F"/>
    <w:rsid w:val="00AA3BC7"/>
    <w:rsid w:val="00AA5CEA"/>
    <w:rsid w:val="00AA754A"/>
    <w:rsid w:val="00AA755B"/>
    <w:rsid w:val="00AB099E"/>
    <w:rsid w:val="00AB4328"/>
    <w:rsid w:val="00AB71BE"/>
    <w:rsid w:val="00AC0824"/>
    <w:rsid w:val="00AC0FBC"/>
    <w:rsid w:val="00AC4EBF"/>
    <w:rsid w:val="00AD412E"/>
    <w:rsid w:val="00AD4C5B"/>
    <w:rsid w:val="00AE0A2E"/>
    <w:rsid w:val="00AE354C"/>
    <w:rsid w:val="00AF4B07"/>
    <w:rsid w:val="00AF5CC8"/>
    <w:rsid w:val="00AF6186"/>
    <w:rsid w:val="00AF7A3A"/>
    <w:rsid w:val="00B009D6"/>
    <w:rsid w:val="00B01406"/>
    <w:rsid w:val="00B11F16"/>
    <w:rsid w:val="00B152B9"/>
    <w:rsid w:val="00B160DB"/>
    <w:rsid w:val="00B20836"/>
    <w:rsid w:val="00B235BB"/>
    <w:rsid w:val="00B27A44"/>
    <w:rsid w:val="00B30BBF"/>
    <w:rsid w:val="00B33C03"/>
    <w:rsid w:val="00B44E56"/>
    <w:rsid w:val="00B46543"/>
    <w:rsid w:val="00B46E23"/>
    <w:rsid w:val="00B47D33"/>
    <w:rsid w:val="00B52BE0"/>
    <w:rsid w:val="00B54133"/>
    <w:rsid w:val="00B55B70"/>
    <w:rsid w:val="00B63067"/>
    <w:rsid w:val="00B63702"/>
    <w:rsid w:val="00B701ED"/>
    <w:rsid w:val="00B73246"/>
    <w:rsid w:val="00B732F6"/>
    <w:rsid w:val="00B73992"/>
    <w:rsid w:val="00B73E68"/>
    <w:rsid w:val="00B757BA"/>
    <w:rsid w:val="00B8086C"/>
    <w:rsid w:val="00B85A04"/>
    <w:rsid w:val="00B861B4"/>
    <w:rsid w:val="00B86DFE"/>
    <w:rsid w:val="00B90990"/>
    <w:rsid w:val="00B922FF"/>
    <w:rsid w:val="00B9281E"/>
    <w:rsid w:val="00B93925"/>
    <w:rsid w:val="00B93ECF"/>
    <w:rsid w:val="00B94BB8"/>
    <w:rsid w:val="00B95187"/>
    <w:rsid w:val="00B9776F"/>
    <w:rsid w:val="00BA29E7"/>
    <w:rsid w:val="00BA2D55"/>
    <w:rsid w:val="00BA71B1"/>
    <w:rsid w:val="00BB0637"/>
    <w:rsid w:val="00BB2D75"/>
    <w:rsid w:val="00BB345F"/>
    <w:rsid w:val="00BB68EA"/>
    <w:rsid w:val="00BC1C27"/>
    <w:rsid w:val="00BC47F6"/>
    <w:rsid w:val="00BC4A8F"/>
    <w:rsid w:val="00BC6BBF"/>
    <w:rsid w:val="00BC7073"/>
    <w:rsid w:val="00BD0653"/>
    <w:rsid w:val="00BD1572"/>
    <w:rsid w:val="00BE14E3"/>
    <w:rsid w:val="00BE1A3E"/>
    <w:rsid w:val="00BE3774"/>
    <w:rsid w:val="00BE41E5"/>
    <w:rsid w:val="00BF4109"/>
    <w:rsid w:val="00BF4CC3"/>
    <w:rsid w:val="00C054C7"/>
    <w:rsid w:val="00C057B5"/>
    <w:rsid w:val="00C06E15"/>
    <w:rsid w:val="00C1262B"/>
    <w:rsid w:val="00C16573"/>
    <w:rsid w:val="00C222AC"/>
    <w:rsid w:val="00C22687"/>
    <w:rsid w:val="00C24185"/>
    <w:rsid w:val="00C32E4D"/>
    <w:rsid w:val="00C32FEA"/>
    <w:rsid w:val="00C333A0"/>
    <w:rsid w:val="00C36408"/>
    <w:rsid w:val="00C36A81"/>
    <w:rsid w:val="00C41974"/>
    <w:rsid w:val="00C439D2"/>
    <w:rsid w:val="00C459B2"/>
    <w:rsid w:val="00C53F4A"/>
    <w:rsid w:val="00C54125"/>
    <w:rsid w:val="00C55B54"/>
    <w:rsid w:val="00C6098E"/>
    <w:rsid w:val="00C611D8"/>
    <w:rsid w:val="00C6152C"/>
    <w:rsid w:val="00C63990"/>
    <w:rsid w:val="00C64EF6"/>
    <w:rsid w:val="00C65050"/>
    <w:rsid w:val="00C676B5"/>
    <w:rsid w:val="00C74810"/>
    <w:rsid w:val="00C90D68"/>
    <w:rsid w:val="00C91601"/>
    <w:rsid w:val="00C92E38"/>
    <w:rsid w:val="00C939FE"/>
    <w:rsid w:val="00C9521E"/>
    <w:rsid w:val="00CA311C"/>
    <w:rsid w:val="00CA4664"/>
    <w:rsid w:val="00CA4BDA"/>
    <w:rsid w:val="00CB1F66"/>
    <w:rsid w:val="00CB2951"/>
    <w:rsid w:val="00CC0081"/>
    <w:rsid w:val="00CC3FE5"/>
    <w:rsid w:val="00CC61B6"/>
    <w:rsid w:val="00CC71E6"/>
    <w:rsid w:val="00CD16F8"/>
    <w:rsid w:val="00CD282B"/>
    <w:rsid w:val="00CD4C35"/>
    <w:rsid w:val="00CD5BEE"/>
    <w:rsid w:val="00CD7369"/>
    <w:rsid w:val="00CE0B0E"/>
    <w:rsid w:val="00CE3831"/>
    <w:rsid w:val="00CF10C0"/>
    <w:rsid w:val="00D00ABB"/>
    <w:rsid w:val="00D02EEC"/>
    <w:rsid w:val="00D03516"/>
    <w:rsid w:val="00D03551"/>
    <w:rsid w:val="00D06A63"/>
    <w:rsid w:val="00D07E0E"/>
    <w:rsid w:val="00D11478"/>
    <w:rsid w:val="00D15ED0"/>
    <w:rsid w:val="00D21B3E"/>
    <w:rsid w:val="00D21FED"/>
    <w:rsid w:val="00D24251"/>
    <w:rsid w:val="00D24E0D"/>
    <w:rsid w:val="00D250D7"/>
    <w:rsid w:val="00D3305E"/>
    <w:rsid w:val="00D3437D"/>
    <w:rsid w:val="00D343E2"/>
    <w:rsid w:val="00D361A2"/>
    <w:rsid w:val="00D37C1F"/>
    <w:rsid w:val="00D42AFF"/>
    <w:rsid w:val="00D44C2E"/>
    <w:rsid w:val="00D45414"/>
    <w:rsid w:val="00D554C9"/>
    <w:rsid w:val="00D566BD"/>
    <w:rsid w:val="00D576CF"/>
    <w:rsid w:val="00D57A4D"/>
    <w:rsid w:val="00D60AA7"/>
    <w:rsid w:val="00D622E2"/>
    <w:rsid w:val="00D6240C"/>
    <w:rsid w:val="00D6435F"/>
    <w:rsid w:val="00D7187A"/>
    <w:rsid w:val="00D75393"/>
    <w:rsid w:val="00D75E28"/>
    <w:rsid w:val="00D772C2"/>
    <w:rsid w:val="00D77FF5"/>
    <w:rsid w:val="00D8008E"/>
    <w:rsid w:val="00D8195D"/>
    <w:rsid w:val="00D82C45"/>
    <w:rsid w:val="00D86BF2"/>
    <w:rsid w:val="00D86E26"/>
    <w:rsid w:val="00D908A8"/>
    <w:rsid w:val="00D977B6"/>
    <w:rsid w:val="00DA3D7C"/>
    <w:rsid w:val="00DA4A31"/>
    <w:rsid w:val="00DA7B04"/>
    <w:rsid w:val="00DB36C2"/>
    <w:rsid w:val="00DB62E8"/>
    <w:rsid w:val="00DC169B"/>
    <w:rsid w:val="00DC2AB9"/>
    <w:rsid w:val="00DC5A95"/>
    <w:rsid w:val="00DC63F0"/>
    <w:rsid w:val="00DD4AAB"/>
    <w:rsid w:val="00DD5146"/>
    <w:rsid w:val="00DD6EE5"/>
    <w:rsid w:val="00DE0CDA"/>
    <w:rsid w:val="00DE2105"/>
    <w:rsid w:val="00DE386C"/>
    <w:rsid w:val="00DE4D35"/>
    <w:rsid w:val="00DE572F"/>
    <w:rsid w:val="00DE64F5"/>
    <w:rsid w:val="00DF098B"/>
    <w:rsid w:val="00DF11C4"/>
    <w:rsid w:val="00DF210C"/>
    <w:rsid w:val="00DF3890"/>
    <w:rsid w:val="00DF4A65"/>
    <w:rsid w:val="00DF4B6A"/>
    <w:rsid w:val="00E01E65"/>
    <w:rsid w:val="00E02C09"/>
    <w:rsid w:val="00E04D59"/>
    <w:rsid w:val="00E07DA1"/>
    <w:rsid w:val="00E123CB"/>
    <w:rsid w:val="00E177B5"/>
    <w:rsid w:val="00E20E13"/>
    <w:rsid w:val="00E21DBC"/>
    <w:rsid w:val="00E26D80"/>
    <w:rsid w:val="00E275D7"/>
    <w:rsid w:val="00E27DBE"/>
    <w:rsid w:val="00E31471"/>
    <w:rsid w:val="00E32AB1"/>
    <w:rsid w:val="00E3628B"/>
    <w:rsid w:val="00E3644D"/>
    <w:rsid w:val="00E36C71"/>
    <w:rsid w:val="00E373F5"/>
    <w:rsid w:val="00E37C32"/>
    <w:rsid w:val="00E4026B"/>
    <w:rsid w:val="00E40404"/>
    <w:rsid w:val="00E40595"/>
    <w:rsid w:val="00E41ADF"/>
    <w:rsid w:val="00E4529A"/>
    <w:rsid w:val="00E459C6"/>
    <w:rsid w:val="00E47589"/>
    <w:rsid w:val="00E5170E"/>
    <w:rsid w:val="00E632F9"/>
    <w:rsid w:val="00E64915"/>
    <w:rsid w:val="00E661D4"/>
    <w:rsid w:val="00E70091"/>
    <w:rsid w:val="00E720F5"/>
    <w:rsid w:val="00E76D47"/>
    <w:rsid w:val="00E77CB3"/>
    <w:rsid w:val="00E849F7"/>
    <w:rsid w:val="00E90302"/>
    <w:rsid w:val="00E9541D"/>
    <w:rsid w:val="00E97396"/>
    <w:rsid w:val="00EA185E"/>
    <w:rsid w:val="00EA26E7"/>
    <w:rsid w:val="00EA592A"/>
    <w:rsid w:val="00EB14E4"/>
    <w:rsid w:val="00EB32A5"/>
    <w:rsid w:val="00EB34ED"/>
    <w:rsid w:val="00EB7BE0"/>
    <w:rsid w:val="00EB7E63"/>
    <w:rsid w:val="00EC315E"/>
    <w:rsid w:val="00ED077C"/>
    <w:rsid w:val="00ED1190"/>
    <w:rsid w:val="00ED582E"/>
    <w:rsid w:val="00ED6544"/>
    <w:rsid w:val="00EE0277"/>
    <w:rsid w:val="00EE2606"/>
    <w:rsid w:val="00EE3E00"/>
    <w:rsid w:val="00EE5DD2"/>
    <w:rsid w:val="00EE76FA"/>
    <w:rsid w:val="00EF0A2E"/>
    <w:rsid w:val="00EF63C2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66A2"/>
    <w:rsid w:val="00F30DA5"/>
    <w:rsid w:val="00F32269"/>
    <w:rsid w:val="00F56A6F"/>
    <w:rsid w:val="00F5709C"/>
    <w:rsid w:val="00F64EF1"/>
    <w:rsid w:val="00F711E9"/>
    <w:rsid w:val="00F723A0"/>
    <w:rsid w:val="00F8765F"/>
    <w:rsid w:val="00F8794E"/>
    <w:rsid w:val="00F90767"/>
    <w:rsid w:val="00F93CF5"/>
    <w:rsid w:val="00FA3C96"/>
    <w:rsid w:val="00FA6006"/>
    <w:rsid w:val="00FA685B"/>
    <w:rsid w:val="00FB0C01"/>
    <w:rsid w:val="00FB2B45"/>
    <w:rsid w:val="00FC18F2"/>
    <w:rsid w:val="00FC39E5"/>
    <w:rsid w:val="00FC3A78"/>
    <w:rsid w:val="00FD1005"/>
    <w:rsid w:val="00FD27D8"/>
    <w:rsid w:val="00FD4672"/>
    <w:rsid w:val="00FD6C75"/>
    <w:rsid w:val="00FE71B3"/>
    <w:rsid w:val="00FF245F"/>
    <w:rsid w:val="00FF2CAD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CC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/>
    <w:lsdException w:name="Table Web 3" w:semiHidden="1" w:uiPriority="99"/>
    <w:lsdException w:name="Balloon Text" w:semiHidden="1" w:unhideWhenUsed="1"/>
    <w:lsdException w:name="Table Grid" w:semiHidden="1" w:uiPriority="59"/>
    <w:lsdException w:name="Table Theme" w:semiHidden="1" w:uiPriority="9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2F3776"/>
    <w:pPr>
      <w:jc w:val="both"/>
    </w:pPr>
    <w:rPr>
      <w:rFonts w:eastAsiaTheme="minorEastAsia"/>
      <w:sz w:val="24"/>
      <w:lang w:val="en-GB"/>
    </w:rPr>
  </w:style>
  <w:style w:type="paragraph" w:styleId="Titre1">
    <w:name w:val="heading 1"/>
    <w:basedOn w:val="Normal"/>
    <w:next w:val="Normal"/>
    <w:link w:val="Titre1Car"/>
    <w:uiPriority w:val="98"/>
    <w:rsid w:val="002F37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8"/>
    <w:semiHidden/>
    <w:rsid w:val="002F3776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8"/>
    <w:semiHidden/>
    <w:rsid w:val="002F37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Titre4">
    <w:name w:val="heading 4"/>
    <w:basedOn w:val="Normal"/>
    <w:next w:val="Normal"/>
    <w:link w:val="Titre4Car"/>
    <w:uiPriority w:val="98"/>
    <w:semiHidden/>
    <w:rsid w:val="002F377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Titre5">
    <w:name w:val="heading 5"/>
    <w:basedOn w:val="Normal"/>
    <w:next w:val="Normal"/>
    <w:link w:val="Titre5Car"/>
    <w:uiPriority w:val="98"/>
    <w:semiHidden/>
    <w:qFormat/>
    <w:rsid w:val="002F377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Titre6">
    <w:name w:val="heading 6"/>
    <w:basedOn w:val="Normal"/>
    <w:next w:val="Normal"/>
    <w:link w:val="Titre6Car"/>
    <w:uiPriority w:val="98"/>
    <w:semiHidden/>
    <w:rsid w:val="002F377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Titre7">
    <w:name w:val="heading 7"/>
    <w:basedOn w:val="Normal"/>
    <w:next w:val="Normal"/>
    <w:link w:val="Titre7Car"/>
    <w:uiPriority w:val="98"/>
    <w:semiHidden/>
    <w:qFormat/>
    <w:rsid w:val="002F3776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Titre8">
    <w:name w:val="heading 8"/>
    <w:basedOn w:val="Normal"/>
    <w:next w:val="Normal"/>
    <w:link w:val="Titre8Car"/>
    <w:uiPriority w:val="98"/>
    <w:semiHidden/>
    <w:qFormat/>
    <w:rsid w:val="002F3776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8"/>
    <w:semiHidden/>
    <w:qFormat/>
    <w:rsid w:val="002F37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8"/>
    <w:semiHidden/>
    <w:rsid w:val="002F37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8"/>
    <w:semiHidden/>
    <w:rsid w:val="002F3776"/>
    <w:rPr>
      <w:rFonts w:ascii="Tahoma" w:eastAsiaTheme="minorEastAsia" w:hAnsi="Tahoma" w:cs="Tahoma"/>
      <w:sz w:val="16"/>
      <w:szCs w:val="16"/>
      <w:lang w:val="en-GB"/>
    </w:rPr>
  </w:style>
  <w:style w:type="character" w:styleId="Titredulivre">
    <w:name w:val="Book Title"/>
    <w:uiPriority w:val="98"/>
    <w:qFormat/>
    <w:rsid w:val="002F3776"/>
    <w:rPr>
      <w:i/>
      <w:iCs/>
      <w:smallCaps/>
      <w:spacing w:val="5"/>
    </w:rPr>
  </w:style>
  <w:style w:type="paragraph" w:customStyle="1" w:styleId="ECHRHeader">
    <w:name w:val="ECHR_Header"/>
    <w:aliases w:val="Ju_Header,_Header"/>
    <w:basedOn w:val="En-tte"/>
    <w:uiPriority w:val="29"/>
    <w:qFormat/>
    <w:rsid w:val="002F3776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Pieddepage"/>
    <w:uiPriority w:val="57"/>
    <w:semiHidden/>
    <w:rsid w:val="002F3776"/>
    <w:pPr>
      <w:jc w:val="left"/>
    </w:pPr>
    <w:rPr>
      <w:sz w:val="8"/>
    </w:rPr>
  </w:style>
  <w:style w:type="character" w:styleId="lev">
    <w:name w:val="Strong"/>
    <w:uiPriority w:val="98"/>
    <w:qFormat/>
    <w:rsid w:val="002F3776"/>
    <w:rPr>
      <w:b/>
      <w:bCs/>
    </w:rPr>
  </w:style>
  <w:style w:type="paragraph" w:styleId="Sansinterligne">
    <w:name w:val="No Spacing"/>
    <w:basedOn w:val="Normal"/>
    <w:link w:val="SansinterligneCar"/>
    <w:uiPriority w:val="98"/>
    <w:qFormat/>
    <w:rsid w:val="002F3776"/>
    <w:rPr>
      <w:sz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98"/>
    <w:rsid w:val="002F3776"/>
    <w:rPr>
      <w:rFonts w:eastAsiaTheme="minorEastAsia"/>
    </w:rPr>
  </w:style>
  <w:style w:type="paragraph" w:customStyle="1" w:styleId="ECHRFooterLine">
    <w:name w:val="ECHR_Footer_Line"/>
    <w:aliases w:val="Footer_Line,_Footer_Line"/>
    <w:basedOn w:val="Normal"/>
    <w:next w:val="ECHRFooter"/>
    <w:uiPriority w:val="29"/>
    <w:semiHidden/>
    <w:rsid w:val="002F3776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aliases w:val="_Title_1"/>
    <w:basedOn w:val="ECHRTitleCentre1"/>
    <w:uiPriority w:val="38"/>
    <w:qFormat/>
    <w:rsid w:val="002F3776"/>
  </w:style>
  <w:style w:type="paragraph" w:customStyle="1" w:styleId="DecList">
    <w:name w:val="Dec_List"/>
    <w:aliases w:val="_List"/>
    <w:basedOn w:val="Normal"/>
    <w:uiPriority w:val="22"/>
    <w:qFormat/>
    <w:rsid w:val="002F3776"/>
    <w:pPr>
      <w:spacing w:before="240"/>
      <w:ind w:left="284"/>
    </w:pPr>
  </w:style>
  <w:style w:type="paragraph" w:customStyle="1" w:styleId="DummyStyle">
    <w:name w:val="Dummy_Style"/>
    <w:aliases w:val="_Dummy"/>
    <w:basedOn w:val="Normal"/>
    <w:semiHidden/>
    <w:qFormat/>
    <w:rsid w:val="002F3776"/>
    <w:rPr>
      <w:color w:val="00B050"/>
    </w:rPr>
  </w:style>
  <w:style w:type="paragraph" w:customStyle="1" w:styleId="ECHRTitleCentre3">
    <w:name w:val="ECHR_Title_Centre_3"/>
    <w:aliases w:val="Ju_H_Article,_Title_Quote,_Title_C_3"/>
    <w:basedOn w:val="Normal"/>
    <w:next w:val="ECHRParaQuote"/>
    <w:uiPriority w:val="26"/>
    <w:qFormat/>
    <w:rsid w:val="002F3776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,_Title_C_1"/>
    <w:basedOn w:val="Normal"/>
    <w:next w:val="OpiPara"/>
    <w:uiPriority w:val="26"/>
    <w:qFormat/>
    <w:rsid w:val="002F3776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Normal"/>
    <w:uiPriority w:val="5"/>
    <w:semiHidden/>
    <w:qFormat/>
    <w:rsid w:val="002F3776"/>
    <w:pPr>
      <w:numPr>
        <w:numId w:val="19"/>
      </w:numPr>
      <w:jc w:val="left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F3776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2F3776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,_Title_3,_Title_C_2"/>
    <w:basedOn w:val="Normal"/>
    <w:next w:val="ECHRPara"/>
    <w:uiPriority w:val="26"/>
    <w:qFormat/>
    <w:rsid w:val="002F3776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aliases w:val="_Right"/>
    <w:basedOn w:val="Normal"/>
    <w:uiPriority w:val="30"/>
    <w:qFormat/>
    <w:rsid w:val="002F3776"/>
    <w:pPr>
      <w:tabs>
        <w:tab w:val="center" w:pos="6407"/>
      </w:tabs>
      <w:spacing w:before="720"/>
      <w:jc w:val="right"/>
    </w:pPr>
  </w:style>
  <w:style w:type="paragraph" w:styleId="Titre">
    <w:name w:val="Title"/>
    <w:basedOn w:val="Normal"/>
    <w:next w:val="Normal"/>
    <w:link w:val="TitreCar"/>
    <w:uiPriority w:val="98"/>
    <w:qFormat/>
    <w:rsid w:val="002F377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98"/>
    <w:rsid w:val="002F377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,_Head_4"/>
    <w:basedOn w:val="Titre3"/>
    <w:next w:val="ECHRPara"/>
    <w:uiPriority w:val="17"/>
    <w:qFormat/>
    <w:rsid w:val="002F3776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,_Head_5"/>
    <w:basedOn w:val="Titre4"/>
    <w:next w:val="ECHRPara"/>
    <w:uiPriority w:val="17"/>
    <w:qFormat/>
    <w:rsid w:val="002F3776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,_Head_6"/>
    <w:basedOn w:val="Titre5"/>
    <w:next w:val="ECHRPara"/>
    <w:uiPriority w:val="17"/>
    <w:qFormat/>
    <w:rsid w:val="002F3776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,_Head_7"/>
    <w:basedOn w:val="Titre6"/>
    <w:next w:val="ECHRPara"/>
    <w:uiPriority w:val="17"/>
    <w:qFormat/>
    <w:rsid w:val="002F3776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,_Head_8"/>
    <w:basedOn w:val="Titre7"/>
    <w:next w:val="ECHRPara"/>
    <w:uiPriority w:val="17"/>
    <w:qFormat/>
    <w:rsid w:val="002F3776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JuITMark">
    <w:name w:val="Ju_ITMark"/>
    <w:aliases w:val="_ITMark"/>
    <w:basedOn w:val="Policepardfaut"/>
    <w:uiPriority w:val="54"/>
    <w:qFormat/>
    <w:rsid w:val="002F3776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a">
    <w:name w:val="Ju_List_a"/>
    <w:aliases w:val="_List_2"/>
    <w:basedOn w:val="JuList"/>
    <w:uiPriority w:val="23"/>
    <w:qFormat/>
    <w:rsid w:val="002F3776"/>
    <w:pPr>
      <w:ind w:left="346" w:firstLine="0"/>
    </w:pPr>
  </w:style>
  <w:style w:type="paragraph" w:customStyle="1" w:styleId="JuListi">
    <w:name w:val="Ju_List_i"/>
    <w:aliases w:val="_List_3"/>
    <w:basedOn w:val="Normal"/>
    <w:next w:val="JuLista"/>
    <w:uiPriority w:val="23"/>
    <w:qFormat/>
    <w:rsid w:val="002F3776"/>
    <w:pPr>
      <w:ind w:left="794"/>
    </w:pPr>
  </w:style>
  <w:style w:type="paragraph" w:styleId="En-tte">
    <w:name w:val="header"/>
    <w:basedOn w:val="Normal"/>
    <w:link w:val="En-tteCar"/>
    <w:uiPriority w:val="98"/>
    <w:semiHidden/>
    <w:rsid w:val="002F3776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8"/>
    <w:semiHidden/>
    <w:rsid w:val="002F3776"/>
    <w:rPr>
      <w:sz w:val="24"/>
      <w:lang w:val="en-GB"/>
    </w:rPr>
  </w:style>
  <w:style w:type="character" w:customStyle="1" w:styleId="Titre1Car">
    <w:name w:val="Titre 1 Car"/>
    <w:basedOn w:val="Policepardfaut"/>
    <w:link w:val="Titre1"/>
    <w:uiPriority w:val="98"/>
    <w:rsid w:val="002F3776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1">
    <w:name w:val="ECHR_Heading_1"/>
    <w:aliases w:val="Ju_H_I_Roman,_Head_2"/>
    <w:basedOn w:val="Titre1"/>
    <w:next w:val="ECHRPara"/>
    <w:uiPriority w:val="17"/>
    <w:qFormat/>
    <w:rsid w:val="002F3776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,_Head_3"/>
    <w:basedOn w:val="Titre2"/>
    <w:next w:val="ECHRPara"/>
    <w:uiPriority w:val="17"/>
    <w:qFormat/>
    <w:rsid w:val="002F3776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Titre2Car">
    <w:name w:val="Titre 2 Car"/>
    <w:basedOn w:val="Policepardfaut"/>
    <w:link w:val="Titre2"/>
    <w:uiPriority w:val="98"/>
    <w:semiHidden/>
    <w:rsid w:val="002F3776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character" w:customStyle="1" w:styleId="JUNAMES">
    <w:name w:val="JU_NAMES"/>
    <w:aliases w:val="_Ju_Names"/>
    <w:uiPriority w:val="33"/>
    <w:qFormat/>
    <w:rsid w:val="002F3776"/>
    <w:rPr>
      <w:caps w:val="0"/>
      <w:smallCaps/>
    </w:rPr>
  </w:style>
  <w:style w:type="paragraph" w:customStyle="1" w:styleId="ECHRDecisionBody">
    <w:name w:val="ECHR_Decision_Body"/>
    <w:aliases w:val="Ju_Judges,_Judges,_Decision_Body"/>
    <w:basedOn w:val="Normal"/>
    <w:uiPriority w:val="54"/>
    <w:qFormat/>
    <w:rsid w:val="002F3776"/>
    <w:pPr>
      <w:tabs>
        <w:tab w:val="left" w:pos="567"/>
        <w:tab w:val="left" w:pos="1134"/>
      </w:tabs>
      <w:jc w:val="left"/>
    </w:pPr>
  </w:style>
  <w:style w:type="character" w:customStyle="1" w:styleId="Titre3Car">
    <w:name w:val="Titre 3 Car"/>
    <w:basedOn w:val="Policepardfaut"/>
    <w:link w:val="Titre3"/>
    <w:uiPriority w:val="98"/>
    <w:semiHidden/>
    <w:rsid w:val="002F3776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ECHRPara">
    <w:name w:val="ECHR_Para"/>
    <w:aliases w:val="Ju_Para,_Para"/>
    <w:basedOn w:val="Normal"/>
    <w:link w:val="JuParaChar"/>
    <w:uiPriority w:val="4"/>
    <w:qFormat/>
    <w:rsid w:val="002F3776"/>
    <w:pPr>
      <w:ind w:firstLine="284"/>
    </w:pPr>
  </w:style>
  <w:style w:type="character" w:customStyle="1" w:styleId="Titre4Car">
    <w:name w:val="Titre 4 Car"/>
    <w:basedOn w:val="Policepardfaut"/>
    <w:link w:val="Titre4"/>
    <w:uiPriority w:val="98"/>
    <w:semiHidden/>
    <w:rsid w:val="002F3776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Titre5Car">
    <w:name w:val="Titre 5 Car"/>
    <w:basedOn w:val="Policepardfaut"/>
    <w:link w:val="Titre5"/>
    <w:uiPriority w:val="98"/>
    <w:semiHidden/>
    <w:rsid w:val="002F3776"/>
    <w:rPr>
      <w:rFonts w:asciiTheme="majorHAnsi" w:eastAsiaTheme="majorEastAsia" w:hAnsiTheme="majorHAnsi" w:cstheme="majorBidi"/>
      <w:b/>
      <w:bCs/>
      <w:color w:val="808080"/>
    </w:rPr>
  </w:style>
  <w:style w:type="character" w:styleId="Accentuationlgre">
    <w:name w:val="Subtle Emphasis"/>
    <w:uiPriority w:val="98"/>
    <w:qFormat/>
    <w:rsid w:val="002F3776"/>
    <w:rPr>
      <w:i/>
      <w:iCs/>
    </w:rPr>
  </w:style>
  <w:style w:type="table" w:customStyle="1" w:styleId="ECHRTable">
    <w:name w:val="ECHR_Table"/>
    <w:basedOn w:val="Tableau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au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,_Head_1,_Title_L_1"/>
    <w:basedOn w:val="Normal"/>
    <w:next w:val="ECHRPara"/>
    <w:uiPriority w:val="28"/>
    <w:qFormat/>
    <w:rsid w:val="002F3776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ccentuation">
    <w:name w:val="Emphasis"/>
    <w:uiPriority w:val="98"/>
    <w:qFormat/>
    <w:rsid w:val="002F37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ieddepage">
    <w:name w:val="footer"/>
    <w:basedOn w:val="Normal"/>
    <w:link w:val="PieddepageCar"/>
    <w:uiPriority w:val="98"/>
    <w:rsid w:val="002F3776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8"/>
    <w:rsid w:val="002F3776"/>
    <w:rPr>
      <w:sz w:val="24"/>
      <w:lang w:val="en-GB"/>
    </w:rPr>
  </w:style>
  <w:style w:type="character" w:styleId="Appelnotedebasdep">
    <w:name w:val="footnote reference"/>
    <w:basedOn w:val="Policepardfaut"/>
    <w:uiPriority w:val="98"/>
    <w:semiHidden/>
    <w:rsid w:val="002F3776"/>
    <w:rPr>
      <w:vertAlign w:val="superscript"/>
    </w:rPr>
  </w:style>
  <w:style w:type="paragraph" w:styleId="Notedebasdepage">
    <w:name w:val="footnote text"/>
    <w:basedOn w:val="Normal"/>
    <w:link w:val="NotedebasdepageCar"/>
    <w:uiPriority w:val="98"/>
    <w:semiHidden/>
    <w:rsid w:val="002F377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8"/>
    <w:semiHidden/>
    <w:rsid w:val="002F3776"/>
    <w:rPr>
      <w:rFonts w:eastAsiaTheme="minorEastAsia"/>
      <w:sz w:val="20"/>
      <w:szCs w:val="20"/>
      <w:lang w:val="en-GB"/>
    </w:rPr>
  </w:style>
  <w:style w:type="character" w:customStyle="1" w:styleId="Titre6Car">
    <w:name w:val="Titre 6 Car"/>
    <w:basedOn w:val="Policepardfaut"/>
    <w:link w:val="Titre6"/>
    <w:uiPriority w:val="98"/>
    <w:semiHidden/>
    <w:rsid w:val="002F377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Titre7Car">
    <w:name w:val="Titre 7 Car"/>
    <w:basedOn w:val="Policepardfaut"/>
    <w:link w:val="Titre7"/>
    <w:uiPriority w:val="98"/>
    <w:semiHidden/>
    <w:rsid w:val="002F3776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Titre8Car">
    <w:name w:val="Titre 8 Car"/>
    <w:basedOn w:val="Policepardfaut"/>
    <w:link w:val="Titre8"/>
    <w:uiPriority w:val="98"/>
    <w:semiHidden/>
    <w:rsid w:val="002F3776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Titre9Car">
    <w:name w:val="Titre 9 Car"/>
    <w:basedOn w:val="Policepardfaut"/>
    <w:link w:val="Titre9"/>
    <w:uiPriority w:val="98"/>
    <w:semiHidden/>
    <w:rsid w:val="002F3776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Lienhypertexte">
    <w:name w:val="Hyperlink"/>
    <w:basedOn w:val="Policepardfaut"/>
    <w:uiPriority w:val="99"/>
    <w:rsid w:val="002F3776"/>
    <w:rPr>
      <w:color w:val="0072BC" w:themeColor="hyperlink"/>
      <w:u w:val="single"/>
    </w:rPr>
  </w:style>
  <w:style w:type="character" w:styleId="Accentuationintense">
    <w:name w:val="Intense Emphasis"/>
    <w:uiPriority w:val="98"/>
    <w:qFormat/>
    <w:rsid w:val="002F3776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98"/>
    <w:qFormat/>
    <w:rsid w:val="002F377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98"/>
    <w:rsid w:val="002F3776"/>
    <w:rPr>
      <w:rFonts w:eastAsiaTheme="minorEastAsia"/>
      <w:b/>
      <w:bCs/>
      <w:i/>
      <w:iCs/>
      <w:lang w:bidi="en-US"/>
    </w:rPr>
  </w:style>
  <w:style w:type="character" w:styleId="Rfrenceintense">
    <w:name w:val="Intense Reference"/>
    <w:uiPriority w:val="98"/>
    <w:qFormat/>
    <w:rsid w:val="002F3776"/>
    <w:rPr>
      <w:smallCaps/>
      <w:spacing w:val="5"/>
      <w:u w:val="single"/>
    </w:rPr>
  </w:style>
  <w:style w:type="paragraph" w:styleId="Paragraphedeliste">
    <w:name w:val="List Paragraph"/>
    <w:basedOn w:val="Normal"/>
    <w:uiPriority w:val="98"/>
    <w:qFormat/>
    <w:rsid w:val="002F3776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auNormal"/>
    <w:uiPriority w:val="99"/>
    <w:rsid w:val="001E6F32"/>
    <w:tblPr>
      <w:tblInd w:w="5103" w:type="dxa"/>
    </w:tblPr>
  </w:style>
  <w:style w:type="paragraph" w:styleId="Citation">
    <w:name w:val="Quote"/>
    <w:basedOn w:val="Normal"/>
    <w:next w:val="Normal"/>
    <w:link w:val="CitationCar"/>
    <w:uiPriority w:val="98"/>
    <w:qFormat/>
    <w:rsid w:val="002F3776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CitationCar">
    <w:name w:val="Citation Car"/>
    <w:basedOn w:val="Policepardfaut"/>
    <w:link w:val="Citation"/>
    <w:uiPriority w:val="98"/>
    <w:rsid w:val="002F3776"/>
    <w:rPr>
      <w:rFonts w:eastAsiaTheme="minorEastAsia"/>
      <w:i/>
      <w:iCs/>
      <w:lang w:bidi="en-US"/>
    </w:rPr>
  </w:style>
  <w:style w:type="character" w:styleId="Rfrencelgre">
    <w:name w:val="Subtle Reference"/>
    <w:uiPriority w:val="98"/>
    <w:qFormat/>
    <w:rsid w:val="002F3776"/>
    <w:rPr>
      <w:smallCaps/>
    </w:rPr>
  </w:style>
  <w:style w:type="table" w:styleId="Grilledutableau">
    <w:name w:val="Table Grid"/>
    <w:basedOn w:val="TableauNormal"/>
    <w:uiPriority w:val="59"/>
    <w:rsid w:val="002F377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98"/>
    <w:rsid w:val="002F3776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M2">
    <w:name w:val="toc 2"/>
    <w:basedOn w:val="Normal"/>
    <w:next w:val="Normal"/>
    <w:autoRedefine/>
    <w:uiPriority w:val="98"/>
    <w:rsid w:val="002F3776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M3">
    <w:name w:val="toc 3"/>
    <w:basedOn w:val="Normal"/>
    <w:next w:val="Normal"/>
    <w:autoRedefine/>
    <w:uiPriority w:val="98"/>
    <w:rsid w:val="002F3776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M4">
    <w:name w:val="toc 4"/>
    <w:basedOn w:val="Normal"/>
    <w:next w:val="Normal"/>
    <w:autoRedefine/>
    <w:uiPriority w:val="98"/>
    <w:semiHidden/>
    <w:rsid w:val="002F3776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M5">
    <w:name w:val="toc 5"/>
    <w:basedOn w:val="Normal"/>
    <w:next w:val="Normal"/>
    <w:autoRedefine/>
    <w:uiPriority w:val="98"/>
    <w:semiHidden/>
    <w:rsid w:val="002F3776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En-ttedetabledesmatires">
    <w:name w:val="TOC Heading"/>
    <w:basedOn w:val="Normal"/>
    <w:next w:val="Normal"/>
    <w:uiPriority w:val="98"/>
    <w:semiHidden/>
    <w:qFormat/>
    <w:rsid w:val="002F3776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au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au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au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au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au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au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itreTR">
    <w:name w:val="toa heading"/>
    <w:basedOn w:val="Normal"/>
    <w:next w:val="Normal"/>
    <w:uiPriority w:val="98"/>
    <w:semiHidden/>
    <w:rsid w:val="002F3776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,_Quote"/>
    <w:basedOn w:val="Normal"/>
    <w:uiPriority w:val="20"/>
    <w:qFormat/>
    <w:rsid w:val="002F3776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Tableau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au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Tableau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auNormal"/>
    <w:uiPriority w:val="99"/>
    <w:rsid w:val="002F3776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Tableau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Tableau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Tableau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Signed">
    <w:name w:val="Ju_Signed"/>
    <w:aliases w:val="_Signature"/>
    <w:basedOn w:val="Normal"/>
    <w:next w:val="JuParaLast"/>
    <w:uiPriority w:val="31"/>
    <w:qFormat/>
    <w:rsid w:val="002F3776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aliases w:val="_Para_Spaced,ECHR_Para_Spaced"/>
    <w:basedOn w:val="Normal"/>
    <w:next w:val="ECHRPara"/>
    <w:uiPriority w:val="5"/>
    <w:qFormat/>
    <w:rsid w:val="002F3776"/>
    <w:pPr>
      <w:keepNext/>
      <w:keepLines/>
      <w:spacing w:before="240"/>
      <w:ind w:firstLine="284"/>
    </w:pPr>
  </w:style>
  <w:style w:type="paragraph" w:customStyle="1" w:styleId="JuCase">
    <w:name w:val="Ju_Case"/>
    <w:aliases w:val="_Case_Name"/>
    <w:basedOn w:val="Normal"/>
    <w:next w:val="ECHRPara"/>
    <w:uiPriority w:val="32"/>
    <w:rsid w:val="002F3776"/>
    <w:pPr>
      <w:ind w:firstLine="284"/>
    </w:pPr>
    <w:rPr>
      <w:b/>
    </w:rPr>
  </w:style>
  <w:style w:type="paragraph" w:customStyle="1" w:styleId="JuList">
    <w:name w:val="Ju_List"/>
    <w:aliases w:val="_List_1"/>
    <w:basedOn w:val="Normal"/>
    <w:uiPriority w:val="23"/>
    <w:qFormat/>
    <w:rsid w:val="002F3776"/>
    <w:pPr>
      <w:ind w:left="340" w:hanging="340"/>
    </w:pPr>
  </w:style>
  <w:style w:type="paragraph" w:customStyle="1" w:styleId="JuParaSub">
    <w:name w:val="Ju_Para_Sub"/>
    <w:basedOn w:val="ECHRPara"/>
    <w:uiPriority w:val="13"/>
    <w:qFormat/>
    <w:rsid w:val="002F3776"/>
    <w:pPr>
      <w:ind w:left="284"/>
    </w:pPr>
  </w:style>
  <w:style w:type="character" w:styleId="Numrodepage">
    <w:name w:val="page number"/>
    <w:uiPriority w:val="98"/>
    <w:semiHidden/>
    <w:rsid w:val="00E77CB3"/>
    <w:rPr>
      <w:rFonts w:ascii="Times New Roman" w:hAnsi="Times New Roman" w:cs="Times New Roman"/>
      <w:sz w:val="18"/>
    </w:rPr>
  </w:style>
  <w:style w:type="paragraph" w:customStyle="1" w:styleId="JuQuotSub">
    <w:name w:val="Ju_Quot_Sub"/>
    <w:basedOn w:val="ECHRParaQuote"/>
    <w:uiPriority w:val="15"/>
    <w:qFormat/>
    <w:rsid w:val="002F3776"/>
    <w:pPr>
      <w:ind w:left="567"/>
    </w:pPr>
  </w:style>
  <w:style w:type="paragraph" w:customStyle="1" w:styleId="JuTitle">
    <w:name w:val="Ju_Title"/>
    <w:aliases w:val="_Title_2"/>
    <w:basedOn w:val="Normal"/>
    <w:next w:val="ECHRPara"/>
    <w:uiPriority w:val="38"/>
    <w:qFormat/>
    <w:rsid w:val="002F3776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styleId="Marquedecommentaire">
    <w:name w:val="annotation reference"/>
    <w:uiPriority w:val="98"/>
    <w:semiHidden/>
    <w:rsid w:val="00E77CB3"/>
    <w:rPr>
      <w:sz w:val="16"/>
    </w:rPr>
  </w:style>
  <w:style w:type="paragraph" w:styleId="Commentaire">
    <w:name w:val="annotation text"/>
    <w:basedOn w:val="Normal"/>
    <w:link w:val="CommentaireCar"/>
    <w:uiPriority w:val="98"/>
    <w:rsid w:val="00E77CB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8"/>
    <w:rsid w:val="00E77CB3"/>
    <w:rPr>
      <w:rFonts w:eastAsiaTheme="minorEastAsia"/>
      <w:sz w:val="20"/>
    </w:rPr>
  </w:style>
  <w:style w:type="character" w:styleId="Appeldenotedefin">
    <w:name w:val="endnote reference"/>
    <w:basedOn w:val="Policepardfaut"/>
    <w:uiPriority w:val="98"/>
    <w:semiHidden/>
    <w:rsid w:val="002F3776"/>
    <w:rPr>
      <w:vertAlign w:val="superscript"/>
    </w:rPr>
  </w:style>
  <w:style w:type="paragraph" w:styleId="Notedefin">
    <w:name w:val="endnote text"/>
    <w:basedOn w:val="Normal"/>
    <w:link w:val="NotedefinCar"/>
    <w:uiPriority w:val="98"/>
    <w:semiHidden/>
    <w:rsid w:val="002F377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8"/>
    <w:semiHidden/>
    <w:rsid w:val="002F3776"/>
    <w:rPr>
      <w:rFonts w:eastAsiaTheme="minorEastAsia"/>
      <w:sz w:val="20"/>
      <w:szCs w:val="20"/>
      <w:lang w:val="en-GB"/>
    </w:rPr>
  </w:style>
  <w:style w:type="character" w:styleId="Lienhypertextesuivivisit">
    <w:name w:val="FollowedHyperlink"/>
    <w:uiPriority w:val="98"/>
    <w:semiHidden/>
    <w:rsid w:val="00E77CB3"/>
    <w:rPr>
      <w:rFonts w:ascii="Times New Roman" w:hAnsi="Times New Roman" w:cs="Times New Roman"/>
      <w:color w:val="800080"/>
      <w:u w:val="single"/>
    </w:rPr>
  </w:style>
  <w:style w:type="paragraph" w:styleId="Listepuces">
    <w:name w:val="List Bullet"/>
    <w:basedOn w:val="Normal"/>
    <w:uiPriority w:val="98"/>
    <w:semiHidden/>
    <w:rsid w:val="00E77CB3"/>
    <w:pPr>
      <w:numPr>
        <w:numId w:val="1"/>
      </w:numPr>
    </w:pPr>
  </w:style>
  <w:style w:type="paragraph" w:customStyle="1" w:styleId="OpiH1">
    <w:name w:val="Opi_H_1"/>
    <w:basedOn w:val="ECHRHeading2"/>
    <w:uiPriority w:val="42"/>
    <w:qFormat/>
    <w:rsid w:val="002F3776"/>
    <w:pPr>
      <w:ind w:left="635" w:hanging="357"/>
      <w:outlineLvl w:val="2"/>
    </w:pPr>
  </w:style>
  <w:style w:type="paragraph" w:styleId="Objetducommentaire">
    <w:name w:val="annotation subject"/>
    <w:basedOn w:val="Commentaire"/>
    <w:next w:val="Commentaire"/>
    <w:link w:val="ObjetducommentaireCar"/>
    <w:uiPriority w:val="98"/>
    <w:semiHidden/>
    <w:rsid w:val="00E77C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8"/>
    <w:semiHidden/>
    <w:rsid w:val="00E77CB3"/>
    <w:rPr>
      <w:rFonts w:eastAsiaTheme="minorEastAsia"/>
      <w:b/>
      <w:bCs/>
      <w:sz w:val="20"/>
    </w:rPr>
  </w:style>
  <w:style w:type="paragraph" w:styleId="Explorateurdedocuments">
    <w:name w:val="Document Map"/>
    <w:basedOn w:val="Normal"/>
    <w:link w:val="ExplorateurdedocumentsCar"/>
    <w:uiPriority w:val="98"/>
    <w:semiHidden/>
    <w:rsid w:val="00E77CB3"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8"/>
    <w:semiHidden/>
    <w:rsid w:val="00E77CB3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">
    <w:name w:val="Opi_H_a"/>
    <w:basedOn w:val="ECHRHeading3"/>
    <w:uiPriority w:val="43"/>
    <w:qFormat/>
    <w:rsid w:val="002F3776"/>
    <w:pPr>
      <w:ind w:left="833" w:hanging="357"/>
      <w:outlineLvl w:val="3"/>
    </w:pPr>
    <w:rPr>
      <w:b/>
      <w:i w:val="0"/>
      <w:sz w:val="20"/>
    </w:rPr>
  </w:style>
  <w:style w:type="paragraph" w:styleId="Sous-titre">
    <w:name w:val="Subtitle"/>
    <w:basedOn w:val="Normal"/>
    <w:next w:val="Normal"/>
    <w:link w:val="Sous-titreCar"/>
    <w:uiPriority w:val="98"/>
    <w:qFormat/>
    <w:rsid w:val="002F377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98"/>
    <w:rsid w:val="002F3776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ucuneliste"/>
    <w:uiPriority w:val="99"/>
    <w:semiHidden/>
    <w:rsid w:val="00E77CB3"/>
    <w:pPr>
      <w:numPr>
        <w:numId w:val="2"/>
      </w:numPr>
    </w:pPr>
  </w:style>
  <w:style w:type="numbering" w:styleId="1ai">
    <w:name w:val="Outline List 1"/>
    <w:basedOn w:val="Aucuneliste"/>
    <w:uiPriority w:val="99"/>
    <w:semiHidden/>
    <w:rsid w:val="00E77CB3"/>
    <w:pPr>
      <w:numPr>
        <w:numId w:val="3"/>
      </w:numPr>
    </w:pPr>
  </w:style>
  <w:style w:type="numbering" w:styleId="ArticleSection">
    <w:name w:val="Outline List 3"/>
    <w:basedOn w:val="Aucuneliste"/>
    <w:uiPriority w:val="99"/>
    <w:semiHidden/>
    <w:rsid w:val="00E77CB3"/>
    <w:pPr>
      <w:numPr>
        <w:numId w:val="4"/>
      </w:numPr>
    </w:pPr>
  </w:style>
  <w:style w:type="paragraph" w:styleId="Bibliographie">
    <w:name w:val="Bibliography"/>
    <w:basedOn w:val="Normal"/>
    <w:next w:val="Normal"/>
    <w:uiPriority w:val="98"/>
    <w:semiHidden/>
    <w:unhideWhenUsed/>
    <w:rsid w:val="00E77CB3"/>
  </w:style>
  <w:style w:type="paragraph" w:styleId="Normalcentr">
    <w:name w:val="Block Text"/>
    <w:basedOn w:val="Normal"/>
    <w:uiPriority w:val="98"/>
    <w:semiHidden/>
    <w:rsid w:val="00E77CB3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Corpsdetexte">
    <w:name w:val="Body Text"/>
    <w:basedOn w:val="Normal"/>
    <w:link w:val="CorpsdetexteCar"/>
    <w:uiPriority w:val="98"/>
    <w:semiHidden/>
    <w:rsid w:val="00E77C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8"/>
    <w:semiHidden/>
    <w:rsid w:val="00E77CB3"/>
    <w:rPr>
      <w:rFonts w:eastAsiaTheme="minorEastAsia"/>
      <w:sz w:val="24"/>
    </w:rPr>
  </w:style>
  <w:style w:type="paragraph" w:styleId="Corpsdetexte2">
    <w:name w:val="Body Text 2"/>
    <w:basedOn w:val="Normal"/>
    <w:link w:val="Corpsdetexte2Car"/>
    <w:uiPriority w:val="98"/>
    <w:semiHidden/>
    <w:rsid w:val="00E77CB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8"/>
    <w:semiHidden/>
    <w:rsid w:val="00E77CB3"/>
    <w:rPr>
      <w:rFonts w:eastAsiaTheme="minorEastAsia"/>
      <w:sz w:val="24"/>
    </w:rPr>
  </w:style>
  <w:style w:type="paragraph" w:styleId="Corpsdetexte3">
    <w:name w:val="Body Text 3"/>
    <w:basedOn w:val="Normal"/>
    <w:link w:val="Corpsdetexte3Car"/>
    <w:uiPriority w:val="98"/>
    <w:semiHidden/>
    <w:rsid w:val="00E77CB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8"/>
    <w:semiHidden/>
    <w:rsid w:val="00E77CB3"/>
    <w:rPr>
      <w:rFonts w:eastAsiaTheme="minorEastAsi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8"/>
    <w:semiHidden/>
    <w:rsid w:val="00E77CB3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8"/>
    <w:semiHidden/>
    <w:rsid w:val="00E77CB3"/>
    <w:rPr>
      <w:rFonts w:eastAsiaTheme="minorEastAsia"/>
      <w:sz w:val="24"/>
    </w:rPr>
  </w:style>
  <w:style w:type="paragraph" w:styleId="Retraitcorpsdetexte">
    <w:name w:val="Body Text Indent"/>
    <w:basedOn w:val="Normal"/>
    <w:link w:val="RetraitcorpsdetexteCar"/>
    <w:uiPriority w:val="98"/>
    <w:semiHidden/>
    <w:rsid w:val="00E77C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8"/>
    <w:semiHidden/>
    <w:rsid w:val="00E77CB3"/>
    <w:rPr>
      <w:rFonts w:eastAsiaTheme="minorEastAsia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8"/>
    <w:semiHidden/>
    <w:rsid w:val="00E77CB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8"/>
    <w:semiHidden/>
    <w:rsid w:val="00E77CB3"/>
    <w:rPr>
      <w:rFonts w:eastAsiaTheme="minorEastAsia"/>
      <w:sz w:val="24"/>
    </w:rPr>
  </w:style>
  <w:style w:type="paragraph" w:styleId="Retraitcorpsdetexte2">
    <w:name w:val="Body Text Indent 2"/>
    <w:basedOn w:val="Normal"/>
    <w:link w:val="Retraitcorpsdetexte2Car"/>
    <w:uiPriority w:val="98"/>
    <w:semiHidden/>
    <w:rsid w:val="00E77C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8"/>
    <w:semiHidden/>
    <w:rsid w:val="00E77CB3"/>
    <w:rPr>
      <w:rFonts w:eastAsiaTheme="minorEastAsia"/>
      <w:sz w:val="24"/>
    </w:rPr>
  </w:style>
  <w:style w:type="paragraph" w:styleId="Retraitcorpsdetexte3">
    <w:name w:val="Body Text Indent 3"/>
    <w:basedOn w:val="Normal"/>
    <w:link w:val="Retraitcorpsdetexte3Car"/>
    <w:uiPriority w:val="98"/>
    <w:semiHidden/>
    <w:rsid w:val="00E77C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8"/>
    <w:semiHidden/>
    <w:rsid w:val="00E77CB3"/>
    <w:rPr>
      <w:rFonts w:eastAsiaTheme="minorEastAsia"/>
      <w:sz w:val="16"/>
      <w:szCs w:val="16"/>
    </w:rPr>
  </w:style>
  <w:style w:type="paragraph" w:styleId="Lgende">
    <w:name w:val="caption"/>
    <w:basedOn w:val="Normal"/>
    <w:next w:val="Normal"/>
    <w:uiPriority w:val="98"/>
    <w:semiHidden/>
    <w:qFormat/>
    <w:rsid w:val="00E77CB3"/>
    <w:pPr>
      <w:spacing w:after="200"/>
    </w:pPr>
    <w:rPr>
      <w:b/>
      <w:bCs/>
      <w:color w:val="0072BC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8"/>
    <w:semiHidden/>
    <w:rsid w:val="00E77CB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8"/>
    <w:semiHidden/>
    <w:rsid w:val="00E77CB3"/>
    <w:rPr>
      <w:rFonts w:eastAsiaTheme="minorEastAsia"/>
      <w:sz w:val="24"/>
    </w:rPr>
  </w:style>
  <w:style w:type="table" w:styleId="Grillecouleur">
    <w:name w:val="Colorful Grid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rsid w:val="00E77CB3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8"/>
    <w:semiHidden/>
    <w:rsid w:val="00E77CB3"/>
  </w:style>
  <w:style w:type="character" w:customStyle="1" w:styleId="DateCar">
    <w:name w:val="Date Car"/>
    <w:basedOn w:val="Policepardfaut"/>
    <w:link w:val="Date"/>
    <w:uiPriority w:val="98"/>
    <w:semiHidden/>
    <w:rsid w:val="00E77CB3"/>
    <w:rPr>
      <w:rFonts w:eastAsiaTheme="minorEastAsia"/>
      <w:sz w:val="24"/>
    </w:rPr>
  </w:style>
  <w:style w:type="paragraph" w:styleId="Signaturelectronique">
    <w:name w:val="E-mail Signature"/>
    <w:basedOn w:val="Normal"/>
    <w:link w:val="SignaturelectroniqueCar"/>
    <w:uiPriority w:val="98"/>
    <w:semiHidden/>
    <w:rsid w:val="00E77CB3"/>
  </w:style>
  <w:style w:type="character" w:customStyle="1" w:styleId="SignaturelectroniqueCar">
    <w:name w:val="Signature électronique Car"/>
    <w:basedOn w:val="Policepardfaut"/>
    <w:link w:val="Signaturelectronique"/>
    <w:uiPriority w:val="98"/>
    <w:semiHidden/>
    <w:rsid w:val="00E77CB3"/>
    <w:rPr>
      <w:rFonts w:eastAsiaTheme="minorEastAsia"/>
      <w:sz w:val="24"/>
    </w:rPr>
  </w:style>
  <w:style w:type="paragraph" w:styleId="Adressedestinataire">
    <w:name w:val="envelope address"/>
    <w:basedOn w:val="Normal"/>
    <w:uiPriority w:val="98"/>
    <w:semiHidden/>
    <w:rsid w:val="00E77CB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seexpditeur">
    <w:name w:val="envelope return"/>
    <w:basedOn w:val="Normal"/>
    <w:uiPriority w:val="98"/>
    <w:semiHidden/>
    <w:rsid w:val="00E77CB3"/>
    <w:rPr>
      <w:rFonts w:asciiTheme="majorHAnsi" w:eastAsiaTheme="majorEastAsia" w:hAnsiTheme="majorHAnsi" w:cstheme="majorBidi"/>
      <w:sz w:val="20"/>
      <w:szCs w:val="20"/>
    </w:rPr>
  </w:style>
  <w:style w:type="character" w:styleId="AcronymeHTML">
    <w:name w:val="HTML Acronym"/>
    <w:basedOn w:val="Policepardfaut"/>
    <w:uiPriority w:val="98"/>
    <w:semiHidden/>
    <w:rsid w:val="00E77CB3"/>
  </w:style>
  <w:style w:type="paragraph" w:styleId="AdresseHTML">
    <w:name w:val="HTML Address"/>
    <w:basedOn w:val="Normal"/>
    <w:link w:val="AdresseHTMLCar"/>
    <w:uiPriority w:val="98"/>
    <w:semiHidden/>
    <w:rsid w:val="00E77CB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8"/>
    <w:semiHidden/>
    <w:rsid w:val="00E77CB3"/>
    <w:rPr>
      <w:rFonts w:eastAsiaTheme="minorEastAsia"/>
      <w:i/>
      <w:iCs/>
      <w:sz w:val="24"/>
    </w:rPr>
  </w:style>
  <w:style w:type="character" w:styleId="CitationHTML">
    <w:name w:val="HTML Cite"/>
    <w:basedOn w:val="Policepardfaut"/>
    <w:uiPriority w:val="98"/>
    <w:semiHidden/>
    <w:rsid w:val="00E77CB3"/>
    <w:rPr>
      <w:i/>
      <w:iCs/>
    </w:rPr>
  </w:style>
  <w:style w:type="character" w:styleId="CodeHTML">
    <w:name w:val="HTML Code"/>
    <w:basedOn w:val="Policepardfaut"/>
    <w:uiPriority w:val="98"/>
    <w:semiHidden/>
    <w:rsid w:val="00E77CB3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8"/>
    <w:semiHidden/>
    <w:rsid w:val="00E77CB3"/>
    <w:rPr>
      <w:i/>
      <w:iCs/>
    </w:rPr>
  </w:style>
  <w:style w:type="character" w:styleId="ClavierHTML">
    <w:name w:val="HTML Keyboard"/>
    <w:basedOn w:val="Policepardfaut"/>
    <w:uiPriority w:val="98"/>
    <w:semiHidden/>
    <w:rsid w:val="00E77CB3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8"/>
    <w:semiHidden/>
    <w:rsid w:val="00E77CB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8"/>
    <w:semiHidden/>
    <w:rsid w:val="00E77CB3"/>
    <w:rPr>
      <w:rFonts w:ascii="Consolas" w:eastAsiaTheme="minorEastAsia" w:hAnsi="Consolas" w:cs="Consolas"/>
      <w:sz w:val="20"/>
      <w:szCs w:val="20"/>
    </w:rPr>
  </w:style>
  <w:style w:type="character" w:styleId="ExempleHTML">
    <w:name w:val="HTML Sample"/>
    <w:basedOn w:val="Policepardfaut"/>
    <w:uiPriority w:val="98"/>
    <w:semiHidden/>
    <w:rsid w:val="00E77CB3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8"/>
    <w:semiHidden/>
    <w:rsid w:val="00E77CB3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8"/>
    <w:semiHidden/>
    <w:rsid w:val="00E77CB3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E77CB3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E77CB3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E77CB3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E77CB3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E77CB3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E77CB3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E77CB3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E77CB3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E77CB3"/>
    <w:pPr>
      <w:ind w:left="2160" w:hanging="240"/>
    </w:pPr>
  </w:style>
  <w:style w:type="paragraph" w:styleId="Titreindex">
    <w:name w:val="index heading"/>
    <w:basedOn w:val="Normal"/>
    <w:next w:val="Index1"/>
    <w:uiPriority w:val="98"/>
    <w:semiHidden/>
    <w:rsid w:val="00E77CB3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rsid w:val="00E77CB3"/>
    <w:rPr>
      <w:color w:val="000000" w:themeColor="text1" w:themeShade="BF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rsid w:val="00E77CB3"/>
    <w:rPr>
      <w:color w:val="00548C" w:themeColor="accent1" w:themeShade="BF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rsid w:val="00E77CB3"/>
    <w:rPr>
      <w:color w:val="8F0000" w:themeColor="accent2" w:themeShade="BF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rsid w:val="00E77CB3"/>
    <w:rPr>
      <w:color w:val="474747" w:themeColor="accent3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rsid w:val="00E77CB3"/>
    <w:rPr>
      <w:color w:val="707070" w:themeColor="accent4" w:themeShade="BF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rsid w:val="00E77CB3"/>
    <w:rPr>
      <w:color w:val="474747" w:themeColor="accent5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rsid w:val="00E77CB3"/>
    <w:rPr>
      <w:color w:val="393939" w:themeColor="accent6" w:themeShade="BF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rodeligne">
    <w:name w:val="line number"/>
    <w:basedOn w:val="Policepardfaut"/>
    <w:uiPriority w:val="98"/>
    <w:semiHidden/>
    <w:rsid w:val="00E77CB3"/>
  </w:style>
  <w:style w:type="paragraph" w:styleId="Liste">
    <w:name w:val="List"/>
    <w:basedOn w:val="Normal"/>
    <w:uiPriority w:val="98"/>
    <w:semiHidden/>
    <w:rsid w:val="00E77CB3"/>
    <w:pPr>
      <w:ind w:left="283" w:hanging="283"/>
      <w:contextualSpacing/>
    </w:pPr>
  </w:style>
  <w:style w:type="paragraph" w:styleId="Liste2">
    <w:name w:val="List 2"/>
    <w:basedOn w:val="Normal"/>
    <w:uiPriority w:val="98"/>
    <w:semiHidden/>
    <w:rsid w:val="00E77CB3"/>
    <w:pPr>
      <w:ind w:left="566" w:hanging="283"/>
      <w:contextualSpacing/>
    </w:pPr>
  </w:style>
  <w:style w:type="paragraph" w:styleId="Liste3">
    <w:name w:val="List 3"/>
    <w:basedOn w:val="Normal"/>
    <w:uiPriority w:val="98"/>
    <w:semiHidden/>
    <w:rsid w:val="00E77CB3"/>
    <w:pPr>
      <w:ind w:left="849" w:hanging="283"/>
      <w:contextualSpacing/>
    </w:pPr>
  </w:style>
  <w:style w:type="paragraph" w:styleId="Liste4">
    <w:name w:val="List 4"/>
    <w:basedOn w:val="Normal"/>
    <w:uiPriority w:val="98"/>
    <w:semiHidden/>
    <w:rsid w:val="00E77CB3"/>
    <w:pPr>
      <w:ind w:left="1132" w:hanging="283"/>
      <w:contextualSpacing/>
    </w:pPr>
  </w:style>
  <w:style w:type="paragraph" w:styleId="Liste5">
    <w:name w:val="List 5"/>
    <w:basedOn w:val="Normal"/>
    <w:uiPriority w:val="98"/>
    <w:semiHidden/>
    <w:rsid w:val="00E77CB3"/>
    <w:pPr>
      <w:ind w:left="1415" w:hanging="283"/>
      <w:contextualSpacing/>
    </w:pPr>
  </w:style>
  <w:style w:type="paragraph" w:styleId="Listepuces2">
    <w:name w:val="List Bullet 2"/>
    <w:basedOn w:val="Normal"/>
    <w:uiPriority w:val="98"/>
    <w:semiHidden/>
    <w:rsid w:val="00E77CB3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8"/>
    <w:semiHidden/>
    <w:rsid w:val="00E77CB3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8"/>
    <w:semiHidden/>
    <w:rsid w:val="00E77CB3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8"/>
    <w:semiHidden/>
    <w:rsid w:val="00E77CB3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8"/>
    <w:semiHidden/>
    <w:rsid w:val="00E77CB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8"/>
    <w:semiHidden/>
    <w:rsid w:val="00E77CB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8"/>
    <w:semiHidden/>
    <w:rsid w:val="00E77CB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8"/>
    <w:semiHidden/>
    <w:rsid w:val="00E77CB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8"/>
    <w:semiHidden/>
    <w:rsid w:val="00E77CB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8"/>
    <w:semiHidden/>
    <w:rsid w:val="00E77CB3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8"/>
    <w:semiHidden/>
    <w:rsid w:val="00E77CB3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8"/>
    <w:semiHidden/>
    <w:rsid w:val="00E77CB3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8"/>
    <w:semiHidden/>
    <w:rsid w:val="00E77CB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8"/>
    <w:semiHidden/>
    <w:rsid w:val="00E77CB3"/>
    <w:pPr>
      <w:numPr>
        <w:numId w:val="13"/>
      </w:numPr>
      <w:contextualSpacing/>
    </w:pPr>
  </w:style>
  <w:style w:type="paragraph" w:styleId="Textedemacro">
    <w:name w:val="macro"/>
    <w:link w:val="TextedemacroCar"/>
    <w:uiPriority w:val="98"/>
    <w:semiHidden/>
    <w:rsid w:val="00E77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8"/>
    <w:semiHidden/>
    <w:rsid w:val="00E77CB3"/>
    <w:rPr>
      <w:rFonts w:ascii="Consolas" w:eastAsiaTheme="minorEastAsia" w:hAnsi="Consolas" w:cs="Consolas"/>
      <w:sz w:val="20"/>
      <w:szCs w:val="20"/>
    </w:rPr>
  </w:style>
  <w:style w:type="table" w:styleId="Grillemoyenne1">
    <w:name w:val="Medium Grid 1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Grillemoyenne3">
    <w:name w:val="Medium Grid 3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rsid w:val="00E77CB3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rsid w:val="00E77CB3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8"/>
    <w:semiHidden/>
    <w:rsid w:val="00E77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8"/>
    <w:semiHidden/>
    <w:rsid w:val="00E77C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77CB3"/>
    <w:rPr>
      <w:rFonts w:ascii="Times New Roman" w:hAnsi="Times New Roman" w:cs="Times New Roman"/>
      <w:szCs w:val="24"/>
    </w:rPr>
  </w:style>
  <w:style w:type="paragraph" w:styleId="Retraitnormal">
    <w:name w:val="Normal Indent"/>
    <w:basedOn w:val="Normal"/>
    <w:uiPriority w:val="98"/>
    <w:semiHidden/>
    <w:rsid w:val="00E77CB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8"/>
    <w:semiHidden/>
    <w:rsid w:val="00E77CB3"/>
  </w:style>
  <w:style w:type="character" w:customStyle="1" w:styleId="TitredenoteCar">
    <w:name w:val="Titre de note Car"/>
    <w:basedOn w:val="Policepardfaut"/>
    <w:link w:val="Titredenote"/>
    <w:uiPriority w:val="98"/>
    <w:semiHidden/>
    <w:rsid w:val="00E77CB3"/>
    <w:rPr>
      <w:rFonts w:eastAsiaTheme="minorEastAsia"/>
      <w:sz w:val="24"/>
    </w:rPr>
  </w:style>
  <w:style w:type="character" w:styleId="Textedelespacerserv">
    <w:name w:val="Placeholder Text"/>
    <w:basedOn w:val="Policepardfaut"/>
    <w:uiPriority w:val="98"/>
    <w:semiHidden/>
    <w:rsid w:val="002F3776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Textebrut">
    <w:name w:val="Plain Text"/>
    <w:basedOn w:val="Normal"/>
    <w:link w:val="TextebrutCar"/>
    <w:uiPriority w:val="98"/>
    <w:semiHidden/>
    <w:rsid w:val="00E77CB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8"/>
    <w:semiHidden/>
    <w:rsid w:val="00E77CB3"/>
    <w:rPr>
      <w:rFonts w:ascii="Consolas" w:eastAsiaTheme="minorEastAsia" w:hAnsi="Consolas" w:cs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8"/>
    <w:semiHidden/>
    <w:rsid w:val="00E77CB3"/>
  </w:style>
  <w:style w:type="character" w:customStyle="1" w:styleId="SalutationsCar">
    <w:name w:val="Salutations Car"/>
    <w:basedOn w:val="Policepardfaut"/>
    <w:link w:val="Salutations"/>
    <w:uiPriority w:val="98"/>
    <w:semiHidden/>
    <w:rsid w:val="00E77CB3"/>
    <w:rPr>
      <w:rFonts w:eastAsiaTheme="minorEastAsia"/>
      <w:sz w:val="24"/>
    </w:rPr>
  </w:style>
  <w:style w:type="paragraph" w:styleId="Signature">
    <w:name w:val="Signature"/>
    <w:basedOn w:val="Normal"/>
    <w:link w:val="SignatureCar"/>
    <w:uiPriority w:val="98"/>
    <w:semiHidden/>
    <w:rsid w:val="00E77CB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8"/>
    <w:semiHidden/>
    <w:rsid w:val="00E77CB3"/>
    <w:rPr>
      <w:rFonts w:eastAsiaTheme="minorEastAsia"/>
      <w:sz w:val="24"/>
    </w:rPr>
  </w:style>
  <w:style w:type="table" w:styleId="Effetsdetableau3D1">
    <w:name w:val="Table 3D effects 1"/>
    <w:basedOn w:val="TableauNormal"/>
    <w:uiPriority w:val="99"/>
    <w:semiHidden/>
    <w:rsid w:val="00E77CB3"/>
    <w:pPr>
      <w:jc w:val="both"/>
    </w:pPr>
    <w:rPr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77CB3"/>
    <w:pPr>
      <w:jc w:val="both"/>
    </w:pPr>
    <w:rPr>
      <w:color w:val="00008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E77CB3"/>
    <w:pPr>
      <w:jc w:val="both"/>
    </w:pPr>
    <w:rPr>
      <w:color w:val="FFFFFF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77CB3"/>
    <w:pPr>
      <w:jc w:val="both"/>
    </w:pPr>
    <w:rPr>
      <w:b/>
      <w:bCs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8"/>
    <w:semiHidden/>
    <w:rsid w:val="00E77CB3"/>
    <w:pPr>
      <w:ind w:left="240" w:hanging="240"/>
    </w:pPr>
  </w:style>
  <w:style w:type="paragraph" w:styleId="Tabledesillustrations">
    <w:name w:val="table of figures"/>
    <w:basedOn w:val="Normal"/>
    <w:next w:val="Normal"/>
    <w:uiPriority w:val="98"/>
    <w:semiHidden/>
    <w:rsid w:val="00E77CB3"/>
  </w:style>
  <w:style w:type="table" w:styleId="Tableauprofessionnel">
    <w:name w:val="Table Professional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E77CB3"/>
    <w:pPr>
      <w:jc w:val="both"/>
    </w:pPr>
    <w:rPr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M6">
    <w:name w:val="toc 6"/>
    <w:basedOn w:val="Normal"/>
    <w:next w:val="Normal"/>
    <w:autoRedefine/>
    <w:uiPriority w:val="98"/>
    <w:semiHidden/>
    <w:rsid w:val="002F3776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M7">
    <w:name w:val="toc 7"/>
    <w:basedOn w:val="Normal"/>
    <w:next w:val="Normal"/>
    <w:autoRedefine/>
    <w:uiPriority w:val="98"/>
    <w:semiHidden/>
    <w:rsid w:val="002F3776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M8">
    <w:name w:val="toc 8"/>
    <w:basedOn w:val="Normal"/>
    <w:next w:val="Normal"/>
    <w:autoRedefine/>
    <w:uiPriority w:val="98"/>
    <w:semiHidden/>
    <w:rsid w:val="00E77CB3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98"/>
    <w:semiHidden/>
    <w:rsid w:val="00E77CB3"/>
    <w:pPr>
      <w:spacing w:after="100"/>
      <w:ind w:left="1920"/>
    </w:pPr>
  </w:style>
  <w:style w:type="paragraph" w:customStyle="1" w:styleId="OpiHA0">
    <w:name w:val="Opi_H_A"/>
    <w:basedOn w:val="ECHRHeading1"/>
    <w:next w:val="OpiPara"/>
    <w:uiPriority w:val="41"/>
    <w:qFormat/>
    <w:rsid w:val="002F3776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2F3776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2F3776"/>
  </w:style>
  <w:style w:type="paragraph" w:customStyle="1" w:styleId="OpiParaSub">
    <w:name w:val="Opi_Para_Sub"/>
    <w:basedOn w:val="JuParaSub"/>
    <w:uiPriority w:val="47"/>
    <w:qFormat/>
    <w:rsid w:val="002F3776"/>
  </w:style>
  <w:style w:type="paragraph" w:customStyle="1" w:styleId="OpiQuot">
    <w:name w:val="Opi_Quot"/>
    <w:basedOn w:val="ECHRParaQuote"/>
    <w:uiPriority w:val="48"/>
    <w:qFormat/>
    <w:rsid w:val="002F3776"/>
  </w:style>
  <w:style w:type="paragraph" w:customStyle="1" w:styleId="OpiQuotSub">
    <w:name w:val="Opi_Quot_Sub"/>
    <w:basedOn w:val="JuQuotSub"/>
    <w:uiPriority w:val="49"/>
    <w:qFormat/>
    <w:rsid w:val="002F3776"/>
  </w:style>
  <w:style w:type="paragraph" w:customStyle="1" w:styleId="OpiTranslation">
    <w:name w:val="Opi_Translation"/>
    <w:basedOn w:val="Normal"/>
    <w:next w:val="OpiPara"/>
    <w:uiPriority w:val="40"/>
    <w:qFormat/>
    <w:rsid w:val="002F3776"/>
    <w:pPr>
      <w:jc w:val="center"/>
      <w:outlineLvl w:val="0"/>
    </w:pPr>
    <w:rPr>
      <w:i/>
    </w:rPr>
  </w:style>
  <w:style w:type="paragraph" w:customStyle="1" w:styleId="ECHRSpacer">
    <w:name w:val="ECHR_Spacer"/>
    <w:aliases w:val="_Spacer"/>
    <w:basedOn w:val="Normal"/>
    <w:uiPriority w:val="45"/>
    <w:rsid w:val="00AA755B"/>
    <w:pPr>
      <w:jc w:val="left"/>
    </w:pPr>
    <w:rPr>
      <w:rFonts w:eastAsiaTheme="minorHAnsi"/>
      <w:sz w:val="4"/>
    </w:rPr>
  </w:style>
  <w:style w:type="paragraph" w:customStyle="1" w:styleId="jupara">
    <w:name w:val="jupara"/>
    <w:basedOn w:val="Normal"/>
    <w:rsid w:val="0018148A"/>
    <w:pPr>
      <w:ind w:firstLine="284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jucase0">
    <w:name w:val="jucase"/>
    <w:basedOn w:val="Normal"/>
    <w:rsid w:val="0018148A"/>
    <w:pPr>
      <w:ind w:firstLine="284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ECHRCoverTitle4">
    <w:name w:val="ECHR_Cover_Title_4"/>
    <w:aliases w:val="_Title_4"/>
    <w:basedOn w:val="ECHRPara"/>
    <w:next w:val="ECHRPara"/>
    <w:uiPriority w:val="38"/>
    <w:qFormat/>
    <w:rsid w:val="008A7B1D"/>
    <w:pPr>
      <w:keepNext/>
      <w:keepLines/>
      <w:tabs>
        <w:tab w:val="right" w:pos="7938"/>
      </w:tabs>
      <w:ind w:firstLine="0"/>
      <w:jc w:val="center"/>
    </w:pPr>
    <w:rPr>
      <w:rFonts w:eastAsiaTheme="minorHAnsi"/>
      <w:i/>
      <w:szCs w:val="24"/>
      <w:lang w:val="fr-FR"/>
    </w:rPr>
  </w:style>
  <w:style w:type="numbering" w:customStyle="1" w:styleId="ECHRA1StyleBulletedSquare">
    <w:name w:val="ECHR_A1_Style_Bulleted_Square"/>
    <w:basedOn w:val="Aucuneliste"/>
    <w:rsid w:val="008A7B1D"/>
    <w:pPr>
      <w:numPr>
        <w:numId w:val="22"/>
      </w:numPr>
    </w:pPr>
  </w:style>
  <w:style w:type="numbering" w:customStyle="1" w:styleId="ECHRA1StyleList">
    <w:name w:val="ECHR_A1_Style_List"/>
    <w:basedOn w:val="Aucuneliste"/>
    <w:uiPriority w:val="99"/>
    <w:rsid w:val="008A7B1D"/>
    <w:pPr>
      <w:numPr>
        <w:numId w:val="23"/>
      </w:numPr>
    </w:pPr>
  </w:style>
  <w:style w:type="numbering" w:customStyle="1" w:styleId="ECHRA1StyleNumberedList">
    <w:name w:val="ECHR_A1_Style_Numbered_List"/>
    <w:basedOn w:val="Aucuneliste"/>
    <w:rsid w:val="008A7B1D"/>
    <w:pPr>
      <w:numPr>
        <w:numId w:val="24"/>
      </w:numPr>
    </w:pPr>
  </w:style>
  <w:style w:type="table" w:customStyle="1" w:styleId="ECHRTable2019">
    <w:name w:val="ECHR_Table_2019"/>
    <w:basedOn w:val="TableauNormal"/>
    <w:uiPriority w:val="99"/>
    <w:rsid w:val="008A7B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Pieddepage"/>
    <w:uiPriority w:val="57"/>
    <w:semiHidden/>
    <w:rsid w:val="008A7B1D"/>
    <w:pPr>
      <w:tabs>
        <w:tab w:val="clear" w:pos="4536"/>
        <w:tab w:val="clear" w:pos="9696"/>
        <w:tab w:val="center" w:pos="3686"/>
        <w:tab w:val="right" w:pos="7371"/>
      </w:tabs>
      <w:ind w:left="0" w:right="0"/>
      <w:jc w:val="left"/>
    </w:pPr>
    <w:rPr>
      <w:sz w:val="8"/>
      <w:szCs w:val="24"/>
      <w:lang w:val="fr-FR"/>
    </w:rPr>
  </w:style>
  <w:style w:type="paragraph" w:customStyle="1" w:styleId="NormalJustified">
    <w:name w:val="Normal_Justified"/>
    <w:basedOn w:val="Normal"/>
    <w:semiHidden/>
    <w:rsid w:val="008A7B1D"/>
    <w:rPr>
      <w:rFonts w:eastAsiaTheme="minorHAnsi"/>
      <w:szCs w:val="24"/>
      <w:lang w:val="fr-FR"/>
    </w:rPr>
  </w:style>
  <w:style w:type="paragraph" w:customStyle="1" w:styleId="ECHRHeaderLandscape">
    <w:name w:val="ECHR_Header_Landscape"/>
    <w:aliases w:val="_Header_Landscape"/>
    <w:basedOn w:val="ECHRHeader"/>
    <w:uiPriority w:val="29"/>
    <w:rsid w:val="008A7B1D"/>
    <w:pPr>
      <w:tabs>
        <w:tab w:val="clear" w:pos="3686"/>
        <w:tab w:val="clear" w:pos="7371"/>
        <w:tab w:val="center" w:pos="6146"/>
        <w:tab w:val="right" w:pos="13778"/>
      </w:tabs>
      <w:ind w:left="-1474" w:right="-1474"/>
      <w:jc w:val="center"/>
    </w:pPr>
    <w:rPr>
      <w:szCs w:val="24"/>
      <w:lang w:val="fr-FR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8A7B1D"/>
    <w:pPr>
      <w:numPr>
        <w:numId w:val="22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8A7B1D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8A7B1D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8A7B1D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8A7B1D"/>
    <w:pPr>
      <w:jc w:val="right"/>
    </w:pPr>
    <w:rPr>
      <w:rFonts w:eastAsiaTheme="minorHAnsi"/>
      <w:color w:val="C00000"/>
      <w:sz w:val="20"/>
      <w:szCs w:val="24"/>
      <w:lang w:val="fr-FR"/>
    </w:r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8A7B1D"/>
    <w:pPr>
      <w:contextualSpacing/>
      <w:jc w:val="center"/>
    </w:pPr>
    <w:rPr>
      <w:rFonts w:ascii="Arial" w:eastAsiaTheme="minorHAnsi" w:hAnsi="Arial"/>
      <w:i/>
      <w:color w:val="002856"/>
      <w:sz w:val="32"/>
      <w:szCs w:val="24"/>
      <w:lang w:val="fr-FR"/>
    </w:rPr>
  </w:style>
  <w:style w:type="character" w:customStyle="1" w:styleId="ECHRDivisionNameChar">
    <w:name w:val="ECHR_DivisionName Char"/>
    <w:aliases w:val="_Div_Name Char"/>
    <w:basedOn w:val="Policepardfaut"/>
    <w:link w:val="ECHRDivisionName"/>
    <w:uiPriority w:val="41"/>
    <w:semiHidden/>
    <w:rsid w:val="008A7B1D"/>
    <w:rPr>
      <w:rFonts w:ascii="Arial" w:hAnsi="Arial"/>
      <w:i/>
      <w:color w:val="002856"/>
      <w:sz w:val="32"/>
      <w:szCs w:val="24"/>
      <w:lang w:val="fr-FR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8A7B1D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  <w:jc w:val="left"/>
    </w:pPr>
    <w:rPr>
      <w:rFonts w:eastAsiaTheme="minorHAnsi"/>
      <w:color w:val="474747" w:themeColor="accent3" w:themeShade="BF"/>
      <w:sz w:val="22"/>
      <w:szCs w:val="24"/>
      <w:lang w:val="fr-FR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8A7B1D"/>
    <w:pPr>
      <w:jc w:val="right"/>
    </w:pPr>
    <w:rPr>
      <w:rFonts w:eastAsiaTheme="minorHAnsi"/>
      <w:sz w:val="20"/>
      <w:szCs w:val="24"/>
      <w:lang w:val="fr-FR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8A7B1D"/>
    <w:pPr>
      <w:jc w:val="right"/>
    </w:pPr>
    <w:rPr>
      <w:rFonts w:eastAsiaTheme="minorHAnsi"/>
      <w:i/>
      <w:sz w:val="20"/>
      <w:szCs w:val="24"/>
      <w:lang w:val="fr-FR"/>
    </w:rPr>
  </w:style>
  <w:style w:type="paragraph" w:customStyle="1" w:styleId="ECHRHeading9">
    <w:name w:val="ECHR_Heading_9"/>
    <w:aliases w:val="_Head_9"/>
    <w:basedOn w:val="Titre9"/>
    <w:uiPriority w:val="17"/>
    <w:semiHidden/>
    <w:rsid w:val="008A7B1D"/>
    <w:pPr>
      <w:keepNext/>
      <w:keepLines/>
      <w:spacing w:before="100" w:beforeAutospacing="1"/>
      <w:ind w:left="1361" w:hanging="170"/>
      <w:contextualSpacing/>
    </w:pPr>
    <w:rPr>
      <w:i w:val="0"/>
      <w:sz w:val="18"/>
      <w:lang w:val="fr-FR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8A7B1D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8A7B1D"/>
    <w:pPr>
      <w:numPr>
        <w:numId w:val="24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8A7B1D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8A7B1D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8A7B1D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8A7B1D"/>
    <w:pPr>
      <w:spacing w:before="120" w:after="120"/>
      <w:ind w:left="567"/>
    </w:pPr>
  </w:style>
  <w:style w:type="character" w:customStyle="1" w:styleId="ECHRRed">
    <w:name w:val="ECHR_Red"/>
    <w:aliases w:val="_Red"/>
    <w:basedOn w:val="Policepardfaut"/>
    <w:uiPriority w:val="15"/>
    <w:semiHidden/>
    <w:qFormat/>
    <w:rsid w:val="008A7B1D"/>
    <w:rPr>
      <w:color w:val="C00000" w:themeColor="accent2"/>
    </w:rPr>
  </w:style>
  <w:style w:type="table" w:customStyle="1" w:styleId="ECHRTable2">
    <w:name w:val="ECHR_Table_2"/>
    <w:basedOn w:val="TableauNormal"/>
    <w:uiPriority w:val="99"/>
    <w:rsid w:val="008A7B1D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auNormal"/>
    <w:uiPriority w:val="99"/>
    <w:rsid w:val="008A7B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8A7B1D"/>
    <w:pPr>
      <w:keepNext/>
      <w:keepLines/>
      <w:spacing w:before="240"/>
      <w:contextualSpacing/>
      <w:jc w:val="left"/>
    </w:pPr>
    <w:rPr>
      <w:rFonts w:asciiTheme="majorHAnsi" w:eastAsiaTheme="minorHAnsi" w:hAnsiTheme="majorHAnsi"/>
      <w:b/>
      <w:color w:val="474747" w:themeColor="accent3" w:themeShade="BF"/>
      <w:sz w:val="28"/>
      <w:szCs w:val="24"/>
      <w:lang w:val="fr-FR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8A7B1D"/>
    <w:pPr>
      <w:keepNext/>
      <w:keepLines/>
      <w:spacing w:before="240"/>
      <w:contextualSpacing/>
      <w:jc w:val="left"/>
    </w:pPr>
    <w:rPr>
      <w:rFonts w:asciiTheme="majorHAnsi" w:eastAsiaTheme="minorHAnsi" w:hAnsiTheme="majorHAnsi"/>
      <w:b/>
      <w:color w:val="474747" w:themeColor="accent3" w:themeShade="BF"/>
      <w:szCs w:val="24"/>
      <w:lang w:val="fr-FR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8A7B1D"/>
    <w:pPr>
      <w:spacing w:before="240" w:after="0"/>
      <w:contextualSpacing/>
    </w:pPr>
    <w:rPr>
      <w:rFonts w:eastAsiaTheme="minorHAnsi"/>
      <w:b/>
      <w:color w:val="2F2F2F" w:themeColor="accent3" w:themeShade="80"/>
      <w:sz w:val="32"/>
      <w:szCs w:val="24"/>
      <w:lang w:val="fr-FR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8A7B1D"/>
    <w:pPr>
      <w:spacing w:before="240" w:after="0"/>
      <w:contextualSpacing/>
      <w:jc w:val="left"/>
    </w:pPr>
    <w:rPr>
      <w:rFonts w:eastAsiaTheme="minorHAnsi"/>
      <w:b/>
      <w:color w:val="2F2F2F" w:themeColor="accent3" w:themeShade="80"/>
      <w:sz w:val="32"/>
      <w:szCs w:val="24"/>
      <w:lang w:val="fr-FR"/>
    </w:rPr>
  </w:style>
  <w:style w:type="paragraph" w:customStyle="1" w:styleId="ECHRPlaceholder">
    <w:name w:val="ECHR_Placeholder"/>
    <w:aliases w:val="_Placeholder"/>
    <w:basedOn w:val="JuSigned"/>
    <w:uiPriority w:val="31"/>
    <w:rsid w:val="008A7B1D"/>
    <w:pPr>
      <w:tabs>
        <w:tab w:val="clear" w:pos="851"/>
        <w:tab w:val="clear" w:pos="6407"/>
        <w:tab w:val="center" w:pos="1418"/>
        <w:tab w:val="center" w:pos="5954"/>
      </w:tabs>
    </w:pPr>
    <w:rPr>
      <w:rFonts w:eastAsiaTheme="minorHAnsi"/>
      <w:color w:val="FFFFFF"/>
      <w:szCs w:val="24"/>
      <w:lang w:val="fr-FR"/>
    </w:rPr>
  </w:style>
  <w:style w:type="table" w:customStyle="1" w:styleId="ECHRTableGrey">
    <w:name w:val="ECHR_Table_Grey"/>
    <w:basedOn w:val="TableauNormal"/>
    <w:uiPriority w:val="99"/>
    <w:rsid w:val="008A7B1D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8A7B1D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ECHRPara"/>
    <w:uiPriority w:val="4"/>
    <w:rsid w:val="008A7B1D"/>
    <w:rPr>
      <w:rFonts w:eastAsiaTheme="minorEastAsia"/>
      <w:sz w:val="24"/>
      <w:lang w:val="en-GB"/>
    </w:rPr>
  </w:style>
  <w:style w:type="character" w:customStyle="1" w:styleId="JuNames0">
    <w:name w:val="Ju_Names"/>
    <w:rsid w:val="008A7B1D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8A7B1D"/>
    <w:pPr>
      <w:tabs>
        <w:tab w:val="num" w:pos="1701"/>
      </w:tabs>
      <w:spacing w:before="60" w:after="60" w:line="240" w:lineRule="exact"/>
      <w:ind w:left="1703" w:hanging="284"/>
      <w:contextualSpacing/>
    </w:pPr>
    <w:rPr>
      <w:rFonts w:eastAsiaTheme="minorHAnsi"/>
      <w:sz w:val="22"/>
      <w:szCs w:val="24"/>
      <w:lang w:val="fr-FR" w:eastAsia="fr-FR"/>
    </w:rPr>
  </w:style>
  <w:style w:type="table" w:styleId="TableauGrille1Clair">
    <w:name w:val="Grid Table 1 Light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A7B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A7B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A7B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A7B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A7B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A7B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B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A7B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A7B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A7B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A7B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A7B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A7B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A7B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8A7B1D"/>
    <w:rPr>
      <w:color w:val="2B579A"/>
      <w:shd w:val="clear" w:color="auto" w:fill="E1DFDD"/>
    </w:rPr>
  </w:style>
  <w:style w:type="table" w:styleId="TableauListe1Clair">
    <w:name w:val="List Table 1 Light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0">
    <w:name w:val="List Table 2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0">
    <w:name w:val="List Table 3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A7B1D"/>
    <w:rPr>
      <w:color w:val="0072BC" w:themeColor="background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A7B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A7B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A7B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A7B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A7B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A7B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A7B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A7B1D"/>
    <w:rPr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A7B1D"/>
    <w:rPr>
      <w:color w:val="00548C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A7B1D"/>
    <w:rPr>
      <w:color w:val="8F0000" w:themeColor="accent2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A7B1D"/>
    <w:rPr>
      <w:color w:val="474747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A7B1D"/>
    <w:rPr>
      <w:color w:val="707070" w:themeColor="accent4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A7B1D"/>
    <w:rPr>
      <w:color w:val="474747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A7B1D"/>
    <w:rPr>
      <w:color w:val="393939" w:themeColor="accent6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8A7B1D"/>
    <w:rPr>
      <w:color w:val="2B579A"/>
      <w:shd w:val="clear" w:color="auto" w:fill="E1DFDD"/>
    </w:rPr>
  </w:style>
  <w:style w:type="table" w:styleId="Tableausimple10">
    <w:name w:val="Plain Table 1"/>
    <w:basedOn w:val="TableauNormal"/>
    <w:uiPriority w:val="41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8A7B1D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A7B1D"/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Policepardfaut"/>
    <w:uiPriority w:val="99"/>
    <w:semiHidden/>
    <w:unhideWhenUsed/>
    <w:rsid w:val="008A7B1D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8A7B1D"/>
    <w:rPr>
      <w:color w:val="0000FF"/>
      <w:u w:val="single"/>
      <w:shd w:val="clear" w:color="auto" w:fill="F3F2F1"/>
    </w:rPr>
  </w:style>
  <w:style w:type="table" w:styleId="Grilledetableauclaire">
    <w:name w:val="Grid Table Light"/>
    <w:basedOn w:val="TableauNormal"/>
    <w:uiPriority w:val="40"/>
    <w:rsid w:val="008A7B1D"/>
    <w:rPr>
      <w:sz w:val="24"/>
      <w:szCs w:val="24"/>
    </w:rPr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paragraph" w:styleId="Rvision">
    <w:name w:val="Revision"/>
    <w:hidden/>
    <w:uiPriority w:val="99"/>
    <w:semiHidden/>
    <w:rsid w:val="008A7B1D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FA84-FE8B-4F84-A43D-1DC788E6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15850</Words>
  <Characters>87179</Characters>
  <Application>Microsoft Office Word</Application>
  <DocSecurity>0</DocSecurity>
  <Lines>726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102824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DJF</dc:subject>
  <dc:creator/>
  <cp:lastModifiedBy/>
  <cp:revision>1</cp:revision>
  <dcterms:created xsi:type="dcterms:W3CDTF">2025-10-14T08:20:00Z</dcterms:created>
  <dcterms:modified xsi:type="dcterms:W3CDTF">2025-10-14T08:36:00Z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879348</vt:lpwstr>
  </property>
  <property fmtid="{D5CDD505-2E9C-101B-9397-08002B2CF9AE}" pid="3" name="cstLanguage">
    <vt:i4>1036</vt:i4>
  </property>
  <property fmtid="{D5CDD505-2E9C-101B-9397-08002B2CF9AE}" pid="4" name="RegisteredNo">
    <vt:lpwstr>28798/13</vt:lpwstr>
  </property>
</Properties>
</file>