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51BE" w14:textId="77777777" w:rsidR="00E91D98" w:rsidRPr="005D75BD" w:rsidRDefault="00E91D98" w:rsidP="00E91D98">
      <w:pPr>
        <w:jc w:val="center"/>
        <w:rPr>
          <w:rFonts w:ascii="Times New Roman" w:hAnsi="Times New Roman" w:cs="Times New Roman"/>
          <w:b/>
          <w:bCs/>
          <w:sz w:val="24"/>
          <w:szCs w:val="24"/>
        </w:rPr>
      </w:pPr>
      <w:r w:rsidRPr="005D75BD">
        <w:rPr>
          <w:rFonts w:ascii="Times New Roman" w:hAnsi="Times New Roman" w:cs="Times New Roman"/>
          <w:b/>
          <w:bCs/>
          <w:sz w:val="24"/>
          <w:szCs w:val="24"/>
        </w:rPr>
        <w:t>Droit de la Convention européenne des droits de l’homme</w:t>
      </w:r>
    </w:p>
    <w:p w14:paraId="3548EA93" w14:textId="77777777" w:rsidR="00E91D98" w:rsidRPr="005D75BD" w:rsidRDefault="00E91D98" w:rsidP="00E91D98">
      <w:pPr>
        <w:jc w:val="center"/>
        <w:rPr>
          <w:rFonts w:ascii="Times New Roman" w:hAnsi="Times New Roman" w:cs="Times New Roman"/>
          <w:b/>
          <w:bCs/>
          <w:sz w:val="24"/>
          <w:szCs w:val="24"/>
        </w:rPr>
      </w:pPr>
      <w:r w:rsidRPr="005D75BD">
        <w:rPr>
          <w:rFonts w:ascii="Times New Roman" w:hAnsi="Times New Roman" w:cs="Times New Roman"/>
          <w:b/>
          <w:bCs/>
          <w:sz w:val="24"/>
          <w:szCs w:val="24"/>
        </w:rPr>
        <w:t>Travaux dirigés</w:t>
      </w:r>
    </w:p>
    <w:p w14:paraId="495BC951" w14:textId="05EE68CA" w:rsidR="00E91D98" w:rsidRPr="005D75BD" w:rsidRDefault="00E91D98" w:rsidP="00E91D98">
      <w:pPr>
        <w:jc w:val="center"/>
        <w:rPr>
          <w:rFonts w:ascii="Times New Roman" w:hAnsi="Times New Roman" w:cs="Times New Roman"/>
          <w:b/>
          <w:bCs/>
          <w:sz w:val="24"/>
          <w:szCs w:val="24"/>
        </w:rPr>
      </w:pPr>
      <w:r w:rsidRPr="005D75BD">
        <w:rPr>
          <w:rFonts w:ascii="Times New Roman" w:hAnsi="Times New Roman" w:cs="Times New Roman"/>
          <w:b/>
          <w:bCs/>
          <w:sz w:val="24"/>
          <w:szCs w:val="24"/>
        </w:rPr>
        <w:t xml:space="preserve">Séance 5 : </w:t>
      </w:r>
      <w:r>
        <w:rPr>
          <w:rFonts w:ascii="Times New Roman" w:hAnsi="Times New Roman" w:cs="Times New Roman"/>
          <w:b/>
          <w:bCs/>
          <w:sz w:val="24"/>
          <w:szCs w:val="24"/>
        </w:rPr>
        <w:t>Les violences intrafamiliales</w:t>
      </w:r>
    </w:p>
    <w:p w14:paraId="6146FFF1" w14:textId="77777777" w:rsidR="00E91D98" w:rsidRPr="005D75BD" w:rsidRDefault="00E91D98" w:rsidP="00E91D98">
      <w:pPr>
        <w:jc w:val="center"/>
        <w:rPr>
          <w:rFonts w:ascii="Times New Roman" w:hAnsi="Times New Roman" w:cs="Times New Roman"/>
          <w:b/>
          <w:bCs/>
          <w:sz w:val="24"/>
          <w:szCs w:val="24"/>
        </w:rPr>
      </w:pPr>
    </w:p>
    <w:p w14:paraId="7BD5A061" w14:textId="77777777" w:rsidR="00E91D98" w:rsidRPr="005D75BD" w:rsidRDefault="00E91D98" w:rsidP="00E91D98">
      <w:pPr>
        <w:rPr>
          <w:rFonts w:ascii="Times New Roman" w:hAnsi="Times New Roman" w:cs="Times New Roman"/>
          <w:sz w:val="24"/>
          <w:szCs w:val="24"/>
        </w:rPr>
      </w:pPr>
      <w:r w:rsidRPr="005D75BD">
        <w:rPr>
          <w:rFonts w:ascii="Times New Roman" w:hAnsi="Times New Roman" w:cs="Times New Roman"/>
          <w:b/>
          <w:bCs/>
          <w:sz w:val="24"/>
          <w:szCs w:val="24"/>
        </w:rPr>
        <w:t>Cas pratique</w:t>
      </w:r>
      <w:r w:rsidRPr="005D75BD">
        <w:rPr>
          <w:rFonts w:ascii="Times New Roman" w:hAnsi="Times New Roman" w:cs="Times New Roman"/>
          <w:sz w:val="24"/>
          <w:szCs w:val="24"/>
        </w:rPr>
        <w:t xml:space="preserve"> : Présentez, en deux groupes, les arguments que peuvent invoquer d’une part le requérant et d’autre part l’Etat français devant la Cour européenne des droits de l’homme. </w:t>
      </w:r>
    </w:p>
    <w:p w14:paraId="4D76B5A7" w14:textId="77777777" w:rsidR="00E91D98" w:rsidRPr="005D75BD" w:rsidRDefault="00E91D98" w:rsidP="00E91D98">
      <w:pPr>
        <w:jc w:val="both"/>
        <w:rPr>
          <w:rFonts w:ascii="Times New Roman" w:hAnsi="Times New Roman" w:cs="Times New Roman"/>
          <w:sz w:val="24"/>
          <w:szCs w:val="24"/>
        </w:rPr>
      </w:pPr>
    </w:p>
    <w:p w14:paraId="60EE65FB" w14:textId="3F20C58E" w:rsidR="00E91D98" w:rsidRDefault="00E91D98" w:rsidP="00E91D98">
      <w:pPr>
        <w:jc w:val="both"/>
        <w:rPr>
          <w:rFonts w:ascii="Times New Roman" w:hAnsi="Times New Roman" w:cs="Times New Roman"/>
          <w:sz w:val="24"/>
          <w:szCs w:val="24"/>
        </w:rPr>
      </w:pPr>
      <w:r w:rsidRPr="005D75BD">
        <w:rPr>
          <w:rFonts w:ascii="Times New Roman" w:hAnsi="Times New Roman" w:cs="Times New Roman"/>
          <w:sz w:val="24"/>
          <w:szCs w:val="24"/>
        </w:rPr>
        <w:t>Thomas, âgé de 16 ans a vu son beau-père</w:t>
      </w:r>
      <w:r>
        <w:rPr>
          <w:rFonts w:ascii="Times New Roman" w:hAnsi="Times New Roman" w:cs="Times New Roman"/>
          <w:sz w:val="24"/>
          <w:szCs w:val="24"/>
        </w:rPr>
        <w:t xml:space="preserve"> Cédric</w:t>
      </w:r>
      <w:r w:rsidRPr="005D75BD">
        <w:rPr>
          <w:rFonts w:ascii="Times New Roman" w:hAnsi="Times New Roman" w:cs="Times New Roman"/>
          <w:sz w:val="24"/>
          <w:szCs w:val="24"/>
        </w:rPr>
        <w:t xml:space="preserve"> frapper </w:t>
      </w:r>
      <w:r w:rsidR="00A06A24">
        <w:rPr>
          <w:rFonts w:ascii="Times New Roman" w:hAnsi="Times New Roman" w:cs="Times New Roman"/>
          <w:sz w:val="24"/>
          <w:szCs w:val="24"/>
        </w:rPr>
        <w:t xml:space="preserve">régulièrement </w:t>
      </w:r>
      <w:r w:rsidRPr="005D75BD">
        <w:rPr>
          <w:rFonts w:ascii="Times New Roman" w:hAnsi="Times New Roman" w:cs="Times New Roman"/>
          <w:sz w:val="24"/>
          <w:szCs w:val="24"/>
        </w:rPr>
        <w:t xml:space="preserve">sa mère </w:t>
      </w:r>
      <w:r w:rsidR="00A06A24">
        <w:rPr>
          <w:rFonts w:ascii="Times New Roman" w:hAnsi="Times New Roman" w:cs="Times New Roman"/>
          <w:sz w:val="24"/>
          <w:szCs w:val="24"/>
        </w:rPr>
        <w:t>Sandrine</w:t>
      </w:r>
      <w:r>
        <w:rPr>
          <w:rFonts w:ascii="Times New Roman" w:hAnsi="Times New Roman" w:cs="Times New Roman"/>
          <w:sz w:val="24"/>
          <w:szCs w:val="24"/>
        </w:rPr>
        <w:t xml:space="preserve"> depuis le début de leur vie commune alors qu’il avait 10 ans</w:t>
      </w:r>
      <w:r w:rsidRPr="005D75BD">
        <w:rPr>
          <w:rFonts w:ascii="Times New Roman" w:hAnsi="Times New Roman" w:cs="Times New Roman"/>
          <w:sz w:val="24"/>
          <w:szCs w:val="24"/>
        </w:rPr>
        <w:t xml:space="preserve">. </w:t>
      </w:r>
      <w:r>
        <w:rPr>
          <w:rFonts w:ascii="Times New Roman" w:hAnsi="Times New Roman" w:cs="Times New Roman"/>
          <w:sz w:val="24"/>
          <w:szCs w:val="24"/>
        </w:rPr>
        <w:t>Il a lui-même subi des violences de la part de son beau-père lorsqu’il était plus jeune. Ce dernier affirmait qu’il s’agissait de méthodes d’éducation « un peu musclées mais efficaces ». C’est ce qu’il avait répondu à l’assistante sociale de l’école qui avait été alertée par la mère d’un des petits camarades de Thomas. Aucune suite n’avait été donné à cet entretien.</w:t>
      </w:r>
    </w:p>
    <w:p w14:paraId="5E23B0CA" w14:textId="41FD3C5F" w:rsidR="00E91D98" w:rsidRPr="005D75BD" w:rsidRDefault="00E91D98" w:rsidP="00E91D98">
      <w:pPr>
        <w:jc w:val="both"/>
        <w:rPr>
          <w:rFonts w:ascii="Times New Roman" w:hAnsi="Times New Roman" w:cs="Times New Roman"/>
          <w:sz w:val="24"/>
          <w:szCs w:val="24"/>
        </w:rPr>
      </w:pPr>
      <w:r w:rsidRPr="005D75BD">
        <w:rPr>
          <w:rFonts w:ascii="Times New Roman" w:hAnsi="Times New Roman" w:cs="Times New Roman"/>
          <w:sz w:val="24"/>
          <w:szCs w:val="24"/>
        </w:rPr>
        <w:t xml:space="preserve">Il y a un an, </w:t>
      </w:r>
      <w:r>
        <w:rPr>
          <w:rFonts w:ascii="Times New Roman" w:hAnsi="Times New Roman" w:cs="Times New Roman"/>
          <w:sz w:val="24"/>
          <w:szCs w:val="24"/>
        </w:rPr>
        <w:t>Cédric</w:t>
      </w:r>
      <w:r w:rsidRPr="005D75BD">
        <w:rPr>
          <w:rFonts w:ascii="Times New Roman" w:hAnsi="Times New Roman" w:cs="Times New Roman"/>
          <w:sz w:val="24"/>
          <w:szCs w:val="24"/>
        </w:rPr>
        <w:t xml:space="preserve"> a assassiné</w:t>
      </w:r>
      <w:r>
        <w:rPr>
          <w:rFonts w:ascii="Times New Roman" w:hAnsi="Times New Roman" w:cs="Times New Roman"/>
          <w:sz w:val="24"/>
          <w:szCs w:val="24"/>
        </w:rPr>
        <w:t xml:space="preserve"> </w:t>
      </w:r>
      <w:r w:rsidR="009761FD">
        <w:rPr>
          <w:rFonts w:ascii="Times New Roman" w:hAnsi="Times New Roman" w:cs="Times New Roman"/>
          <w:sz w:val="24"/>
          <w:szCs w:val="24"/>
        </w:rPr>
        <w:t>Sandrine</w:t>
      </w:r>
      <w:r w:rsidRPr="005D75BD">
        <w:rPr>
          <w:rFonts w:ascii="Times New Roman" w:hAnsi="Times New Roman" w:cs="Times New Roman"/>
          <w:sz w:val="24"/>
          <w:szCs w:val="24"/>
        </w:rPr>
        <w:t xml:space="preserve">. </w:t>
      </w:r>
      <w:r>
        <w:rPr>
          <w:rFonts w:ascii="Times New Roman" w:hAnsi="Times New Roman" w:cs="Times New Roman"/>
          <w:sz w:val="24"/>
          <w:szCs w:val="24"/>
        </w:rPr>
        <w:t>Celle-ci</w:t>
      </w:r>
      <w:r w:rsidRPr="005D75BD">
        <w:rPr>
          <w:rFonts w:ascii="Times New Roman" w:hAnsi="Times New Roman" w:cs="Times New Roman"/>
          <w:sz w:val="24"/>
          <w:szCs w:val="24"/>
        </w:rPr>
        <w:t xml:space="preserve"> avait porté plainte deux fois contre lui </w:t>
      </w:r>
      <w:r>
        <w:rPr>
          <w:rFonts w:ascii="Times New Roman" w:hAnsi="Times New Roman" w:cs="Times New Roman"/>
          <w:sz w:val="24"/>
          <w:szCs w:val="24"/>
        </w:rPr>
        <w:t xml:space="preserve">les mois précédents </w:t>
      </w:r>
      <w:r w:rsidRPr="005D75BD">
        <w:rPr>
          <w:rFonts w:ascii="Times New Roman" w:hAnsi="Times New Roman" w:cs="Times New Roman"/>
          <w:sz w:val="24"/>
          <w:szCs w:val="24"/>
        </w:rPr>
        <w:t>mais à chaque fois elle s’était désistée de sa plainte. La police avait cependant été alertée plusieurs fois par les voisins mais avait refusé de se déplacer.</w:t>
      </w:r>
    </w:p>
    <w:p w14:paraId="063CC2A2" w14:textId="6A337338" w:rsidR="002B1A06" w:rsidRDefault="00E91D98" w:rsidP="00E91D98">
      <w:pPr>
        <w:rPr>
          <w:rFonts w:ascii="Times New Roman" w:hAnsi="Times New Roman" w:cs="Times New Roman"/>
          <w:sz w:val="24"/>
          <w:szCs w:val="24"/>
        </w:rPr>
      </w:pPr>
      <w:r w:rsidRPr="005D75BD">
        <w:rPr>
          <w:rFonts w:ascii="Times New Roman" w:hAnsi="Times New Roman" w:cs="Times New Roman"/>
          <w:sz w:val="24"/>
          <w:szCs w:val="24"/>
        </w:rPr>
        <w:t xml:space="preserve">Thomas </w:t>
      </w:r>
      <w:r>
        <w:rPr>
          <w:rFonts w:ascii="Times New Roman" w:hAnsi="Times New Roman" w:cs="Times New Roman"/>
          <w:sz w:val="24"/>
          <w:szCs w:val="24"/>
        </w:rPr>
        <w:t>souhaite saisir</w:t>
      </w:r>
      <w:r w:rsidRPr="005D75BD">
        <w:rPr>
          <w:rFonts w:ascii="Times New Roman" w:hAnsi="Times New Roman" w:cs="Times New Roman"/>
          <w:sz w:val="24"/>
          <w:szCs w:val="24"/>
        </w:rPr>
        <w:t xml:space="preserve"> la Cour européenne des droits de l’homme en son nom et</w:t>
      </w:r>
      <w:r>
        <w:rPr>
          <w:rFonts w:ascii="Times New Roman" w:hAnsi="Times New Roman" w:cs="Times New Roman"/>
          <w:sz w:val="24"/>
          <w:szCs w:val="24"/>
        </w:rPr>
        <w:t xml:space="preserve"> au nom de sa mère. </w:t>
      </w:r>
    </w:p>
    <w:p w14:paraId="52D81B83" w14:textId="47A44735" w:rsidR="004D3B48" w:rsidRDefault="004D3B48">
      <w:pPr>
        <w:rPr>
          <w:rFonts w:ascii="Times New Roman" w:hAnsi="Times New Roman" w:cs="Times New Roman"/>
          <w:sz w:val="24"/>
          <w:szCs w:val="24"/>
        </w:rPr>
      </w:pPr>
      <w:r>
        <w:rPr>
          <w:rFonts w:ascii="Times New Roman" w:hAnsi="Times New Roman" w:cs="Times New Roman"/>
          <w:sz w:val="24"/>
          <w:szCs w:val="24"/>
        </w:rPr>
        <w:br w:type="page"/>
      </w:r>
    </w:p>
    <w:p w14:paraId="090469F2" w14:textId="77777777" w:rsidR="004D3B48" w:rsidRPr="005D75BD" w:rsidRDefault="004D3B48" w:rsidP="004D3B48">
      <w:pPr>
        <w:jc w:val="center"/>
        <w:rPr>
          <w:rFonts w:ascii="Times New Roman" w:hAnsi="Times New Roman" w:cs="Times New Roman"/>
          <w:b/>
          <w:bCs/>
          <w:sz w:val="24"/>
          <w:szCs w:val="24"/>
        </w:rPr>
      </w:pPr>
      <w:r w:rsidRPr="005D75BD">
        <w:rPr>
          <w:rFonts w:ascii="Times New Roman" w:hAnsi="Times New Roman" w:cs="Times New Roman"/>
          <w:b/>
          <w:bCs/>
          <w:sz w:val="24"/>
          <w:szCs w:val="24"/>
        </w:rPr>
        <w:lastRenderedPageBreak/>
        <w:t>Droit de la Convention européenne des droits de l’homme</w:t>
      </w:r>
    </w:p>
    <w:p w14:paraId="09612709" w14:textId="77777777" w:rsidR="004D3B48" w:rsidRPr="005D75BD" w:rsidRDefault="004D3B48" w:rsidP="004D3B48">
      <w:pPr>
        <w:jc w:val="center"/>
        <w:rPr>
          <w:rFonts w:ascii="Times New Roman" w:hAnsi="Times New Roman" w:cs="Times New Roman"/>
          <w:b/>
          <w:bCs/>
          <w:sz w:val="24"/>
          <w:szCs w:val="24"/>
        </w:rPr>
      </w:pPr>
      <w:r w:rsidRPr="005D75BD">
        <w:rPr>
          <w:rFonts w:ascii="Times New Roman" w:hAnsi="Times New Roman" w:cs="Times New Roman"/>
          <w:b/>
          <w:bCs/>
          <w:sz w:val="24"/>
          <w:szCs w:val="24"/>
        </w:rPr>
        <w:t>Travaux dirigés</w:t>
      </w:r>
    </w:p>
    <w:p w14:paraId="1C5E6D3E" w14:textId="77777777" w:rsidR="00305836" w:rsidRPr="005063B2" w:rsidRDefault="00305836" w:rsidP="00305836">
      <w:pPr>
        <w:jc w:val="center"/>
        <w:rPr>
          <w:rFonts w:ascii="Times New Roman" w:hAnsi="Times New Roman" w:cs="Times New Roman"/>
          <w:b/>
          <w:bCs/>
          <w:sz w:val="24"/>
          <w:szCs w:val="24"/>
        </w:rPr>
      </w:pPr>
      <w:r w:rsidRPr="005063B2">
        <w:rPr>
          <w:rFonts w:ascii="Times New Roman" w:hAnsi="Times New Roman" w:cs="Times New Roman"/>
          <w:b/>
          <w:bCs/>
          <w:sz w:val="24"/>
          <w:szCs w:val="24"/>
        </w:rPr>
        <w:t>Séance 6 : L’identité sexuelle</w:t>
      </w:r>
    </w:p>
    <w:p w14:paraId="6D919C51" w14:textId="77777777" w:rsidR="00305836" w:rsidRPr="005063B2" w:rsidRDefault="00305836" w:rsidP="00305836">
      <w:pPr>
        <w:jc w:val="center"/>
        <w:rPr>
          <w:rFonts w:ascii="Times New Roman" w:hAnsi="Times New Roman" w:cs="Times New Roman"/>
          <w:b/>
          <w:bCs/>
          <w:sz w:val="24"/>
          <w:szCs w:val="24"/>
        </w:rPr>
      </w:pPr>
    </w:p>
    <w:p w14:paraId="6F317F80" w14:textId="6EEC56CC" w:rsidR="009E780E" w:rsidRDefault="009E780E" w:rsidP="009E780E">
      <w:pPr>
        <w:jc w:val="both"/>
        <w:rPr>
          <w:rFonts w:ascii="Times New Roman" w:hAnsi="Times New Roman" w:cs="Times New Roman"/>
          <w:sz w:val="24"/>
          <w:szCs w:val="24"/>
        </w:rPr>
      </w:pPr>
      <w:r w:rsidRPr="009E780E">
        <w:rPr>
          <w:rFonts w:ascii="Times New Roman" w:hAnsi="Times New Roman" w:cs="Times New Roman"/>
          <w:b/>
          <w:bCs/>
          <w:sz w:val="24"/>
          <w:szCs w:val="24"/>
        </w:rPr>
        <w:t>1.</w:t>
      </w:r>
      <w:r>
        <w:rPr>
          <w:rFonts w:ascii="Times New Roman" w:hAnsi="Times New Roman" w:cs="Times New Roman"/>
          <w:sz w:val="24"/>
          <w:szCs w:val="24"/>
        </w:rPr>
        <w:t xml:space="preserve"> </w:t>
      </w:r>
      <w:r w:rsidR="00305836" w:rsidRPr="009E780E">
        <w:rPr>
          <w:rFonts w:ascii="Times New Roman" w:hAnsi="Times New Roman" w:cs="Times New Roman"/>
          <w:sz w:val="24"/>
          <w:szCs w:val="24"/>
        </w:rPr>
        <w:t>Commentez l’arrêt</w:t>
      </w:r>
      <w:r w:rsidR="00C85A86">
        <w:rPr>
          <w:rFonts w:ascii="Times New Roman" w:hAnsi="Times New Roman" w:cs="Times New Roman"/>
          <w:sz w:val="24"/>
          <w:szCs w:val="24"/>
        </w:rPr>
        <w:t xml:space="preserve"> de</w:t>
      </w:r>
      <w:r w:rsidR="00305836" w:rsidRPr="009E780E">
        <w:rPr>
          <w:rFonts w:ascii="Times New Roman" w:hAnsi="Times New Roman" w:cs="Times New Roman"/>
          <w:sz w:val="24"/>
          <w:szCs w:val="24"/>
        </w:rPr>
        <w:t xml:space="preserve"> la Cour européenne des droits de l’homme du 4 avril 2023, </w:t>
      </w:r>
      <w:r w:rsidR="00731CEF" w:rsidRPr="009E780E">
        <w:rPr>
          <w:rFonts w:ascii="Times New Roman" w:hAnsi="Times New Roman" w:cs="Times New Roman"/>
          <w:b/>
          <w:bCs/>
          <w:sz w:val="24"/>
          <w:szCs w:val="24"/>
        </w:rPr>
        <w:t xml:space="preserve">A.H. ET AUTRES c. </w:t>
      </w:r>
      <w:r w:rsidR="00731CEF">
        <w:rPr>
          <w:rFonts w:ascii="Times New Roman" w:hAnsi="Times New Roman" w:cs="Times New Roman"/>
          <w:b/>
          <w:bCs/>
          <w:sz w:val="24"/>
          <w:szCs w:val="24"/>
        </w:rPr>
        <w:t xml:space="preserve">Allemagne </w:t>
      </w:r>
    </w:p>
    <w:p w14:paraId="18267A30" w14:textId="16188A4A" w:rsidR="00305836" w:rsidRPr="009E780E" w:rsidRDefault="00305836" w:rsidP="00305836">
      <w:pPr>
        <w:jc w:val="both"/>
        <w:rPr>
          <w:rFonts w:ascii="Times New Roman" w:hAnsi="Times New Roman" w:cs="Times New Roman"/>
          <w:sz w:val="24"/>
          <w:szCs w:val="24"/>
        </w:rPr>
      </w:pPr>
      <w:r w:rsidRPr="00305836">
        <w:rPr>
          <w:rFonts w:ascii="Times New Roman" w:hAnsi="Times New Roman" w:cs="Times New Roman"/>
          <w:b/>
          <w:bCs/>
          <w:sz w:val="24"/>
          <w:szCs w:val="24"/>
        </w:rPr>
        <w:t xml:space="preserve">2. </w:t>
      </w:r>
      <w:r w:rsidR="00C85A86">
        <w:rPr>
          <w:rFonts w:ascii="Times New Roman" w:hAnsi="Times New Roman" w:cs="Times New Roman"/>
          <w:sz w:val="24"/>
          <w:szCs w:val="24"/>
        </w:rPr>
        <w:t>A votre avis si</w:t>
      </w:r>
      <w:r w:rsidRPr="009E780E">
        <w:rPr>
          <w:rFonts w:ascii="Times New Roman" w:hAnsi="Times New Roman" w:cs="Times New Roman"/>
          <w:sz w:val="24"/>
          <w:szCs w:val="24"/>
        </w:rPr>
        <w:t xml:space="preserve"> l’arrêt de la Cour de cassation du 16 septembre </w:t>
      </w:r>
      <w:r w:rsidR="008B6983" w:rsidRPr="009E780E">
        <w:rPr>
          <w:rFonts w:ascii="Times New Roman" w:hAnsi="Times New Roman" w:cs="Times New Roman"/>
          <w:sz w:val="24"/>
          <w:szCs w:val="24"/>
        </w:rPr>
        <w:t>2020</w:t>
      </w:r>
      <w:r w:rsidR="008B6983" w:rsidRPr="00305836">
        <w:rPr>
          <w:rFonts w:ascii="Times New Roman" w:hAnsi="Times New Roman" w:cs="Times New Roman"/>
          <w:b/>
          <w:bCs/>
          <w:sz w:val="24"/>
          <w:szCs w:val="24"/>
        </w:rPr>
        <w:t xml:space="preserve"> </w:t>
      </w:r>
      <w:r w:rsidR="008B6983">
        <w:rPr>
          <w:rFonts w:ascii="Times New Roman" w:hAnsi="Times New Roman" w:cs="Times New Roman"/>
          <w:sz w:val="24"/>
          <w:szCs w:val="24"/>
        </w:rPr>
        <w:t>avait</w:t>
      </w:r>
      <w:r w:rsidR="00C85A86">
        <w:rPr>
          <w:rFonts w:ascii="Times New Roman" w:hAnsi="Times New Roman" w:cs="Times New Roman"/>
          <w:sz w:val="24"/>
          <w:szCs w:val="24"/>
        </w:rPr>
        <w:t xml:space="preserve"> été soumis à la Cour européenne qu’aurait décidé celle-ci </w:t>
      </w:r>
      <w:r w:rsidR="008B6983" w:rsidRPr="009E780E">
        <w:rPr>
          <w:rFonts w:ascii="Times New Roman" w:hAnsi="Times New Roman" w:cs="Times New Roman"/>
          <w:sz w:val="24"/>
          <w:szCs w:val="24"/>
        </w:rPr>
        <w:t>(Master droit des personnes et des familles)</w:t>
      </w:r>
      <w:r w:rsidR="008B6983">
        <w:rPr>
          <w:rFonts w:ascii="Times New Roman" w:hAnsi="Times New Roman" w:cs="Times New Roman"/>
          <w:sz w:val="24"/>
          <w:szCs w:val="24"/>
        </w:rPr>
        <w:t xml:space="preserve"> </w:t>
      </w:r>
      <w:r w:rsidR="00C85A86">
        <w:rPr>
          <w:rFonts w:ascii="Times New Roman" w:hAnsi="Times New Roman" w:cs="Times New Roman"/>
          <w:sz w:val="24"/>
          <w:szCs w:val="24"/>
        </w:rPr>
        <w:t>?</w:t>
      </w:r>
    </w:p>
    <w:p w14:paraId="63C4879B" w14:textId="05932E49" w:rsidR="00305836" w:rsidRDefault="00305836" w:rsidP="00305836">
      <w:pPr>
        <w:jc w:val="both"/>
        <w:rPr>
          <w:rFonts w:ascii="Times New Roman" w:hAnsi="Times New Roman" w:cs="Times New Roman"/>
          <w:b/>
          <w:bCs/>
          <w:sz w:val="24"/>
          <w:szCs w:val="24"/>
        </w:rPr>
      </w:pPr>
    </w:p>
    <w:p w14:paraId="1F5AE2E2" w14:textId="54B091B5" w:rsidR="009E780E" w:rsidRPr="009E780E" w:rsidRDefault="00305836" w:rsidP="009E780E">
      <w:pPr>
        <w:jc w:val="both"/>
        <w:rPr>
          <w:rFonts w:ascii="Times New Roman" w:hAnsi="Times New Roman" w:cs="Times New Roman"/>
          <w:sz w:val="24"/>
          <w:szCs w:val="24"/>
        </w:rPr>
      </w:pPr>
      <w:r w:rsidRPr="00305836">
        <w:rPr>
          <w:rFonts w:ascii="Times New Roman" w:hAnsi="Times New Roman" w:cs="Times New Roman"/>
          <w:b/>
          <w:bCs/>
          <w:sz w:val="24"/>
          <w:szCs w:val="24"/>
        </w:rPr>
        <w:t>A</w:t>
      </w:r>
      <w:r w:rsidR="009E780E">
        <w:rPr>
          <w:rFonts w:ascii="Times New Roman" w:hAnsi="Times New Roman" w:cs="Times New Roman"/>
          <w:b/>
          <w:bCs/>
          <w:sz w:val="24"/>
          <w:szCs w:val="24"/>
        </w:rPr>
        <w:t>ffaire</w:t>
      </w:r>
      <w:r w:rsidRPr="00305836">
        <w:rPr>
          <w:rFonts w:ascii="Times New Roman" w:hAnsi="Times New Roman" w:cs="Times New Roman"/>
          <w:b/>
          <w:bCs/>
          <w:sz w:val="24"/>
          <w:szCs w:val="24"/>
        </w:rPr>
        <w:t xml:space="preserve"> </w:t>
      </w:r>
      <w:r w:rsidR="009E780E" w:rsidRPr="009E780E">
        <w:rPr>
          <w:rFonts w:ascii="Times New Roman" w:hAnsi="Times New Roman" w:cs="Times New Roman"/>
          <w:b/>
          <w:bCs/>
          <w:sz w:val="24"/>
          <w:szCs w:val="24"/>
        </w:rPr>
        <w:t>(</w:t>
      </w:r>
      <w:r w:rsidR="009E780E" w:rsidRPr="009E780E">
        <w:rPr>
          <w:rFonts w:ascii="Times New Roman" w:hAnsi="Times New Roman" w:cs="Times New Roman"/>
          <w:sz w:val="24"/>
          <w:szCs w:val="24"/>
        </w:rPr>
        <w:t>Requête n</w:t>
      </w:r>
      <w:r w:rsidR="009E780E" w:rsidRPr="009E780E">
        <w:rPr>
          <w:rFonts w:ascii="Times New Roman" w:hAnsi="Times New Roman" w:cs="Times New Roman"/>
          <w:sz w:val="24"/>
          <w:szCs w:val="24"/>
          <w:vertAlign w:val="superscript"/>
        </w:rPr>
        <w:t>o</w:t>
      </w:r>
      <w:r w:rsidR="009E780E" w:rsidRPr="009E780E">
        <w:rPr>
          <w:rFonts w:ascii="Times New Roman" w:hAnsi="Times New Roman" w:cs="Times New Roman"/>
          <w:sz w:val="24"/>
          <w:szCs w:val="24"/>
        </w:rPr>
        <w:t xml:space="preserve"> 7246/20) </w:t>
      </w:r>
      <w:r w:rsidR="009E780E" w:rsidRPr="009E780E">
        <w:rPr>
          <w:rFonts w:ascii="Times New Roman" w:hAnsi="Times New Roman" w:cs="Times New Roman"/>
          <w:iCs/>
          <w:sz w:val="24"/>
          <w:szCs w:val="24"/>
        </w:rPr>
        <w:t>4 avril 2023</w:t>
      </w:r>
    </w:p>
    <w:p w14:paraId="0001D62E" w14:textId="77777777" w:rsidR="009E780E" w:rsidRPr="009E780E" w:rsidRDefault="009E780E" w:rsidP="009E780E">
      <w:pPr>
        <w:keepNext/>
        <w:keepLines/>
        <w:numPr>
          <w:ilvl w:val="4"/>
          <w:numId w:val="0"/>
        </w:numPr>
        <w:spacing w:before="100" w:beforeAutospacing="1" w:after="120" w:line="240" w:lineRule="auto"/>
        <w:ind w:left="851" w:hanging="341"/>
        <w:jc w:val="both"/>
        <w:outlineLvl w:val="4"/>
        <w:rPr>
          <w:rFonts w:ascii="Times New Roman" w:eastAsia="Times New Roman" w:hAnsi="Times New Roman" w:cs="Times New Roman"/>
          <w:b/>
          <w:bCs/>
          <w:kern w:val="0"/>
          <w:sz w:val="20"/>
          <w14:ligatures w14:val="none"/>
        </w:rPr>
      </w:pPr>
      <w:r w:rsidRPr="009E780E">
        <w:rPr>
          <w:rFonts w:ascii="Times New Roman" w:eastAsia="Times New Roman" w:hAnsi="Times New Roman" w:cs="Times New Roman"/>
          <w:b/>
          <w:bCs/>
          <w:kern w:val="0"/>
          <w:sz w:val="20"/>
          <w14:ligatures w14:val="none"/>
        </w:rPr>
        <w:t>Sur la question de savoir si l’affaire porte sur une obligation positive ou sur une ingérence</w:t>
      </w:r>
    </w:p>
    <w:p w14:paraId="61825AE8"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109</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La Cour rappelle que, si l’article 8 a essentiellement pour objet de prémunir l’individu contre les ingérences arbitraires des pouvoirs publics, il ne se contente pas de commander à l’État de s’abstenir de pareilles ingérences : à cet engagement plutôt négatif s’ajoutent des obligations positives inhérentes à un respect effectif de la vie privée. La frontière entre les obligations positives et les obligations négatives de l’État au titre de l’article 8 de la Convention ne se prête pas à une définition précise, mais les principes applicables dans le cas des premières sont comparables à ceux valables pour les secondes. Pour déterminer si une obligation – positive ou négative – existe, il faut prendre en compte le juste équilibre à ménager entre l’intérêt général et les intérêts de l’individu (voir, entre autres, </w:t>
      </w:r>
      <w:proofErr w:type="spellStart"/>
      <w:r w:rsidRPr="009E780E">
        <w:rPr>
          <w:rFonts w:ascii="Times New Roman" w:eastAsia="Times New Roman" w:hAnsi="Times New Roman" w:cs="Times New Roman"/>
          <w:i/>
          <w:kern w:val="0"/>
          <w:sz w:val="24"/>
          <w:szCs w:val="24"/>
          <w14:ligatures w14:val="none"/>
        </w:rPr>
        <w:t>Söderman</w:t>
      </w:r>
      <w:proofErr w:type="spellEnd"/>
      <w:r w:rsidRPr="009E780E">
        <w:rPr>
          <w:rFonts w:ascii="Times New Roman" w:eastAsia="Times New Roman" w:hAnsi="Times New Roman" w:cs="Times New Roman"/>
          <w:i/>
          <w:kern w:val="0"/>
          <w:sz w:val="24"/>
          <w:szCs w:val="24"/>
          <w14:ligatures w14:val="none"/>
        </w:rPr>
        <w:t xml:space="preserve"> c. Suède </w:t>
      </w:r>
      <w:r w:rsidRPr="009E780E">
        <w:rPr>
          <w:rFonts w:ascii="Times New Roman" w:eastAsia="Times New Roman" w:hAnsi="Times New Roman" w:cs="Times New Roman"/>
          <w:kern w:val="0"/>
          <w:sz w:val="24"/>
          <w:szCs w:val="24"/>
          <w14:ligatures w14:val="none"/>
        </w:rPr>
        <w:t>[GC],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xml:space="preserve"> 5786/08, § 78, CEDH 2013, et </w:t>
      </w:r>
      <w:r w:rsidRPr="009E780E">
        <w:rPr>
          <w:rFonts w:ascii="Times New Roman" w:eastAsia="Times New Roman" w:hAnsi="Times New Roman" w:cs="Times New Roman"/>
          <w:i/>
          <w:kern w:val="0"/>
          <w:sz w:val="24"/>
          <w:szCs w:val="24"/>
          <w14:ligatures w14:val="none"/>
        </w:rPr>
        <w:t>X, Y et Z c. Royaume</w:t>
      </w:r>
      <w:r w:rsidRPr="009E780E">
        <w:rPr>
          <w:rFonts w:ascii="Times New Roman" w:eastAsia="Times New Roman" w:hAnsi="Times New Roman" w:cs="Times New Roman"/>
          <w:i/>
          <w:kern w:val="0"/>
          <w:sz w:val="24"/>
          <w:szCs w:val="24"/>
          <w14:ligatures w14:val="none"/>
        </w:rPr>
        <w:noBreakHyphen/>
        <w:t>Uni</w:t>
      </w:r>
      <w:r w:rsidRPr="009E780E">
        <w:rPr>
          <w:rFonts w:ascii="Times New Roman" w:eastAsia="Times New Roman" w:hAnsi="Times New Roman" w:cs="Times New Roman"/>
          <w:kern w:val="0"/>
          <w:sz w:val="24"/>
          <w:szCs w:val="24"/>
          <w14:ligatures w14:val="none"/>
        </w:rPr>
        <w:t xml:space="preserve">, § 41, 22 avril 1997, </w:t>
      </w:r>
      <w:r w:rsidRPr="009E780E">
        <w:rPr>
          <w:rFonts w:ascii="Times New Roman" w:eastAsia="Times New Roman" w:hAnsi="Times New Roman" w:cs="Times New Roman"/>
          <w:i/>
          <w:kern w:val="0"/>
          <w:sz w:val="24"/>
          <w:szCs w:val="24"/>
          <w14:ligatures w14:val="none"/>
        </w:rPr>
        <w:t>Recueil des arrêts et décisions</w:t>
      </w:r>
      <w:r w:rsidRPr="009E780E">
        <w:rPr>
          <w:rFonts w:ascii="Times New Roman" w:eastAsia="Times New Roman" w:hAnsi="Times New Roman" w:cs="Times New Roman"/>
          <w:kern w:val="0"/>
          <w:sz w:val="24"/>
          <w:szCs w:val="24"/>
          <w14:ligatures w14:val="none"/>
        </w:rPr>
        <w:t xml:space="preserve"> 1997</w:t>
      </w:r>
      <w:r w:rsidRPr="009E780E">
        <w:rPr>
          <w:rFonts w:ascii="Times New Roman" w:eastAsia="Times New Roman" w:hAnsi="Times New Roman" w:cs="Times New Roman"/>
          <w:kern w:val="0"/>
          <w:sz w:val="24"/>
          <w:szCs w:val="24"/>
          <w14:ligatures w14:val="none"/>
        </w:rPr>
        <w:noBreakHyphen/>
        <w:t>II).</w:t>
      </w:r>
    </w:p>
    <w:p w14:paraId="60E658F6" w14:textId="77777777" w:rsidR="009E780E" w:rsidRPr="009E780E" w:rsidRDefault="009E780E" w:rsidP="009E780E">
      <w:pPr>
        <w:spacing w:after="0" w:line="240" w:lineRule="auto"/>
        <w:ind w:firstLine="284"/>
        <w:jc w:val="both"/>
        <w:rPr>
          <w:rFonts w:ascii="Times New Roman" w:eastAsia="Times New Roman" w:hAnsi="Times New Roman" w:cs="Times New Roman"/>
          <w:iCs/>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110</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Dans des affaires comparables, la Cour a jugé plus approprié d’examiner des allégations liées au refus de réassignation de genre sous l’angle des obligations positives de garantir le respect de l’identité de genre des individus (voir, par exemple, </w:t>
      </w:r>
      <w:proofErr w:type="spellStart"/>
      <w:r w:rsidRPr="009E780E">
        <w:rPr>
          <w:rFonts w:ascii="Times New Roman" w:eastAsia="Times New Roman" w:hAnsi="Times New Roman" w:cs="Times New Roman"/>
          <w:i/>
          <w:iCs/>
          <w:kern w:val="0"/>
          <w:sz w:val="24"/>
          <w:szCs w:val="24"/>
          <w14:ligatures w14:val="none"/>
        </w:rPr>
        <w:t>Hämäläinen</w:t>
      </w:r>
      <w:proofErr w:type="spellEnd"/>
      <w:r w:rsidRPr="009E780E">
        <w:rPr>
          <w:rFonts w:ascii="Times New Roman" w:eastAsia="Times New Roman" w:hAnsi="Times New Roman" w:cs="Times New Roman"/>
          <w:i/>
          <w:iCs/>
          <w:kern w:val="0"/>
          <w:sz w:val="24"/>
          <w:szCs w:val="24"/>
          <w14:ligatures w14:val="none"/>
        </w:rPr>
        <w:t xml:space="preserve"> c. Finlande</w:t>
      </w:r>
      <w:r w:rsidRPr="009E780E">
        <w:rPr>
          <w:rFonts w:ascii="Times New Roman" w:eastAsia="Times New Roman" w:hAnsi="Times New Roman" w:cs="Times New Roman"/>
          <w:kern w:val="0"/>
          <w:sz w:val="24"/>
          <w:szCs w:val="24"/>
          <w14:ligatures w14:val="none"/>
        </w:rPr>
        <w:t> </w:t>
      </w:r>
      <w:r w:rsidRPr="009E780E">
        <w:rPr>
          <w:rFonts w:ascii="Times New Roman" w:eastAsia="Times New Roman" w:hAnsi="Times New Roman" w:cs="Times New Roman"/>
          <w:iCs/>
          <w:kern w:val="0"/>
          <w:sz w:val="24"/>
          <w:szCs w:val="24"/>
          <w14:ligatures w14:val="none"/>
        </w:rPr>
        <w:t>[GC]</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37359/09, §§ 62</w:t>
      </w:r>
      <w:r w:rsidRPr="009E780E">
        <w:rPr>
          <w:rFonts w:ascii="Times New Roman" w:eastAsia="Times New Roman" w:hAnsi="Times New Roman" w:cs="Times New Roman"/>
          <w:kern w:val="0"/>
          <w:sz w:val="24"/>
          <w:szCs w:val="24"/>
          <w14:ligatures w14:val="none"/>
        </w:rPr>
        <w:noBreakHyphen/>
        <w:t xml:space="preserve">64, CEDH 2014, </w:t>
      </w:r>
      <w:r w:rsidRPr="009E780E">
        <w:rPr>
          <w:rFonts w:ascii="Times New Roman" w:eastAsia="Times New Roman" w:hAnsi="Times New Roman" w:cs="Times New Roman"/>
          <w:i/>
          <w:kern w:val="0"/>
          <w:sz w:val="24"/>
          <w:szCs w:val="24"/>
          <w14:ligatures w14:val="none"/>
        </w:rPr>
        <w:t>A.P., Garçon et Nicot</w:t>
      </w:r>
      <w:r w:rsidRPr="009E780E">
        <w:rPr>
          <w:rFonts w:ascii="Times New Roman" w:eastAsia="Times New Roman" w:hAnsi="Times New Roman" w:cs="Times New Roman"/>
          <w:kern w:val="0"/>
          <w:sz w:val="24"/>
          <w:szCs w:val="24"/>
          <w14:ligatures w14:val="none"/>
        </w:rPr>
        <w:t xml:space="preserve">, précité, § 99, </w:t>
      </w:r>
      <w:r w:rsidRPr="009E780E">
        <w:rPr>
          <w:rFonts w:ascii="Times New Roman" w:eastAsia="Times New Roman" w:hAnsi="Times New Roman" w:cs="Times New Roman"/>
          <w:i/>
          <w:iCs/>
          <w:kern w:val="0"/>
          <w:sz w:val="24"/>
          <w:szCs w:val="24"/>
          <w14:ligatures w14:val="none"/>
        </w:rPr>
        <w:t>S.V. c. Italie</w:t>
      </w:r>
      <w:r w:rsidRPr="009E780E">
        <w:rPr>
          <w:rFonts w:ascii="Times New Roman" w:eastAsia="Times New Roman" w:hAnsi="Times New Roman" w:cs="Times New Roman"/>
          <w:kern w:val="0"/>
          <w:sz w:val="24"/>
          <w:szCs w:val="24"/>
          <w14:ligatures w14:val="none"/>
        </w:rPr>
        <w:t>, précité, §§ 60</w:t>
      </w:r>
      <w:r w:rsidRPr="009E780E">
        <w:rPr>
          <w:rFonts w:ascii="Times New Roman" w:eastAsia="Times New Roman" w:hAnsi="Times New Roman" w:cs="Times New Roman"/>
          <w:kern w:val="0"/>
          <w:sz w:val="24"/>
          <w:szCs w:val="24"/>
          <w14:ligatures w14:val="none"/>
        </w:rPr>
        <w:noBreakHyphen/>
        <w:t>75</w:t>
      </w:r>
      <w:r w:rsidRPr="009E780E">
        <w:rPr>
          <w:rFonts w:ascii="Times New Roman" w:eastAsia="Times New Roman" w:hAnsi="Times New Roman" w:cs="Times New Roman"/>
          <w:iCs/>
          <w:kern w:val="0"/>
          <w:sz w:val="24"/>
          <w:szCs w:val="24"/>
          <w14:ligatures w14:val="none"/>
        </w:rPr>
        <w:t>). Compte tenu des faits et des observations des parties, la Cour estime qu’en l’occurrence la question principale à trancher est celle de savoir si le dispositif réglementaire en place et les décisions prises à l’égard des requérants permettent de constater que l’État s’est acquitté de ses obligations positives de respect de la vie privée des requérants.</w:t>
      </w:r>
    </w:p>
    <w:p w14:paraId="7FEFC588"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111</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Les principes généraux applicables à l’appréciation des obligations positives de l’État ont été résumés dans l’arrêt </w:t>
      </w:r>
      <w:proofErr w:type="spellStart"/>
      <w:r w:rsidRPr="009E780E">
        <w:rPr>
          <w:rFonts w:ascii="Times New Roman" w:eastAsia="Times New Roman" w:hAnsi="Times New Roman" w:cs="Times New Roman"/>
          <w:i/>
          <w:kern w:val="0"/>
          <w:sz w:val="24"/>
          <w:szCs w:val="24"/>
          <w14:ligatures w14:val="none"/>
        </w:rPr>
        <w:t>Hämäläinen</w:t>
      </w:r>
      <w:proofErr w:type="spellEnd"/>
      <w:r w:rsidRPr="009E780E">
        <w:rPr>
          <w:rFonts w:ascii="Times New Roman" w:eastAsia="Times New Roman" w:hAnsi="Times New Roman" w:cs="Times New Roman"/>
          <w:kern w:val="0"/>
          <w:sz w:val="24"/>
          <w:szCs w:val="24"/>
          <w14:ligatures w14:val="none"/>
        </w:rPr>
        <w:t xml:space="preserve"> (précité, §§ 65</w:t>
      </w:r>
      <w:r w:rsidRPr="009E780E">
        <w:rPr>
          <w:rFonts w:ascii="Times New Roman" w:eastAsia="Times New Roman" w:hAnsi="Times New Roman" w:cs="Times New Roman"/>
          <w:kern w:val="0"/>
          <w:sz w:val="24"/>
          <w:szCs w:val="24"/>
          <w14:ligatures w14:val="none"/>
        </w:rPr>
        <w:noBreakHyphen/>
        <w:t>67, ainsi que dans les affaires qui y sont citées). La Cour rappelle en particulier qu’elle a établi un certain nombre d’éléments pertinents pour apprécier le contenu de ces obligations positives, notamment l’importance de l’intérêt en jeu pour un requérant ou la mise en cause de valeurs fondamentales ou d’aspects essentiels de la vie privée de celui</w:t>
      </w:r>
      <w:r w:rsidRPr="009E780E">
        <w:rPr>
          <w:rFonts w:ascii="Times New Roman" w:eastAsia="Times New Roman" w:hAnsi="Times New Roman" w:cs="Times New Roman"/>
          <w:kern w:val="0"/>
          <w:sz w:val="24"/>
          <w:szCs w:val="24"/>
          <w14:ligatures w14:val="none"/>
        </w:rPr>
        <w:noBreakHyphen/>
        <w:t>ci, ainsi que l’impact sur l’intéressé d’un conflit entre la réalité sociale et le droit, et l’impact sur l’État en cause du caractère ample et indéterminé, ou étroit et défini, de l’obligation positive alléguée (</w:t>
      </w:r>
      <w:r w:rsidRPr="009E780E">
        <w:rPr>
          <w:rFonts w:ascii="Times New Roman" w:eastAsia="Times New Roman" w:hAnsi="Times New Roman" w:cs="Times New Roman"/>
          <w:i/>
          <w:kern w:val="0"/>
          <w:sz w:val="24"/>
          <w:szCs w:val="24"/>
          <w14:ligatures w14:val="none"/>
        </w:rPr>
        <w:t>ibidem</w:t>
      </w:r>
      <w:r w:rsidRPr="009E780E">
        <w:rPr>
          <w:rFonts w:ascii="Times New Roman" w:eastAsia="Times New Roman" w:hAnsi="Times New Roman" w:cs="Times New Roman"/>
          <w:kern w:val="0"/>
          <w:sz w:val="24"/>
          <w:szCs w:val="24"/>
          <w14:ligatures w14:val="none"/>
        </w:rPr>
        <w:t>, § 66).</w:t>
      </w:r>
    </w:p>
    <w:p w14:paraId="2C79EF63" w14:textId="77777777" w:rsidR="009E780E" w:rsidRPr="009E780E" w:rsidRDefault="009E780E" w:rsidP="009E780E">
      <w:pPr>
        <w:keepNext/>
        <w:keepLines/>
        <w:numPr>
          <w:ilvl w:val="4"/>
          <w:numId w:val="0"/>
        </w:numPr>
        <w:spacing w:before="100" w:beforeAutospacing="1" w:after="120" w:line="240" w:lineRule="auto"/>
        <w:ind w:left="851" w:hanging="341"/>
        <w:jc w:val="both"/>
        <w:outlineLvl w:val="4"/>
        <w:rPr>
          <w:rFonts w:ascii="Times New Roman" w:eastAsia="Times New Roman" w:hAnsi="Times New Roman" w:cs="Times New Roman"/>
          <w:b/>
          <w:bCs/>
          <w:kern w:val="0"/>
          <w:sz w:val="20"/>
          <w14:ligatures w14:val="none"/>
        </w:rPr>
      </w:pPr>
      <w:r w:rsidRPr="009E780E">
        <w:rPr>
          <w:rFonts w:ascii="Times New Roman" w:eastAsia="Times New Roman" w:hAnsi="Times New Roman" w:cs="Times New Roman"/>
          <w:b/>
          <w:bCs/>
          <w:kern w:val="0"/>
          <w:sz w:val="20"/>
          <w14:ligatures w14:val="none"/>
        </w:rPr>
        <w:t>Sur la marge d’appréciation</w:t>
      </w:r>
    </w:p>
    <w:p w14:paraId="5CE181E7"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112</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Dans la mise en œuvre des obligations positives qui leur incombent au titre de l’article 8, les États jouissent d’une certaine marge d’appréciation. Pour déterminer l’ampleur de cette marge d’appréciation, il y a lieu de prendre en compte un certain nombre de facteurs. Lorsqu’un aspect particulièrement important de l’existence ou de l’identité d’un individu se trouve en jeu, </w:t>
      </w:r>
      <w:r w:rsidRPr="009E780E">
        <w:rPr>
          <w:rFonts w:ascii="Times New Roman" w:eastAsia="Times New Roman" w:hAnsi="Times New Roman" w:cs="Times New Roman"/>
          <w:kern w:val="0"/>
          <w:sz w:val="24"/>
          <w:szCs w:val="24"/>
          <w14:ligatures w14:val="none"/>
        </w:rPr>
        <w:lastRenderedPageBreak/>
        <w:t>la marge laissée à l’État est d’ordinaire restreinte (</w:t>
      </w:r>
      <w:r w:rsidRPr="009E780E">
        <w:rPr>
          <w:rFonts w:ascii="Times New Roman" w:eastAsia="Times New Roman" w:hAnsi="Times New Roman" w:cs="Times New Roman"/>
          <w:i/>
          <w:kern w:val="0"/>
          <w:sz w:val="24"/>
          <w:szCs w:val="24"/>
          <w14:ligatures w14:val="none"/>
        </w:rPr>
        <w:t>S.H. et autres c. Autriche</w:t>
      </w:r>
      <w:r w:rsidRPr="009E780E">
        <w:rPr>
          <w:rFonts w:ascii="Times New Roman" w:eastAsia="Times New Roman" w:hAnsi="Times New Roman" w:cs="Times New Roman"/>
          <w:kern w:val="0"/>
          <w:sz w:val="24"/>
          <w:szCs w:val="24"/>
          <w14:ligatures w14:val="none"/>
        </w:rPr>
        <w:t xml:space="preserve"> [GC],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xml:space="preserve"> 57813/00, § 94, CEDH 2011, </w:t>
      </w:r>
      <w:r w:rsidRPr="009E780E">
        <w:rPr>
          <w:rFonts w:ascii="Times New Roman" w:eastAsia="Times New Roman" w:hAnsi="Times New Roman" w:cs="Times New Roman"/>
          <w:i/>
          <w:kern w:val="0"/>
          <w:sz w:val="24"/>
          <w:szCs w:val="24"/>
          <w14:ligatures w14:val="none"/>
        </w:rPr>
        <w:t>L.D. et P.K. c. Bulgarie</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os</w:t>
      </w:r>
      <w:r w:rsidRPr="009E780E">
        <w:rPr>
          <w:rFonts w:ascii="Times New Roman" w:eastAsia="Times New Roman" w:hAnsi="Times New Roman" w:cs="Times New Roman"/>
          <w:kern w:val="0"/>
          <w:sz w:val="24"/>
          <w:szCs w:val="24"/>
          <w14:ligatures w14:val="none"/>
        </w:rPr>
        <w:t xml:space="preserve"> 7949/11 et 45522/13, § 59, 8 décembre 2016, et </w:t>
      </w:r>
      <w:r w:rsidRPr="009E780E">
        <w:rPr>
          <w:rFonts w:ascii="Times New Roman" w:eastAsia="Times New Roman" w:hAnsi="Times New Roman" w:cs="Times New Roman"/>
          <w:i/>
          <w:kern w:val="0"/>
          <w:sz w:val="24"/>
          <w:szCs w:val="24"/>
          <w14:ligatures w14:val="none"/>
        </w:rPr>
        <w:t>Mennesson c. France</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65192/11, § 77, CEDH 2014). En revanche, lorsqu’il n’y a pas de consensus entre les États membres du Conseil de l’Europe, que ce soit sur l’importance relative de l’intérêt en jeu ou sur les meilleurs moyens de le protéger, en particulier lorsque l’affaire soulève des questions morales ou éthiques délicates, la marge d’appréciation est plus large. La marge d’appréciation est d’une façon générale également ample lorsque l’État doit ménager un équilibre entre des intérêts privés et publics concurrents ou entre différents droits protégés par la Convention qui se trouvent en conflit (</w:t>
      </w:r>
      <w:proofErr w:type="spellStart"/>
      <w:r w:rsidRPr="009E780E">
        <w:rPr>
          <w:rFonts w:ascii="Times New Roman" w:eastAsia="Times New Roman" w:hAnsi="Times New Roman" w:cs="Times New Roman"/>
          <w:i/>
          <w:kern w:val="0"/>
          <w:sz w:val="24"/>
          <w:szCs w:val="24"/>
          <w14:ligatures w14:val="none"/>
        </w:rPr>
        <w:t>Hämäläinen</w:t>
      </w:r>
      <w:proofErr w:type="spellEnd"/>
      <w:r w:rsidRPr="009E780E">
        <w:rPr>
          <w:rFonts w:ascii="Times New Roman" w:eastAsia="Times New Roman" w:hAnsi="Times New Roman" w:cs="Times New Roman"/>
          <w:kern w:val="0"/>
          <w:sz w:val="24"/>
          <w:szCs w:val="24"/>
          <w14:ligatures w14:val="none"/>
        </w:rPr>
        <w:t xml:space="preserve">, précité, § 67, </w:t>
      </w:r>
      <w:r w:rsidRPr="009E780E">
        <w:rPr>
          <w:rFonts w:ascii="Times New Roman" w:eastAsia="Times New Roman" w:hAnsi="Times New Roman" w:cs="Times New Roman"/>
          <w:i/>
          <w:kern w:val="0"/>
          <w:sz w:val="24"/>
          <w:szCs w:val="24"/>
          <w14:ligatures w14:val="none"/>
        </w:rPr>
        <w:t>S.H. et autres c. Autriche</w:t>
      </w:r>
      <w:r w:rsidRPr="009E780E">
        <w:rPr>
          <w:rFonts w:ascii="Times New Roman" w:eastAsia="Times New Roman" w:hAnsi="Times New Roman" w:cs="Times New Roman"/>
          <w:kern w:val="0"/>
          <w:sz w:val="24"/>
          <w:szCs w:val="24"/>
          <w14:ligatures w14:val="none"/>
        </w:rPr>
        <w:t xml:space="preserve">, précité, § 94, et </w:t>
      </w:r>
      <w:r w:rsidRPr="009E780E">
        <w:rPr>
          <w:rFonts w:ascii="Times New Roman" w:eastAsia="Times New Roman" w:hAnsi="Times New Roman" w:cs="Times New Roman"/>
          <w:i/>
          <w:iCs/>
          <w:kern w:val="0"/>
          <w:sz w:val="24"/>
          <w:szCs w:val="24"/>
          <w14:ligatures w14:val="none"/>
        </w:rPr>
        <w:t>Evans c. Royaume</w:t>
      </w:r>
      <w:r w:rsidRPr="009E780E">
        <w:rPr>
          <w:rFonts w:ascii="Times New Roman" w:eastAsia="Times New Roman" w:hAnsi="Times New Roman" w:cs="Times New Roman"/>
          <w:i/>
          <w:iCs/>
          <w:kern w:val="0"/>
          <w:sz w:val="24"/>
          <w:szCs w:val="24"/>
          <w14:ligatures w14:val="none"/>
        </w:rPr>
        <w:noBreakHyphen/>
        <w:t>Uni</w:t>
      </w:r>
      <w:r w:rsidRPr="009E780E">
        <w:rPr>
          <w:rFonts w:ascii="Times New Roman" w:eastAsia="Times New Roman" w:hAnsi="Times New Roman" w:cs="Times New Roman"/>
          <w:kern w:val="0"/>
          <w:sz w:val="24"/>
          <w:szCs w:val="24"/>
          <w14:ligatures w14:val="none"/>
        </w:rPr>
        <w:t xml:space="preserve"> [GC], n</w:t>
      </w:r>
      <w:r w:rsidRPr="009E780E">
        <w:rPr>
          <w:rFonts w:ascii="Times New Roman" w:eastAsia="Times New Roman" w:hAnsi="Times New Roman" w:cs="Times New Roman"/>
          <w:kern w:val="0"/>
          <w:sz w:val="24"/>
          <w:szCs w:val="24"/>
          <w:vertAlign w:val="superscript"/>
          <w14:ligatures w14:val="none"/>
        </w:rPr>
        <w:t>o </w:t>
      </w:r>
      <w:r w:rsidRPr="009E780E">
        <w:rPr>
          <w:rFonts w:ascii="Times New Roman" w:eastAsia="Times New Roman" w:hAnsi="Times New Roman" w:cs="Times New Roman"/>
          <w:kern w:val="0"/>
          <w:sz w:val="24"/>
          <w:szCs w:val="24"/>
          <w14:ligatures w14:val="none"/>
        </w:rPr>
        <w:t>6339/05, § 77, CEDH 2007</w:t>
      </w:r>
      <w:r w:rsidRPr="009E780E">
        <w:rPr>
          <w:rFonts w:ascii="Times New Roman" w:eastAsia="Times New Roman" w:hAnsi="Times New Roman" w:cs="Times New Roman"/>
          <w:kern w:val="0"/>
          <w:sz w:val="24"/>
          <w:szCs w:val="24"/>
          <w14:ligatures w14:val="none"/>
        </w:rPr>
        <w:noBreakHyphen/>
        <w:t>I).</w:t>
      </w:r>
    </w:p>
    <w:p w14:paraId="52416C0F"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113</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relève que les requérants soutiennent que les droits invoqués par eux touchent notamment à l’identité de genre et à la filiation, qui constituent un aspect fondamental du droit au respect de la vie privée et relèvent d’un domaine dans lequel les États ne disposent en règle générale que d’une marge d’appréciation restreinte (</w:t>
      </w:r>
      <w:r w:rsidRPr="009E780E">
        <w:rPr>
          <w:rFonts w:ascii="Times New Roman" w:eastAsia="Times New Roman" w:hAnsi="Times New Roman" w:cs="Times New Roman"/>
          <w:i/>
          <w:iCs/>
          <w:kern w:val="0"/>
          <w:sz w:val="24"/>
          <w:szCs w:val="24"/>
          <w14:ligatures w14:val="none"/>
        </w:rPr>
        <w:t>A.P., Garçon et Nicot</w:t>
      </w:r>
      <w:r w:rsidRPr="009E780E">
        <w:rPr>
          <w:rFonts w:ascii="Times New Roman" w:eastAsia="Times New Roman" w:hAnsi="Times New Roman" w:cs="Times New Roman"/>
          <w:kern w:val="0"/>
          <w:sz w:val="24"/>
          <w:szCs w:val="24"/>
          <w14:ligatures w14:val="none"/>
        </w:rPr>
        <w:t xml:space="preserve">, précité, § 123, et </w:t>
      </w:r>
      <w:proofErr w:type="spellStart"/>
      <w:r w:rsidRPr="009E780E">
        <w:rPr>
          <w:rFonts w:ascii="Times New Roman" w:eastAsia="Times New Roman" w:hAnsi="Times New Roman" w:cs="Times New Roman"/>
          <w:i/>
          <w:kern w:val="0"/>
          <w:sz w:val="24"/>
          <w:szCs w:val="24"/>
          <w14:ligatures w14:val="none"/>
        </w:rPr>
        <w:t>Mandet</w:t>
      </w:r>
      <w:proofErr w:type="spellEnd"/>
      <w:r w:rsidRPr="009E780E">
        <w:rPr>
          <w:rFonts w:ascii="Times New Roman" w:eastAsia="Times New Roman" w:hAnsi="Times New Roman" w:cs="Times New Roman"/>
          <w:kern w:val="0"/>
          <w:sz w:val="24"/>
          <w:szCs w:val="24"/>
          <w14:ligatures w14:val="none"/>
        </w:rPr>
        <w:t xml:space="preserve"> </w:t>
      </w:r>
      <w:r w:rsidRPr="009E780E">
        <w:rPr>
          <w:rFonts w:ascii="Times New Roman" w:eastAsia="Times New Roman" w:hAnsi="Times New Roman" w:cs="Times New Roman"/>
          <w:i/>
          <w:kern w:val="0"/>
          <w:sz w:val="24"/>
          <w:szCs w:val="24"/>
          <w14:ligatures w14:val="none"/>
        </w:rPr>
        <w:t>c. France</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30955/12, § 52, 14 janvier 2016). Elle observe que, pour ce qui est des requérantes, et en particulier de la première d’entre elles dans l’hypothèse où celle</w:t>
      </w:r>
      <w:r w:rsidRPr="009E780E">
        <w:rPr>
          <w:rFonts w:ascii="Times New Roman" w:eastAsia="Times New Roman" w:hAnsi="Times New Roman" w:cs="Times New Roman"/>
          <w:kern w:val="0"/>
          <w:sz w:val="24"/>
          <w:szCs w:val="24"/>
          <w14:ligatures w14:val="none"/>
        </w:rPr>
        <w:noBreakHyphen/>
        <w:t>ci viendrait à être inscrite dans le registre des naissances en tant que père du requérant, ce ne sont pas les inscriptions contenues dans les documents officiels les concernant, mais les informations figurant dans le registre des naissances du requérant, c’est</w:t>
      </w:r>
      <w:r w:rsidRPr="009E780E">
        <w:rPr>
          <w:rFonts w:ascii="Times New Roman" w:eastAsia="Times New Roman" w:hAnsi="Times New Roman" w:cs="Times New Roman"/>
          <w:kern w:val="0"/>
          <w:sz w:val="24"/>
          <w:szCs w:val="24"/>
          <w14:ligatures w14:val="none"/>
        </w:rPr>
        <w:noBreakHyphen/>
        <w:t>à</w:t>
      </w:r>
      <w:r w:rsidRPr="009E780E">
        <w:rPr>
          <w:rFonts w:ascii="Times New Roman" w:eastAsia="Times New Roman" w:hAnsi="Times New Roman" w:cs="Times New Roman"/>
          <w:kern w:val="0"/>
          <w:sz w:val="24"/>
          <w:szCs w:val="24"/>
          <w14:ligatures w14:val="none"/>
        </w:rPr>
        <w:noBreakHyphen/>
        <w:t>dire d’une autre personne, qui sont à l’origine de leur grief. Pour ce qui est du requérant, le droit à l’autodétermination n’est pas remis en cause par la possible divulgation d’un fait concernant sa propre identité de genre mais par celle de l’identité transgenre d’un de ses parents. La Cour relève par ailleurs que si le droit du requérant de connaître sa filiation est concerné, en l’espèce ce droit est de nature à limiter les droits invoqués par les requérantes. Il s’ensuit que la marge d’appréciation ne s’en trouve pas restreinte par les droits invoqués en jeu.</w:t>
      </w:r>
    </w:p>
    <w:p w14:paraId="32DB5FEE"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114</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La Cour observe ensuite qu’il n’y a pas de consensus parmi les États européens sur la question de savoir comment indiquer, dans les registres de l’état civil concernant un enfant, que l’une des personnes ayant la qualité de parent est transgenre. En effet, ainsi que cela ressort des données publiées par l’organisation </w:t>
      </w:r>
      <w:proofErr w:type="spellStart"/>
      <w:r w:rsidRPr="009E780E">
        <w:rPr>
          <w:rFonts w:ascii="Times New Roman" w:eastAsia="Times New Roman" w:hAnsi="Times New Roman" w:cs="Times New Roman"/>
          <w:iCs/>
          <w:kern w:val="0"/>
          <w:sz w:val="24"/>
          <w:szCs w:val="24"/>
          <w14:ligatures w14:val="none"/>
        </w:rPr>
        <w:t>Transgender</w:t>
      </w:r>
      <w:proofErr w:type="spellEnd"/>
      <w:r w:rsidRPr="009E780E">
        <w:rPr>
          <w:rFonts w:ascii="Times New Roman" w:eastAsia="Times New Roman" w:hAnsi="Times New Roman" w:cs="Times New Roman"/>
          <w:iCs/>
          <w:kern w:val="0"/>
          <w:sz w:val="24"/>
          <w:szCs w:val="24"/>
          <w14:ligatures w14:val="none"/>
        </w:rPr>
        <w:t xml:space="preserve"> Europe (paragraphe </w:t>
      </w:r>
      <w:r w:rsidRPr="009E780E">
        <w:rPr>
          <w:rFonts w:ascii="Times New Roman" w:eastAsia="Times New Roman" w:hAnsi="Times New Roman" w:cs="Times New Roman"/>
          <w:iCs/>
          <w:kern w:val="0"/>
          <w:sz w:val="24"/>
          <w:szCs w:val="24"/>
          <w14:ligatures w14:val="none"/>
        </w:rPr>
        <w:fldChar w:fldCharType="begin"/>
      </w:r>
      <w:r w:rsidRPr="009E780E">
        <w:rPr>
          <w:rFonts w:ascii="Times New Roman" w:eastAsia="Times New Roman" w:hAnsi="Times New Roman" w:cs="Times New Roman"/>
          <w:iCs/>
          <w:kern w:val="0"/>
          <w:sz w:val="24"/>
          <w:szCs w:val="24"/>
          <w14:ligatures w14:val="none"/>
        </w:rPr>
        <w:instrText xml:space="preserve"> REF paragraphe68 \h </w:instrText>
      </w:r>
      <w:r w:rsidRPr="009E780E">
        <w:rPr>
          <w:rFonts w:ascii="Times New Roman" w:eastAsia="Times New Roman" w:hAnsi="Times New Roman" w:cs="Times New Roman"/>
          <w:iCs/>
          <w:kern w:val="0"/>
          <w:sz w:val="24"/>
          <w:szCs w:val="24"/>
          <w14:ligatures w14:val="none"/>
        </w:rPr>
      </w:r>
      <w:r w:rsidRPr="009E780E">
        <w:rPr>
          <w:rFonts w:ascii="Times New Roman" w:eastAsia="Times New Roman" w:hAnsi="Times New Roman" w:cs="Times New Roman"/>
          <w:iCs/>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69</w:t>
      </w:r>
      <w:r w:rsidRPr="009E780E">
        <w:rPr>
          <w:rFonts w:ascii="Times New Roman" w:eastAsia="Times New Roman" w:hAnsi="Times New Roman" w:cs="Times New Roman"/>
          <w:iCs/>
          <w:kern w:val="0"/>
          <w:sz w:val="24"/>
          <w:szCs w:val="24"/>
          <w14:ligatures w14:val="none"/>
        </w:rPr>
        <w:fldChar w:fldCharType="end"/>
      </w:r>
      <w:r w:rsidRPr="009E780E">
        <w:rPr>
          <w:rFonts w:ascii="Times New Roman" w:eastAsia="Times New Roman" w:hAnsi="Times New Roman" w:cs="Times New Roman"/>
          <w:iCs/>
          <w:kern w:val="0"/>
          <w:sz w:val="24"/>
          <w:szCs w:val="24"/>
          <w14:ligatures w14:val="none"/>
        </w:rPr>
        <w:t xml:space="preserve"> ci</w:t>
      </w:r>
      <w:r w:rsidRPr="009E780E">
        <w:rPr>
          <w:rFonts w:ascii="Times New Roman" w:eastAsia="Times New Roman" w:hAnsi="Times New Roman" w:cs="Times New Roman"/>
          <w:iCs/>
          <w:kern w:val="0"/>
          <w:sz w:val="24"/>
          <w:szCs w:val="24"/>
          <w14:ligatures w14:val="none"/>
        </w:rPr>
        <w:noBreakHyphen/>
        <w:t>dessus)</w:t>
      </w:r>
      <w:r w:rsidRPr="009E780E">
        <w:rPr>
          <w:rFonts w:ascii="Times New Roman" w:eastAsia="Times New Roman" w:hAnsi="Times New Roman" w:cs="Times New Roman"/>
          <w:kern w:val="0"/>
          <w:sz w:val="24"/>
          <w:szCs w:val="24"/>
          <w14:ligatures w14:val="none"/>
        </w:rPr>
        <w:t>, seuls cinq États ont prévu la possibilité de faire figurer dans ces registres une mention du sexe reconnu, tandis que la majorité des États continuent à désigner la personne ayant accouché d’un enfant comme étant la mère de celui</w:t>
      </w:r>
      <w:r w:rsidRPr="009E780E">
        <w:rPr>
          <w:rFonts w:ascii="Times New Roman" w:eastAsia="Times New Roman" w:hAnsi="Times New Roman" w:cs="Times New Roman"/>
          <w:kern w:val="0"/>
          <w:sz w:val="24"/>
          <w:szCs w:val="24"/>
          <w14:ligatures w14:val="none"/>
        </w:rPr>
        <w:noBreakHyphen/>
        <w:t>ci et à permettre à la personne ayant contribué à la fécondation par son sperme de reconnaître sa paternité à l’égard de l’enfant. Cette absence de consensus reflète le fait que la parentalité d’une personne qui a changé de genre suscite de délicates interrogations d’ordre éthique, et confirme que les États doivent en principe se voir accorder une ample marge d’appréciation.</w:t>
      </w:r>
    </w:p>
    <w:p w14:paraId="24FBF731"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115</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note enfin que les autorités allemandes ont été appelées à mettre en balance plusieurs intérêts privés et publics et plusieurs droits divergents : tout d’abord, les droits des requérantes ; ensuite, les droits fondamentaux et les intérêts du requérant, c’est</w:t>
      </w:r>
      <w:r w:rsidRPr="009E780E">
        <w:rPr>
          <w:rFonts w:ascii="Times New Roman" w:eastAsia="Times New Roman" w:hAnsi="Times New Roman" w:cs="Times New Roman"/>
          <w:kern w:val="0"/>
          <w:sz w:val="24"/>
          <w:szCs w:val="24"/>
          <w14:ligatures w14:val="none"/>
        </w:rPr>
        <w:noBreakHyphen/>
        <w:t>à</w:t>
      </w:r>
      <w:r w:rsidRPr="009E780E">
        <w:rPr>
          <w:rFonts w:ascii="Times New Roman" w:eastAsia="Times New Roman" w:hAnsi="Times New Roman" w:cs="Times New Roman"/>
          <w:kern w:val="0"/>
          <w:sz w:val="24"/>
          <w:szCs w:val="24"/>
          <w14:ligatures w14:val="none"/>
        </w:rPr>
        <w:noBreakHyphen/>
        <w:t>dire son droit de connaître sa filiation ainsi que son intérêt à être rattaché de manière stable à ses parents, droits et intérêts qui, selon les considérations formulées par la Cour fédérale de justice dans sa décision de principe du 6 septembre 2017, à laquelle cette haute juridiction a largement fait référence dans la décision qu’elle a rendue dans la présente affaire (paragraphes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paragraphe49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49</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noBreakHyphen/>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paragraphe58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58</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ne se trouvaient pas là où les requérants les voyaient (</w:t>
      </w:r>
      <w:proofErr w:type="spellStart"/>
      <w:r w:rsidRPr="009E780E">
        <w:rPr>
          <w:rFonts w:ascii="Times New Roman" w:eastAsia="Times New Roman" w:hAnsi="Times New Roman" w:cs="Times New Roman"/>
          <w:i/>
          <w:kern w:val="0"/>
          <w:sz w:val="24"/>
          <w:szCs w:val="24"/>
          <w14:ligatures w14:val="none"/>
        </w:rPr>
        <w:t>Mandet</w:t>
      </w:r>
      <w:proofErr w:type="spellEnd"/>
      <w:r w:rsidRPr="009E780E">
        <w:rPr>
          <w:rFonts w:ascii="Times New Roman" w:eastAsia="Times New Roman" w:hAnsi="Times New Roman" w:cs="Times New Roman"/>
          <w:kern w:val="0"/>
          <w:sz w:val="24"/>
          <w:szCs w:val="24"/>
          <w14:ligatures w14:val="none"/>
        </w:rPr>
        <w:t>, précité, §§ 57 et 59) ; enfin, l’intérêt public résidant dans la cohérence de l’ordre juridique et dans l’exactitude et l’exhaustivité des registres de l’état civil, qui ont une force probante particulière. Cette circonstance plaide également en faveur de l’existence d’une ample marge d’appréciation.</w:t>
      </w:r>
    </w:p>
    <w:p w14:paraId="7146E272"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bookmarkStart w:id="0" w:name="paragraph00063"/>
      <w:r w:rsidRPr="009E780E">
        <w:rPr>
          <w:rFonts w:ascii="Times New Roman" w:eastAsia="Times New Roman" w:hAnsi="Times New Roman" w:cs="Times New Roman"/>
          <w:noProof/>
          <w:kern w:val="0"/>
          <w:sz w:val="24"/>
          <w:szCs w:val="24"/>
          <w14:ligatures w14:val="none"/>
        </w:rPr>
        <w:t>116</w:t>
      </w:r>
      <w:bookmarkEnd w:id="0"/>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Dès lors, au vu de l’ensemble de ces circonstances, la Cour estime que les autorités allemandes disposaient en l’espèce d’une ample marge d’appréciation.</w:t>
      </w:r>
    </w:p>
    <w:p w14:paraId="476A32D7"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lastRenderedPageBreak/>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117</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rappelle toutefois que les choix opérés par l’État, même dans les limites de cette marge d’appréciation, n’échappent pas à son contrôle. Il lui incombe en effet d’examiner attentivement les arguments dont il a été tenu compte pour parvenir à la solution retenue et de rechercher si un juste équilibre a été ménagé entre les intérêts de l’État et ceux des individus directement touchés par cette solution. Ce faisant, elle doit avoir égard au principe essentiel selon lequel, chaque fois que la situation d’un enfant est en cause, l’intérêt supérieur de celui</w:t>
      </w:r>
      <w:r w:rsidRPr="009E780E">
        <w:rPr>
          <w:rFonts w:ascii="Times New Roman" w:eastAsia="Times New Roman" w:hAnsi="Times New Roman" w:cs="Times New Roman"/>
          <w:kern w:val="0"/>
          <w:sz w:val="24"/>
          <w:szCs w:val="24"/>
          <w14:ligatures w14:val="none"/>
        </w:rPr>
        <w:noBreakHyphen/>
        <w:t>ci doit primer (</w:t>
      </w:r>
      <w:r w:rsidRPr="009E780E">
        <w:rPr>
          <w:rFonts w:ascii="Times New Roman" w:eastAsia="Times New Roman" w:hAnsi="Times New Roman" w:cs="Times New Roman"/>
          <w:i/>
          <w:iCs/>
          <w:kern w:val="0"/>
          <w:sz w:val="24"/>
          <w:szCs w:val="24"/>
          <w14:ligatures w14:val="none"/>
        </w:rPr>
        <w:t>Mennesson</w:t>
      </w:r>
      <w:r w:rsidRPr="009E780E">
        <w:rPr>
          <w:rFonts w:ascii="Times New Roman" w:eastAsia="Times New Roman" w:hAnsi="Times New Roman" w:cs="Times New Roman"/>
          <w:kern w:val="0"/>
          <w:sz w:val="24"/>
          <w:szCs w:val="24"/>
          <w14:ligatures w14:val="none"/>
        </w:rPr>
        <w:t xml:space="preserve">, § 81, </w:t>
      </w:r>
      <w:proofErr w:type="spellStart"/>
      <w:r w:rsidRPr="009E780E">
        <w:rPr>
          <w:rFonts w:ascii="Times New Roman" w:eastAsia="Times New Roman" w:hAnsi="Times New Roman" w:cs="Times New Roman"/>
          <w:i/>
          <w:kern w:val="0"/>
          <w:sz w:val="24"/>
          <w:szCs w:val="24"/>
          <w14:ligatures w14:val="none"/>
        </w:rPr>
        <w:t>Mandet</w:t>
      </w:r>
      <w:proofErr w:type="spellEnd"/>
      <w:r w:rsidRPr="009E780E">
        <w:rPr>
          <w:rFonts w:ascii="Times New Roman" w:eastAsia="Times New Roman" w:hAnsi="Times New Roman" w:cs="Times New Roman"/>
          <w:kern w:val="0"/>
          <w:sz w:val="24"/>
          <w:szCs w:val="24"/>
          <w14:ligatures w14:val="none"/>
        </w:rPr>
        <w:t xml:space="preserve">, § 53, et </w:t>
      </w:r>
      <w:r w:rsidRPr="009E780E">
        <w:rPr>
          <w:rFonts w:ascii="Times New Roman" w:eastAsia="Times New Roman" w:hAnsi="Times New Roman" w:cs="Times New Roman"/>
          <w:i/>
          <w:kern w:val="0"/>
          <w:sz w:val="24"/>
          <w:szCs w:val="24"/>
          <w14:ligatures w14:val="none"/>
        </w:rPr>
        <w:t>L.D. et P.K. c. Bulgarie</w:t>
      </w:r>
      <w:r w:rsidRPr="009E780E">
        <w:rPr>
          <w:rFonts w:ascii="Times New Roman" w:eastAsia="Times New Roman" w:hAnsi="Times New Roman" w:cs="Times New Roman"/>
          <w:kern w:val="0"/>
          <w:sz w:val="24"/>
          <w:szCs w:val="24"/>
          <w14:ligatures w14:val="none"/>
        </w:rPr>
        <w:t>, § 61, tous précités).</w:t>
      </w:r>
    </w:p>
    <w:p w14:paraId="502D2CA9" w14:textId="77777777" w:rsidR="009E780E" w:rsidRPr="009E780E" w:rsidRDefault="009E780E" w:rsidP="009E780E">
      <w:pPr>
        <w:keepNext/>
        <w:keepLines/>
        <w:numPr>
          <w:ilvl w:val="4"/>
          <w:numId w:val="0"/>
        </w:numPr>
        <w:spacing w:before="100" w:beforeAutospacing="1" w:after="120" w:line="240" w:lineRule="auto"/>
        <w:ind w:left="851" w:hanging="341"/>
        <w:jc w:val="both"/>
        <w:outlineLvl w:val="4"/>
        <w:rPr>
          <w:rFonts w:ascii="Times New Roman" w:eastAsia="Times New Roman" w:hAnsi="Times New Roman" w:cs="Times New Roman"/>
          <w:b/>
          <w:bCs/>
          <w:kern w:val="0"/>
          <w:sz w:val="20"/>
          <w14:ligatures w14:val="none"/>
        </w:rPr>
      </w:pPr>
      <w:r w:rsidRPr="009E780E">
        <w:rPr>
          <w:rFonts w:ascii="Times New Roman" w:eastAsia="Times New Roman" w:hAnsi="Times New Roman" w:cs="Times New Roman"/>
          <w:b/>
          <w:bCs/>
          <w:kern w:val="0"/>
          <w:sz w:val="20"/>
          <w14:ligatures w14:val="none"/>
        </w:rPr>
        <w:t>Sur le droit des requérants au respect de leur vie privée</w:t>
      </w:r>
    </w:p>
    <w:p w14:paraId="70171EF7"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118</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La Cour note que, contrairement aux requérants dans d’autres affaires qu’elle a examinées par le passé, la première requérante ne se plaint pas de l’absence de reconnaissance de son changement de genre dans les documents officiels la concernant (voir, par exemple et parmi beaucoup d’autres, </w:t>
      </w:r>
      <w:r w:rsidRPr="009E780E">
        <w:rPr>
          <w:rFonts w:ascii="Times New Roman" w:eastAsia="Times New Roman" w:hAnsi="Times New Roman" w:cs="Times New Roman"/>
          <w:i/>
          <w:iCs/>
          <w:kern w:val="0"/>
          <w:sz w:val="24"/>
          <w:szCs w:val="24"/>
          <w14:ligatures w14:val="none"/>
        </w:rPr>
        <w:t xml:space="preserve">Christine Goodwin c. Royaume-Uni </w:t>
      </w:r>
      <w:r w:rsidRPr="009E780E">
        <w:rPr>
          <w:rFonts w:ascii="Times New Roman" w:eastAsia="Times New Roman" w:hAnsi="Times New Roman" w:cs="Times New Roman"/>
          <w:kern w:val="0"/>
          <w:sz w:val="24"/>
          <w:szCs w:val="24"/>
          <w14:ligatures w14:val="none"/>
        </w:rPr>
        <w:t>[GC], n</w:t>
      </w:r>
      <w:r w:rsidRPr="009E780E">
        <w:rPr>
          <w:rFonts w:ascii="Times New Roman" w:eastAsia="Times New Roman" w:hAnsi="Times New Roman" w:cs="Times New Roman"/>
          <w:kern w:val="0"/>
          <w:sz w:val="24"/>
          <w:szCs w:val="24"/>
          <w:vertAlign w:val="superscript"/>
          <w14:ligatures w14:val="none"/>
        </w:rPr>
        <w:t>o </w:t>
      </w:r>
      <w:r w:rsidRPr="009E780E">
        <w:rPr>
          <w:rFonts w:ascii="Times New Roman" w:eastAsia="Times New Roman" w:hAnsi="Times New Roman" w:cs="Times New Roman"/>
          <w:kern w:val="0"/>
          <w:sz w:val="24"/>
          <w:szCs w:val="24"/>
          <w14:ligatures w14:val="none"/>
        </w:rPr>
        <w:t>28957/95, CEDH 2002</w:t>
      </w:r>
      <w:r w:rsidRPr="009E780E">
        <w:rPr>
          <w:rFonts w:ascii="Times New Roman" w:eastAsia="Times New Roman" w:hAnsi="Times New Roman" w:cs="Times New Roman"/>
          <w:kern w:val="0"/>
          <w:sz w:val="24"/>
          <w:szCs w:val="24"/>
          <w14:ligatures w14:val="none"/>
        </w:rPr>
        <w:noBreakHyphen/>
        <w:t>VI), mais du refus des autorités d’indiquer son genre et ses prénoms actuels dans un acte officiel concernant son fils et du fait qu’il ne lui est proposé qu’une seule manière d’établir un lien de filiation juridique avec lui, qui consiste à effectuer une reconnaissance de paternité puis à se faire inscrire dans le registre des naissances en tant que père du requérant.</w:t>
      </w:r>
    </w:p>
    <w:p w14:paraId="420BE630"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119</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relève que, selon l’intention du législateur allemand, l’ancien sexe et l’ancien prénom du parent transgenre devaient être indiqués non seulement en cas de naissance survenue avant que la reconnaissance du changement de genre du parent fût devenue définitive, mais aussi lorsque, comme en l’espèce, la conception ou la naissance de l’enfant était postérieure au changement de genre. En effet, le texte de l’article 11 § 1 de la loi relative au nom et au sexe des personnes transsexuelles (« la loi TSG ») avait été explicitement modifié en ce sens au cours du processus législatif au motif que, selon les connaissances médicales d’alors, il n’était pas exclu que des personnes présumées incapables de procréer pussent néanmoins concevoir ou mettre au monde un enfant après une opération de changement de sexe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paragraphe31 \h  \* MERGEFORMAT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31</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w:t>
      </w:r>
    </w:p>
    <w:p w14:paraId="5D8A8E09"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120</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observe que la présente situation a été rendue possible notamment après que la Cour constitutionnelle fédérale, dans son arrêt du 11 janvier 2011 (paragraphes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paragraphe41 \h  \* MERGEFORMAT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41</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noBreakHyphen/>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paragraphe43 \h  \* MERGEFORMAT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43</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ci-dessus), eut déclaré contraires à la Loi fondamentale l’obligation, pour une personne désireuse d’obtenir une reconnaissance de changement de genre, de subir une opération chirurgicale, ainsi que la condition d’une stérilité irréversible. La juridiction constitutionnelle a en effet estimé que le droit des personnes transgenres à l’autodétermination l’emportait sur les raisons qui avaient amené le législateur à poser de telles conditions préalables à la reconnaissance d’un changement de genre. La Cour note que cet arrêt visait à renforcer les droits des personnes transgenres et à assurer leur protection à un niveau qu’elle a elle</w:t>
      </w:r>
      <w:r w:rsidRPr="009E780E">
        <w:rPr>
          <w:rFonts w:ascii="Times New Roman" w:eastAsia="Times New Roman" w:hAnsi="Times New Roman" w:cs="Times New Roman"/>
          <w:kern w:val="0"/>
          <w:sz w:val="24"/>
          <w:szCs w:val="24"/>
          <w14:ligatures w14:val="none"/>
        </w:rPr>
        <w:noBreakHyphen/>
        <w:t>même demandé ultérieurement, comme découlant des obligations positives au regard de l’article 8 de la Convention (</w:t>
      </w:r>
      <w:r w:rsidRPr="009E780E">
        <w:rPr>
          <w:rFonts w:ascii="Times New Roman" w:eastAsia="Times New Roman" w:hAnsi="Times New Roman" w:cs="Times New Roman"/>
          <w:i/>
          <w:kern w:val="0"/>
          <w:sz w:val="24"/>
          <w:szCs w:val="24"/>
          <w14:ligatures w14:val="none"/>
        </w:rPr>
        <w:t>A.P., Garçon et Nicot</w:t>
      </w:r>
      <w:r w:rsidRPr="009E780E">
        <w:rPr>
          <w:rFonts w:ascii="Times New Roman" w:eastAsia="Times New Roman" w:hAnsi="Times New Roman" w:cs="Times New Roman"/>
          <w:kern w:val="0"/>
          <w:sz w:val="24"/>
          <w:szCs w:val="24"/>
          <w14:ligatures w14:val="none"/>
        </w:rPr>
        <w:t>, précité, § 135). Elle relève qu’il ressort de l’arrêt en question que la Cour constitutionnelle fédérale était consciente que des situations telles que celle de l’espèce étaient susceptibles de se produire dans le futur, mais qu’elle a estimé qu’il existait des possibilités légales de garantir que les enfants ayant un parent transgenre préserveraient leur rattachement à leur père et à leur mère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paragraphe43 \h  \* MERGEFORMAT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43</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w:t>
      </w:r>
    </w:p>
    <w:p w14:paraId="2777DDDE"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121</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note que la Cour fédérale de justice a reconnu que le fait que la première requérante ne pouvait être inscrite dans le registre des naissances comme parent du requérant que sous son sexe d’origine était de nature à porter atteinte à la reconnaissance de son identité de genre. La haute juridiction a cependant rappelé que le droit à l’épanouissement de la personnalité était limité, entre autres, par les articles 1591 et 1592 CC ainsi que par la première phrase de l’article 11 de la loi TSG (paragraphes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paragraphe22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22</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paragraphe23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23</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et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paragraphe30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30</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 xml:space="preserve">dessus) telle qu’elle l’avait interprétée dans son arrêt du 6 septembre 2017 (paragraphes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paragraphe49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49</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paragraphe58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58</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ci-dessus). Dans cet arrêt, qu’elle avait rendu quelques semaines avant de se prononcer dans la cause des présents </w:t>
      </w:r>
      <w:r w:rsidRPr="009E780E">
        <w:rPr>
          <w:rFonts w:ascii="Times New Roman" w:eastAsia="Times New Roman" w:hAnsi="Times New Roman" w:cs="Times New Roman"/>
          <w:kern w:val="0"/>
          <w:sz w:val="24"/>
          <w:szCs w:val="24"/>
          <w14:ligatures w14:val="none"/>
        </w:rPr>
        <w:lastRenderedPageBreak/>
        <w:t>requérants, la Cour fédérale de justice avait estimé que les droits du parent transgenre dans l’affaire dont elle était saisie devaient être mis en balance avec, d’une part, des intérêts publics, en particulier la cohérence de l’ordre juridique et la tenue de registres de l’état civil complets et exacts et, d’autre part, les droits et intérêts de l’enfant, notamment le droit de connaître ses origines, le droit à recevoir soins et éducation de ses deux parents et l’intérêt à faire l’objet dès sa naissance d’un rattachement juridique stable, fondé sur les fonctions dans le cadre</w:t>
      </w:r>
      <w:r w:rsidRPr="009E780E">
        <w:rPr>
          <w:rFonts w:ascii="Times New Roman" w:eastAsia="Times New Roman" w:hAnsi="Times New Roman" w:cs="Times New Roman"/>
          <w:b/>
          <w:bCs/>
          <w:kern w:val="0"/>
          <w:sz w:val="24"/>
          <w:szCs w:val="24"/>
          <w14:ligatures w14:val="none"/>
        </w:rPr>
        <w:t xml:space="preserve"> </w:t>
      </w:r>
      <w:r w:rsidRPr="009E780E">
        <w:rPr>
          <w:rFonts w:ascii="Times New Roman" w:eastAsia="Times New Roman" w:hAnsi="Times New Roman" w:cs="Times New Roman"/>
          <w:kern w:val="0"/>
          <w:sz w:val="24"/>
          <w:szCs w:val="24"/>
          <w14:ligatures w14:val="none"/>
        </w:rPr>
        <w:t>de la procréation biologique, à une mère et à un père. Dans ce contexte, elle a souligné que la maternité et la paternité, en tant que catégories juridiques, n’étaient pas interchangeables et se distinguaient aussi bien par les conditions préalables à leur justification que par les conséquences juridiques qui en découlaient.</w:t>
      </w:r>
    </w:p>
    <w:p w14:paraId="3C874505"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122</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En ce qui concerne les intérêts publics invoqués par la Cour fédérale de justice dans son arrêt du 6 septembre 2017, la Cour a admis dans le passé que la cohérence de l’ordre juridique pouvait revêtir une certaine importance dans la pesée des intérêts (</w:t>
      </w:r>
      <w:r w:rsidRPr="009E780E">
        <w:rPr>
          <w:rFonts w:ascii="Times New Roman" w:eastAsia="Times New Roman" w:hAnsi="Times New Roman" w:cs="Times New Roman"/>
          <w:i/>
          <w:iCs/>
          <w:kern w:val="0"/>
          <w:sz w:val="24"/>
          <w:szCs w:val="24"/>
          <w14:ligatures w14:val="none"/>
        </w:rPr>
        <w:t>Christine Goodwin</w:t>
      </w:r>
      <w:r w:rsidRPr="009E780E">
        <w:rPr>
          <w:rFonts w:ascii="Times New Roman" w:eastAsia="Times New Roman" w:hAnsi="Times New Roman" w:cs="Times New Roman"/>
          <w:kern w:val="0"/>
          <w:sz w:val="24"/>
          <w:szCs w:val="24"/>
          <w14:ligatures w14:val="none"/>
        </w:rPr>
        <w:t>, précité, §§ 86</w:t>
      </w:r>
      <w:r w:rsidRPr="009E780E">
        <w:rPr>
          <w:rFonts w:ascii="Times New Roman" w:eastAsia="Times New Roman" w:hAnsi="Times New Roman" w:cs="Times New Roman"/>
          <w:kern w:val="0"/>
          <w:sz w:val="24"/>
          <w:szCs w:val="24"/>
          <w14:ligatures w14:val="none"/>
        </w:rPr>
        <w:noBreakHyphen/>
        <w:t xml:space="preserve">88 et 91, </w:t>
      </w:r>
      <w:r w:rsidRPr="009E780E">
        <w:rPr>
          <w:rFonts w:ascii="Times New Roman" w:eastAsia="Times New Roman" w:hAnsi="Times New Roman" w:cs="Times New Roman"/>
          <w:i/>
          <w:kern w:val="0"/>
          <w:sz w:val="24"/>
          <w:szCs w:val="24"/>
          <w14:ligatures w14:val="none"/>
        </w:rPr>
        <w:t>X, Y et Z c. Royaume</w:t>
      </w:r>
      <w:r w:rsidRPr="009E780E">
        <w:rPr>
          <w:rFonts w:ascii="Times New Roman" w:eastAsia="Times New Roman" w:hAnsi="Times New Roman" w:cs="Times New Roman"/>
          <w:i/>
          <w:kern w:val="0"/>
          <w:sz w:val="24"/>
          <w:szCs w:val="24"/>
          <w14:ligatures w14:val="none"/>
        </w:rPr>
        <w:noBreakHyphen/>
        <w:t>Uni</w:t>
      </w:r>
      <w:r w:rsidRPr="009E780E">
        <w:rPr>
          <w:rFonts w:ascii="Times New Roman" w:eastAsia="Times New Roman" w:hAnsi="Times New Roman" w:cs="Times New Roman"/>
          <w:kern w:val="0"/>
          <w:sz w:val="24"/>
          <w:szCs w:val="24"/>
          <w14:ligatures w14:val="none"/>
        </w:rPr>
        <w:t xml:space="preserve">, 22 avril 1997, § 47, </w:t>
      </w:r>
      <w:r w:rsidRPr="009E780E">
        <w:rPr>
          <w:rFonts w:ascii="Times New Roman" w:eastAsia="Times New Roman" w:hAnsi="Times New Roman" w:cs="Times New Roman"/>
          <w:i/>
          <w:kern w:val="0"/>
          <w:sz w:val="24"/>
          <w:szCs w:val="24"/>
          <w14:ligatures w14:val="none"/>
        </w:rPr>
        <w:t xml:space="preserve">Recueil </w:t>
      </w:r>
      <w:r w:rsidRPr="009E780E">
        <w:rPr>
          <w:rFonts w:ascii="Times New Roman" w:eastAsia="Times New Roman" w:hAnsi="Times New Roman" w:cs="Times New Roman"/>
          <w:kern w:val="0"/>
          <w:sz w:val="24"/>
          <w:szCs w:val="24"/>
          <w14:ligatures w14:val="none"/>
        </w:rPr>
        <w:t>1997</w:t>
      </w:r>
      <w:r w:rsidRPr="009E780E">
        <w:rPr>
          <w:rFonts w:ascii="Times New Roman" w:eastAsia="Times New Roman" w:hAnsi="Times New Roman" w:cs="Times New Roman"/>
          <w:kern w:val="0"/>
          <w:sz w:val="24"/>
          <w:szCs w:val="24"/>
          <w14:ligatures w14:val="none"/>
        </w:rPr>
        <w:noBreakHyphen/>
        <w:t xml:space="preserve">II, et </w:t>
      </w:r>
      <w:r w:rsidRPr="009E780E">
        <w:rPr>
          <w:rFonts w:ascii="Times New Roman" w:eastAsia="Times New Roman" w:hAnsi="Times New Roman" w:cs="Times New Roman"/>
          <w:i/>
          <w:kern w:val="0"/>
          <w:sz w:val="24"/>
          <w:szCs w:val="24"/>
          <w14:ligatures w14:val="none"/>
        </w:rPr>
        <w:t>Rees c. Royaume</w:t>
      </w:r>
      <w:r w:rsidRPr="009E780E">
        <w:rPr>
          <w:rFonts w:ascii="Times New Roman" w:eastAsia="Times New Roman" w:hAnsi="Times New Roman" w:cs="Times New Roman"/>
          <w:i/>
          <w:kern w:val="0"/>
          <w:sz w:val="24"/>
          <w:szCs w:val="24"/>
          <w14:ligatures w14:val="none"/>
        </w:rPr>
        <w:noBreakHyphen/>
        <w:t>Uni</w:t>
      </w:r>
      <w:r w:rsidRPr="009E780E">
        <w:rPr>
          <w:rFonts w:ascii="Times New Roman" w:eastAsia="Times New Roman" w:hAnsi="Times New Roman" w:cs="Times New Roman"/>
          <w:kern w:val="0"/>
          <w:sz w:val="24"/>
          <w:szCs w:val="24"/>
          <w14:ligatures w14:val="none"/>
        </w:rPr>
        <w:t>, 17 octobre 1986, §§ 43</w:t>
      </w:r>
      <w:r w:rsidRPr="009E780E">
        <w:rPr>
          <w:rFonts w:ascii="Times New Roman" w:eastAsia="Times New Roman" w:hAnsi="Times New Roman" w:cs="Times New Roman"/>
          <w:kern w:val="0"/>
          <w:sz w:val="24"/>
          <w:szCs w:val="24"/>
          <w14:ligatures w14:val="none"/>
        </w:rPr>
        <w:noBreakHyphen/>
        <w:t>44, série A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106). Elle a notamment reconnu que la garantie de la fiabilité et de la cohérence de l’état civil et, plus largement, l’exigence de sécurité juridique, relèvent de l’intérêt public (</w:t>
      </w:r>
      <w:r w:rsidRPr="009E780E">
        <w:rPr>
          <w:rFonts w:ascii="Times New Roman" w:eastAsia="Times New Roman" w:hAnsi="Times New Roman" w:cs="Times New Roman"/>
          <w:i/>
          <w:kern w:val="0"/>
          <w:sz w:val="24"/>
          <w:szCs w:val="24"/>
          <w14:ligatures w14:val="none"/>
        </w:rPr>
        <w:t>Y.T. c. Bulgarie</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xml:space="preserve"> 41701/16, § 70, 9 juillet 2020, </w:t>
      </w:r>
      <w:r w:rsidRPr="009E780E">
        <w:rPr>
          <w:rFonts w:ascii="Times New Roman" w:eastAsia="Times New Roman" w:hAnsi="Times New Roman" w:cs="Times New Roman"/>
          <w:i/>
          <w:iCs/>
          <w:kern w:val="0"/>
          <w:sz w:val="24"/>
          <w:szCs w:val="24"/>
          <w14:ligatures w14:val="none"/>
        </w:rPr>
        <w:t>X et Y c. Roumanie</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os</w:t>
      </w:r>
      <w:r w:rsidRPr="009E780E">
        <w:rPr>
          <w:rFonts w:ascii="Times New Roman" w:eastAsia="Times New Roman" w:hAnsi="Times New Roman" w:cs="Times New Roman"/>
          <w:kern w:val="0"/>
          <w:sz w:val="24"/>
          <w:szCs w:val="24"/>
          <w14:ligatures w14:val="none"/>
        </w:rPr>
        <w:t xml:space="preserve"> 2145/16 et 20607/16, § 158, 19 janvier 2021, </w:t>
      </w:r>
      <w:r w:rsidRPr="009E780E">
        <w:rPr>
          <w:rFonts w:ascii="Times New Roman" w:eastAsia="Times New Roman" w:hAnsi="Times New Roman" w:cs="Times New Roman"/>
          <w:i/>
          <w:kern w:val="0"/>
          <w:sz w:val="24"/>
          <w:szCs w:val="24"/>
          <w14:ligatures w14:val="none"/>
        </w:rPr>
        <w:t>A.P., Garçon et Nicot</w:t>
      </w:r>
      <w:r w:rsidRPr="009E780E">
        <w:rPr>
          <w:rFonts w:ascii="Times New Roman" w:eastAsia="Times New Roman" w:hAnsi="Times New Roman" w:cs="Times New Roman"/>
          <w:kern w:val="0"/>
          <w:sz w:val="24"/>
          <w:szCs w:val="24"/>
          <w14:ligatures w14:val="none"/>
        </w:rPr>
        <w:t xml:space="preserve">, précité, § 132, et </w:t>
      </w:r>
      <w:r w:rsidRPr="009E780E">
        <w:rPr>
          <w:rFonts w:ascii="Times New Roman" w:eastAsia="Times New Roman" w:hAnsi="Times New Roman" w:cs="Times New Roman"/>
          <w:i/>
          <w:kern w:val="0"/>
          <w:sz w:val="24"/>
          <w:szCs w:val="24"/>
          <w14:ligatures w14:val="none"/>
        </w:rPr>
        <w:t>S.V. c. Italie</w:t>
      </w:r>
      <w:r w:rsidRPr="009E780E">
        <w:rPr>
          <w:rFonts w:ascii="Times New Roman" w:eastAsia="Times New Roman" w:hAnsi="Times New Roman" w:cs="Times New Roman"/>
          <w:kern w:val="0"/>
          <w:sz w:val="24"/>
          <w:szCs w:val="24"/>
          <w14:ligatures w14:val="none"/>
        </w:rPr>
        <w:t>, précité, § 69). Dans ce contexte, elle relève aussi que, comme l’a souligné la Cour fédérale de justice dans son arrêt du 6 septembre 2017 (paragraphes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paragraphe49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49</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noBreakHyphen/>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paragraphe58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58</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les transcriptions dans les registres de l’état civil revêtent une fonction de preuve particulière dans le système juridique allemand.</w:t>
      </w:r>
    </w:p>
    <w:p w14:paraId="2C6FB393"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123</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Pour ce qui est des droits de l’enfant, la Cour note que les requérants affirment que leurs intérêts sont étroitement liés entre eux et que, partant, les limitations apportées aux droits des requérantes ne peuvent être justifiées par les intérêts prétendument opposés du requérant, contrairement à ce que soutient le Gouvernement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paragraphe100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101</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À cet égard, la Cour rappelle d’une manière générale qu’un État peut, sans enfreindre l’article 8 de la Convention, adopter une législation régissant des aspects importants de la vie privée qui ne prévoit pas de mise en balance des intérêts concurrents dans chaque cas, mais qui édicte une règle à caractère absolu visant à promouvoir la sécurité juridique (</w:t>
      </w:r>
      <w:r w:rsidRPr="009E780E">
        <w:rPr>
          <w:rFonts w:ascii="Times New Roman" w:eastAsia="Times New Roman" w:hAnsi="Times New Roman" w:cs="Times New Roman"/>
          <w:i/>
          <w:kern w:val="0"/>
          <w:sz w:val="24"/>
          <w:szCs w:val="24"/>
          <w14:ligatures w14:val="none"/>
        </w:rPr>
        <w:t>S.H. et autres</w:t>
      </w:r>
      <w:r w:rsidRPr="009E780E">
        <w:rPr>
          <w:rFonts w:ascii="Times New Roman" w:eastAsia="Times New Roman" w:hAnsi="Times New Roman" w:cs="Times New Roman"/>
          <w:kern w:val="0"/>
          <w:sz w:val="24"/>
          <w:szCs w:val="24"/>
          <w14:ligatures w14:val="none"/>
        </w:rPr>
        <w:t xml:space="preserve">, § 110, et </w:t>
      </w:r>
      <w:r w:rsidRPr="009E780E">
        <w:rPr>
          <w:rFonts w:ascii="Times New Roman" w:eastAsia="Times New Roman" w:hAnsi="Times New Roman" w:cs="Times New Roman"/>
          <w:i/>
          <w:iCs/>
          <w:kern w:val="0"/>
          <w:sz w:val="24"/>
          <w:szCs w:val="24"/>
          <w14:ligatures w14:val="none"/>
        </w:rPr>
        <w:t>Evans</w:t>
      </w:r>
      <w:r w:rsidRPr="009E780E">
        <w:rPr>
          <w:rFonts w:ascii="Times New Roman" w:eastAsia="Times New Roman" w:hAnsi="Times New Roman" w:cs="Times New Roman"/>
          <w:kern w:val="0"/>
          <w:sz w:val="24"/>
          <w:szCs w:val="24"/>
          <w14:ligatures w14:val="none"/>
        </w:rPr>
        <w:t>, § 89, tous deux précités ; voir aussi l’Observation générale n</w:t>
      </w:r>
      <w:r w:rsidRPr="009E780E">
        <w:rPr>
          <w:rFonts w:ascii="Times New Roman" w:eastAsia="Times New Roman" w:hAnsi="Times New Roman" w:cs="Times New Roman"/>
          <w:kern w:val="0"/>
          <w:sz w:val="24"/>
          <w:szCs w:val="24"/>
          <w:vertAlign w:val="superscript"/>
          <w14:ligatures w14:val="none"/>
        </w:rPr>
        <w:t>o </w:t>
      </w:r>
      <w:r w:rsidRPr="009E780E">
        <w:rPr>
          <w:rFonts w:ascii="Times New Roman" w:eastAsia="Times New Roman" w:hAnsi="Times New Roman" w:cs="Times New Roman"/>
          <w:kern w:val="0"/>
          <w:sz w:val="24"/>
          <w:szCs w:val="24"/>
          <w14:ligatures w14:val="none"/>
        </w:rPr>
        <w:t>14 du Comité des droits de l’enfant des Nations unies sur le droit de l’enfant à ce que son intérêt supérieur soit une considération primordiale, paragraphe 32, cité au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paragraphe67 \h  \* MERGEFORMAT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67</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Elle considère par ailleurs, sans mettre en question les droits parentaux (voir l’article 3 § 2 de la Convention des Nations unies relative aux droits de l’enfant –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paragraphe66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66</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que la Cour fédérale de justice n’était pas limitée à prendre en considération les intérêts du requérant tels qu’ils ont été présentés par les requérantes, mais devait, au contraire, les examiner d’une manière exhaustive et notamment tenir compte des conflits d’intérêts entre les requérants.</w:t>
      </w:r>
    </w:p>
    <w:p w14:paraId="5448D150"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124</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Cela étant, la Cour note que, dans son arrêt du 6 septembre 2017, la Cour fédérale de justice a examiné la question de savoir si l’attribution aux parents d’un statut juridique sans lien avec leur fonction dans le cadre de la procréation biologique était de nature à porter atteinte aux droits fondamentaux de l’enfant. Par ailleurs, si les conclusions que la Cour fédérale de justice a formulées à cet égard dans sa décision de principe contiennent des considérations générales qui n’abordent pas explicitement les droits individuels de l’enfant, cela tient au fait que les juridictions nationales saisies par l’un des parents (ou les deux) et son (leur) enfant ne peuvent pas tenir compte uniquement des intérêts invoqués par le(s) parent(s), mais doivent donner la priorité à l’intérêt supérieur de l’enfant (voir notamment l’article 3 de la Convention des Nations unies relative aux droits de l’enfant –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paragraphe66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66</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et aussi prendre en considération les possibles intérêts futurs de celui</w:t>
      </w:r>
      <w:r w:rsidRPr="009E780E">
        <w:rPr>
          <w:rFonts w:ascii="Times New Roman" w:eastAsia="Times New Roman" w:hAnsi="Times New Roman" w:cs="Times New Roman"/>
          <w:kern w:val="0"/>
          <w:sz w:val="24"/>
          <w:szCs w:val="24"/>
          <w14:ligatures w14:val="none"/>
        </w:rPr>
        <w:noBreakHyphen/>
        <w:t xml:space="preserve">ci, ainsi que les intérêts des enfants qui se trouvent dans une situation comparable et auxquels les dispositions législatives régissant </w:t>
      </w:r>
      <w:r w:rsidRPr="009E780E">
        <w:rPr>
          <w:rFonts w:ascii="Times New Roman" w:eastAsia="Times New Roman" w:hAnsi="Times New Roman" w:cs="Times New Roman"/>
          <w:kern w:val="0"/>
          <w:sz w:val="24"/>
          <w:szCs w:val="24"/>
          <w14:ligatures w14:val="none"/>
        </w:rPr>
        <w:lastRenderedPageBreak/>
        <w:t xml:space="preserve">l’affaire devant elle concernée s’appliquent également (voir aussi </w:t>
      </w:r>
      <w:r w:rsidRPr="009E780E">
        <w:rPr>
          <w:rFonts w:ascii="Times New Roman" w:eastAsia="Times New Roman" w:hAnsi="Times New Roman" w:cs="Times New Roman"/>
          <w:i/>
          <w:iCs/>
          <w:kern w:val="0"/>
          <w:sz w:val="24"/>
          <w:szCs w:val="24"/>
          <w14:ligatures w14:val="none"/>
        </w:rPr>
        <w:t>X, Y et Z c. Royaume</w:t>
      </w:r>
      <w:r w:rsidRPr="009E780E">
        <w:rPr>
          <w:rFonts w:ascii="Times New Roman" w:eastAsia="Times New Roman" w:hAnsi="Times New Roman" w:cs="Times New Roman"/>
          <w:i/>
          <w:iCs/>
          <w:kern w:val="0"/>
          <w:sz w:val="24"/>
          <w:szCs w:val="24"/>
          <w14:ligatures w14:val="none"/>
        </w:rPr>
        <w:noBreakHyphen/>
        <w:t>Uni</w:t>
      </w:r>
      <w:r w:rsidRPr="009E780E">
        <w:rPr>
          <w:rFonts w:ascii="Times New Roman" w:eastAsia="Times New Roman" w:hAnsi="Times New Roman" w:cs="Times New Roman"/>
          <w:kern w:val="0"/>
          <w:sz w:val="24"/>
          <w:szCs w:val="24"/>
          <w14:ligatures w14:val="none"/>
        </w:rPr>
        <w:t>, précité, § 51).</w:t>
      </w:r>
    </w:p>
    <w:p w14:paraId="0892CBC6"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125</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color w:val="FF0000"/>
          <w:kern w:val="0"/>
          <w:sz w:val="24"/>
          <w:szCs w:val="24"/>
          <w14:ligatures w14:val="none"/>
        </w:rPr>
        <w:t>.  </w:t>
      </w:r>
      <w:r w:rsidRPr="009E780E">
        <w:rPr>
          <w:rFonts w:ascii="Times New Roman" w:eastAsia="Times New Roman" w:hAnsi="Times New Roman" w:cs="Times New Roman"/>
          <w:kern w:val="0"/>
          <w:sz w:val="24"/>
          <w:szCs w:val="24"/>
          <w14:ligatures w14:val="none"/>
        </w:rPr>
        <w:t>La Cour note qu’en l’espèce la divergence entre les intérêts des requérantes et ceux du requérant est naturellement apparue peu après la naissance de l’enfant, lorsqu’il a fallu déterminer quelles informations consigner dans le registre des naissances, autrement dit à un moment où le bien</w:t>
      </w:r>
      <w:r w:rsidRPr="009E780E">
        <w:rPr>
          <w:rFonts w:ascii="Times New Roman" w:eastAsia="Times New Roman" w:hAnsi="Times New Roman" w:cs="Times New Roman"/>
          <w:kern w:val="0"/>
          <w:sz w:val="24"/>
          <w:szCs w:val="24"/>
          <w14:ligatures w14:val="none"/>
        </w:rPr>
        <w:noBreakHyphen/>
        <w:t xml:space="preserve">être du requérant ne pouvait être examiné de manière individualisée en raison de son bas âge. Par ailleurs, pour la Cour fédérale de justice, comme cela ressort de sa décision de principe, les intérêts de l’enfant se confondaient dans une certaine mesure avec l’intérêt général attaché à la fiabilité et à la cohérence de l’état civil ainsi qu’à la sécurité juridique (voir, </w:t>
      </w:r>
      <w:r w:rsidRPr="009E780E">
        <w:rPr>
          <w:rFonts w:ascii="Times New Roman" w:eastAsia="Times New Roman" w:hAnsi="Times New Roman" w:cs="Times New Roman"/>
          <w:i/>
          <w:iCs/>
          <w:kern w:val="0"/>
          <w:sz w:val="24"/>
          <w:szCs w:val="24"/>
          <w14:ligatures w14:val="none"/>
        </w:rPr>
        <w:t>mutatis mutandis</w:t>
      </w:r>
      <w:r w:rsidRPr="009E780E">
        <w:rPr>
          <w:rFonts w:ascii="Times New Roman" w:eastAsia="Times New Roman" w:hAnsi="Times New Roman" w:cs="Times New Roman"/>
          <w:kern w:val="0"/>
          <w:sz w:val="24"/>
          <w:szCs w:val="24"/>
          <w14:ligatures w14:val="none"/>
        </w:rPr>
        <w:t xml:space="preserve">, </w:t>
      </w:r>
      <w:r w:rsidRPr="009E780E">
        <w:rPr>
          <w:rFonts w:ascii="Times New Roman" w:eastAsia="Times New Roman" w:hAnsi="Times New Roman" w:cs="Times New Roman"/>
          <w:i/>
          <w:kern w:val="0"/>
          <w:sz w:val="24"/>
          <w:szCs w:val="24"/>
          <w14:ligatures w14:val="none"/>
        </w:rPr>
        <w:t>A.P., Garçon et Nicot</w:t>
      </w:r>
      <w:r w:rsidRPr="009E780E">
        <w:rPr>
          <w:rFonts w:ascii="Times New Roman" w:eastAsia="Times New Roman" w:hAnsi="Times New Roman" w:cs="Times New Roman"/>
          <w:kern w:val="0"/>
          <w:sz w:val="24"/>
          <w:szCs w:val="24"/>
          <w14:ligatures w14:val="none"/>
        </w:rPr>
        <w:t>, précité, § 142).</w:t>
      </w:r>
    </w:p>
    <w:p w14:paraId="02A01904"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126</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note que le droit de l’enfant de connaître ses origines, que la Cour fédérale de justice a mis en avant dans son arrêt du 6 septembre 2017 (paragraphes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paragraphe49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49</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noBreakHyphen/>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paragraphe58 \h  \* CharFormat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58</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pour limiter le droit à l’identité de genre du père de l’enfant, est également protégé par la Convention (</w:t>
      </w:r>
      <w:proofErr w:type="spellStart"/>
      <w:r w:rsidRPr="009E780E">
        <w:rPr>
          <w:rFonts w:ascii="Times New Roman" w:eastAsia="Times New Roman" w:hAnsi="Times New Roman" w:cs="Times New Roman"/>
          <w:i/>
          <w:kern w:val="0"/>
          <w:sz w:val="24"/>
          <w:szCs w:val="24"/>
          <w14:ligatures w14:val="none"/>
        </w:rPr>
        <w:t>Mikulić</w:t>
      </w:r>
      <w:proofErr w:type="spellEnd"/>
      <w:r w:rsidRPr="009E780E">
        <w:rPr>
          <w:rFonts w:ascii="Times New Roman" w:eastAsia="Times New Roman" w:hAnsi="Times New Roman" w:cs="Times New Roman"/>
          <w:i/>
          <w:kern w:val="0"/>
          <w:sz w:val="24"/>
          <w:szCs w:val="24"/>
          <w14:ligatures w14:val="none"/>
        </w:rPr>
        <w:t xml:space="preserve"> c. Croatie</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53176/99, § 54, CEDH 2002</w:t>
      </w:r>
      <w:r w:rsidRPr="009E780E">
        <w:rPr>
          <w:rFonts w:ascii="Times New Roman" w:eastAsia="Times New Roman" w:hAnsi="Times New Roman" w:cs="Times New Roman"/>
          <w:kern w:val="0"/>
          <w:sz w:val="24"/>
          <w:szCs w:val="24"/>
          <w14:ligatures w14:val="none"/>
        </w:rPr>
        <w:noBreakHyphen/>
        <w:t xml:space="preserve">I, </w:t>
      </w:r>
      <w:r w:rsidRPr="009E780E">
        <w:rPr>
          <w:rFonts w:ascii="Times New Roman" w:eastAsia="Times New Roman" w:hAnsi="Times New Roman" w:cs="Times New Roman"/>
          <w:i/>
          <w:kern w:val="0"/>
          <w:sz w:val="24"/>
          <w:szCs w:val="24"/>
          <w14:ligatures w14:val="none"/>
        </w:rPr>
        <w:t>Odièvre c. France</w:t>
      </w:r>
      <w:r w:rsidRPr="009E780E">
        <w:rPr>
          <w:rFonts w:ascii="Times New Roman" w:eastAsia="Times New Roman" w:hAnsi="Times New Roman" w:cs="Times New Roman"/>
          <w:kern w:val="0"/>
          <w:sz w:val="24"/>
          <w:szCs w:val="24"/>
          <w14:ligatures w14:val="none"/>
        </w:rPr>
        <w:t> [GC],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42326/98, § 29, CEDH 2003</w:t>
      </w:r>
      <w:r w:rsidRPr="009E780E">
        <w:rPr>
          <w:rFonts w:ascii="Times New Roman" w:eastAsia="Times New Roman" w:hAnsi="Times New Roman" w:cs="Times New Roman"/>
          <w:kern w:val="0"/>
          <w:sz w:val="24"/>
          <w:szCs w:val="24"/>
          <w14:ligatures w14:val="none"/>
        </w:rPr>
        <w:noBreakHyphen/>
        <w:t xml:space="preserve">III, et </w:t>
      </w:r>
      <w:proofErr w:type="spellStart"/>
      <w:r w:rsidRPr="009E780E">
        <w:rPr>
          <w:rFonts w:ascii="Times New Roman" w:eastAsia="Times New Roman" w:hAnsi="Times New Roman" w:cs="Times New Roman"/>
          <w:i/>
          <w:kern w:val="0"/>
          <w:sz w:val="24"/>
          <w:szCs w:val="24"/>
          <w14:ligatures w14:val="none"/>
        </w:rPr>
        <w:t>Godelli</w:t>
      </w:r>
      <w:proofErr w:type="spellEnd"/>
      <w:r w:rsidRPr="009E780E">
        <w:rPr>
          <w:rFonts w:ascii="Times New Roman" w:eastAsia="Times New Roman" w:hAnsi="Times New Roman" w:cs="Times New Roman"/>
          <w:i/>
          <w:kern w:val="0"/>
          <w:sz w:val="24"/>
          <w:szCs w:val="24"/>
          <w14:ligatures w14:val="none"/>
        </w:rPr>
        <w:t xml:space="preserve"> c. Italie</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33783/09, §§ 45</w:t>
      </w:r>
      <w:r w:rsidRPr="009E780E">
        <w:rPr>
          <w:rFonts w:ascii="Times New Roman" w:eastAsia="Times New Roman" w:hAnsi="Times New Roman" w:cs="Times New Roman"/>
          <w:kern w:val="0"/>
          <w:sz w:val="24"/>
          <w:szCs w:val="24"/>
          <w14:ligatures w14:val="none"/>
        </w:rPr>
        <w:noBreakHyphen/>
        <w:t>46, 25 septembre 2012) et englobe notamment le droit d’établir les détails de sa filiation (</w:t>
      </w:r>
      <w:r w:rsidRPr="009E780E">
        <w:rPr>
          <w:rFonts w:ascii="Times New Roman" w:eastAsia="Times New Roman" w:hAnsi="Times New Roman" w:cs="Times New Roman"/>
          <w:i/>
          <w:iCs/>
          <w:kern w:val="0"/>
          <w:sz w:val="24"/>
          <w:szCs w:val="24"/>
          <w14:ligatures w14:val="none"/>
        </w:rPr>
        <w:t>Mennesson</w:t>
      </w:r>
      <w:r w:rsidRPr="009E780E">
        <w:rPr>
          <w:rFonts w:ascii="Times New Roman" w:eastAsia="Times New Roman" w:hAnsi="Times New Roman" w:cs="Times New Roman"/>
          <w:kern w:val="0"/>
          <w:sz w:val="24"/>
          <w:szCs w:val="24"/>
          <w14:ligatures w14:val="none"/>
        </w:rPr>
        <w:t xml:space="preserve">, § 46, et </w:t>
      </w:r>
      <w:proofErr w:type="spellStart"/>
      <w:r w:rsidRPr="009E780E">
        <w:rPr>
          <w:rFonts w:ascii="Times New Roman" w:eastAsia="Times New Roman" w:hAnsi="Times New Roman" w:cs="Times New Roman"/>
          <w:i/>
          <w:kern w:val="0"/>
          <w:sz w:val="24"/>
          <w:szCs w:val="24"/>
          <w14:ligatures w14:val="none"/>
        </w:rPr>
        <w:t>Labassee</w:t>
      </w:r>
      <w:proofErr w:type="spellEnd"/>
      <w:r w:rsidRPr="009E780E">
        <w:rPr>
          <w:rFonts w:ascii="Times New Roman" w:eastAsia="Times New Roman" w:hAnsi="Times New Roman" w:cs="Times New Roman"/>
          <w:kern w:val="0"/>
          <w:sz w:val="24"/>
          <w:szCs w:val="24"/>
          <w14:ligatures w14:val="none"/>
        </w:rPr>
        <w:t>, § 38, tous deux précités).</w:t>
      </w:r>
    </w:p>
    <w:p w14:paraId="52EC56C4"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127</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relève aussi que la Cour fédérale de justice a souligné que le rattachement juridique de l’enfant à ses parents suivant leurs fonctions procréatrices respectives permettait à l’enfant d’être rattaché de manière stable et immuable à une mère et à un père qui ne changeraient pas, même dans l’hypothèse, que la haute juridiction a considérée dans sa décision de principe comme n’étant pas seulement théorique, où le parent transgenre demanderait l’annulation de la décision de changement de genre. Le Gouvernement a par ailleurs déclaré que ce rattachement de principe vise aussi à empêcher la gestation pour autrui, qui est prohibée en Allemagne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paragraph00047 \h  \* CharFormat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98</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interdiction que la Cour a reconnue comme correspondant à un intérêt général légitime (</w:t>
      </w:r>
      <w:r w:rsidRPr="009E780E">
        <w:rPr>
          <w:rFonts w:ascii="Times New Roman" w:eastAsia="Times New Roman" w:hAnsi="Times New Roman" w:cs="Times New Roman"/>
          <w:i/>
          <w:kern w:val="0"/>
          <w:sz w:val="24"/>
          <w:szCs w:val="24"/>
          <w14:ligatures w14:val="none"/>
        </w:rPr>
        <w:t>Paradiso et Campanelli c. Italie</w:t>
      </w:r>
      <w:r w:rsidRPr="009E780E">
        <w:rPr>
          <w:rFonts w:ascii="Times New Roman" w:eastAsia="Times New Roman" w:hAnsi="Times New Roman" w:cs="Times New Roman"/>
          <w:kern w:val="0"/>
          <w:sz w:val="24"/>
          <w:szCs w:val="24"/>
          <w14:ligatures w14:val="none"/>
        </w:rPr>
        <w:t xml:space="preserve"> [GC],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25358/12, §§ 203</w:t>
      </w:r>
      <w:r w:rsidRPr="009E780E">
        <w:rPr>
          <w:rFonts w:ascii="Times New Roman" w:eastAsia="Times New Roman" w:hAnsi="Times New Roman" w:cs="Times New Roman"/>
          <w:kern w:val="0"/>
          <w:sz w:val="24"/>
          <w:szCs w:val="24"/>
          <w14:ligatures w14:val="none"/>
        </w:rPr>
        <w:noBreakHyphen/>
        <w:t xml:space="preserve">204, 24 janvier 2017, </w:t>
      </w:r>
      <w:r w:rsidRPr="009E780E">
        <w:rPr>
          <w:rFonts w:ascii="Times New Roman" w:eastAsia="Times New Roman" w:hAnsi="Times New Roman" w:cs="Times New Roman"/>
          <w:i/>
          <w:iCs/>
          <w:kern w:val="0"/>
          <w:sz w:val="24"/>
          <w:szCs w:val="24"/>
          <w14:ligatures w14:val="none"/>
        </w:rPr>
        <w:t>Mennesson</w:t>
      </w:r>
      <w:r w:rsidRPr="009E780E">
        <w:rPr>
          <w:rFonts w:ascii="Times New Roman" w:eastAsia="Times New Roman" w:hAnsi="Times New Roman" w:cs="Times New Roman"/>
          <w:kern w:val="0"/>
          <w:sz w:val="24"/>
          <w:szCs w:val="24"/>
          <w14:ligatures w14:val="none"/>
        </w:rPr>
        <w:t xml:space="preserve">, précité, § 62, et </w:t>
      </w:r>
      <w:proofErr w:type="spellStart"/>
      <w:r w:rsidRPr="009E780E">
        <w:rPr>
          <w:rFonts w:ascii="Times New Roman" w:eastAsia="Times New Roman" w:hAnsi="Times New Roman" w:cs="Times New Roman"/>
          <w:i/>
          <w:kern w:val="0"/>
          <w:sz w:val="24"/>
          <w:szCs w:val="24"/>
          <w14:ligatures w14:val="none"/>
        </w:rPr>
        <w:t>Valdís</w:t>
      </w:r>
      <w:proofErr w:type="spellEnd"/>
      <w:r w:rsidRPr="009E780E">
        <w:rPr>
          <w:rFonts w:ascii="Times New Roman" w:eastAsia="Times New Roman" w:hAnsi="Times New Roman" w:cs="Times New Roman"/>
          <w:i/>
          <w:kern w:val="0"/>
          <w:sz w:val="24"/>
          <w:szCs w:val="24"/>
          <w14:ligatures w14:val="none"/>
        </w:rPr>
        <w:t xml:space="preserve"> </w:t>
      </w:r>
      <w:proofErr w:type="spellStart"/>
      <w:r w:rsidRPr="009E780E">
        <w:rPr>
          <w:rFonts w:ascii="Times New Roman" w:eastAsia="Times New Roman" w:hAnsi="Times New Roman" w:cs="Times New Roman"/>
          <w:i/>
          <w:kern w:val="0"/>
          <w:sz w:val="24"/>
          <w:szCs w:val="24"/>
          <w14:ligatures w14:val="none"/>
        </w:rPr>
        <w:t>Fjölnisdóttir</w:t>
      </w:r>
      <w:proofErr w:type="spellEnd"/>
      <w:r w:rsidRPr="009E780E">
        <w:rPr>
          <w:rFonts w:ascii="Times New Roman" w:eastAsia="Times New Roman" w:hAnsi="Times New Roman" w:cs="Times New Roman"/>
          <w:i/>
          <w:kern w:val="0"/>
          <w:sz w:val="24"/>
          <w:szCs w:val="24"/>
          <w14:ligatures w14:val="none"/>
        </w:rPr>
        <w:t xml:space="preserve"> et autres c. Islande</w:t>
      </w:r>
      <w:r w:rsidRPr="009E780E">
        <w:rPr>
          <w:rFonts w:ascii="Times New Roman" w:eastAsia="Times New Roman" w:hAnsi="Times New Roman" w:cs="Times New Roman"/>
          <w:kern w:val="0"/>
          <w:sz w:val="24"/>
          <w:szCs w:val="24"/>
          <w14:ligatures w14:val="none"/>
        </w:rPr>
        <w:t>,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71552/17, § 65, 18 mai 2021).</w:t>
      </w:r>
    </w:p>
    <w:p w14:paraId="4FC96C67"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128</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En ce qui concerne l’indication des anciens prénoms de la première requérante dans le registre des naissances, la Cour déduit des constats que la Cour fédérale de justice a livrés dans son arrêt du 6 septembre 2017 (paragraphes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paragraphe49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49</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noBreakHyphen/>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paragraphe58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58</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ci-dessus) que cette indication correspondait au but visé par la seule possibilité prévue par la loi, à savoir l’inscription de la première requérante dans le registre des naissances en tant que père du requérant, et qu’elle servait par ailleurs à éviter à celui</w:t>
      </w:r>
      <w:r w:rsidRPr="009E780E">
        <w:rPr>
          <w:rFonts w:ascii="Times New Roman" w:eastAsia="Times New Roman" w:hAnsi="Times New Roman" w:cs="Times New Roman"/>
          <w:kern w:val="0"/>
          <w:sz w:val="24"/>
          <w:szCs w:val="24"/>
          <w14:ligatures w14:val="none"/>
        </w:rPr>
        <w:noBreakHyphen/>
        <w:t>ci d’avoir à révéler que son parent est transgenre.</w:t>
      </w:r>
    </w:p>
    <w:p w14:paraId="7D509C08"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129</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Pour autant que les requérants arguent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paragraph00040 \h  \* CharFormat  \* MERGEFORMAT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91</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que le droit d’un enfant de connaître sa filiation et l’intérêt des autorités publiques à garder une trace de la réalité biologique d’une fécondation par un parent transgenre pourraient être satisfaits par l’inscription de deux mères dans le registre des naissances, la Cour rappelle que le choix des mesures propres à garantir l’observation de l’article 8 de la Convention dans les rapports interindividuels relève en principe de la marge d’appréciation des États contractants. Il existe à cet égard différentes manières d’assurer le respect de la vie privée et la nature de l’obligation de l’État dépend de l’aspect de la vie privée qui se trouve en cause (</w:t>
      </w:r>
      <w:r w:rsidRPr="009E780E">
        <w:rPr>
          <w:rFonts w:ascii="Times New Roman" w:eastAsia="Times New Roman" w:hAnsi="Times New Roman" w:cs="Times New Roman"/>
          <w:i/>
          <w:kern w:val="0"/>
          <w:sz w:val="24"/>
          <w:szCs w:val="24"/>
          <w14:ligatures w14:val="none"/>
        </w:rPr>
        <w:t>Odièvre</w:t>
      </w:r>
      <w:r w:rsidRPr="009E780E">
        <w:rPr>
          <w:rFonts w:ascii="Times New Roman" w:eastAsia="Times New Roman" w:hAnsi="Times New Roman" w:cs="Times New Roman"/>
          <w:kern w:val="0"/>
          <w:sz w:val="24"/>
          <w:szCs w:val="24"/>
          <w14:ligatures w14:val="none"/>
        </w:rPr>
        <w:t xml:space="preserve">, § 46, </w:t>
      </w:r>
      <w:proofErr w:type="spellStart"/>
      <w:r w:rsidRPr="009E780E">
        <w:rPr>
          <w:rFonts w:ascii="Times New Roman" w:eastAsia="Times New Roman" w:hAnsi="Times New Roman" w:cs="Times New Roman"/>
          <w:i/>
          <w:kern w:val="0"/>
          <w:sz w:val="24"/>
          <w:szCs w:val="24"/>
          <w14:ligatures w14:val="none"/>
        </w:rPr>
        <w:t>Godelli</w:t>
      </w:r>
      <w:proofErr w:type="spellEnd"/>
      <w:r w:rsidRPr="009E780E">
        <w:rPr>
          <w:rFonts w:ascii="Times New Roman" w:eastAsia="Times New Roman" w:hAnsi="Times New Roman" w:cs="Times New Roman"/>
          <w:kern w:val="0"/>
          <w:sz w:val="24"/>
          <w:szCs w:val="24"/>
          <w14:ligatures w14:val="none"/>
        </w:rPr>
        <w:t xml:space="preserve">, § 65, </w:t>
      </w:r>
      <w:r w:rsidRPr="009E780E">
        <w:rPr>
          <w:rFonts w:ascii="Times New Roman" w:eastAsia="Times New Roman" w:hAnsi="Times New Roman" w:cs="Times New Roman"/>
          <w:i/>
          <w:kern w:val="0"/>
          <w:sz w:val="24"/>
          <w:szCs w:val="24"/>
          <w14:ligatures w14:val="none"/>
        </w:rPr>
        <w:t>Evans</w:t>
      </w:r>
      <w:r w:rsidRPr="009E780E">
        <w:rPr>
          <w:rFonts w:ascii="Times New Roman" w:eastAsia="Times New Roman" w:hAnsi="Times New Roman" w:cs="Times New Roman"/>
          <w:kern w:val="0"/>
          <w:sz w:val="24"/>
          <w:szCs w:val="24"/>
          <w14:ligatures w14:val="none"/>
        </w:rPr>
        <w:t xml:space="preserve">, § 91, </w:t>
      </w:r>
      <w:r w:rsidRPr="009E780E">
        <w:rPr>
          <w:rFonts w:ascii="Times New Roman" w:eastAsia="Times New Roman" w:hAnsi="Times New Roman" w:cs="Times New Roman"/>
          <w:i/>
          <w:kern w:val="0"/>
          <w:sz w:val="24"/>
          <w:szCs w:val="24"/>
          <w14:ligatures w14:val="none"/>
        </w:rPr>
        <w:t>S.H. et autres c. Autriche</w:t>
      </w:r>
      <w:r w:rsidRPr="009E780E">
        <w:rPr>
          <w:rFonts w:ascii="Times New Roman" w:eastAsia="Times New Roman" w:hAnsi="Times New Roman" w:cs="Times New Roman"/>
          <w:kern w:val="0"/>
          <w:sz w:val="24"/>
          <w:szCs w:val="24"/>
          <w14:ligatures w14:val="none"/>
        </w:rPr>
        <w:t xml:space="preserve">, § 106, tous précités, et voir, </w:t>
      </w:r>
      <w:r w:rsidRPr="009E780E">
        <w:rPr>
          <w:rFonts w:ascii="Times New Roman" w:eastAsia="Times New Roman" w:hAnsi="Times New Roman" w:cs="Times New Roman"/>
          <w:i/>
          <w:iCs/>
          <w:kern w:val="0"/>
          <w:sz w:val="24"/>
          <w:szCs w:val="24"/>
          <w14:ligatures w14:val="none"/>
        </w:rPr>
        <w:t>mutatis mutandis</w:t>
      </w:r>
      <w:r w:rsidRPr="009E780E">
        <w:rPr>
          <w:rFonts w:ascii="Times New Roman" w:eastAsia="Times New Roman" w:hAnsi="Times New Roman" w:cs="Times New Roman"/>
          <w:kern w:val="0"/>
          <w:sz w:val="24"/>
          <w:szCs w:val="24"/>
          <w14:ligatures w14:val="none"/>
        </w:rPr>
        <w:t xml:space="preserve">, </w:t>
      </w:r>
      <w:proofErr w:type="spellStart"/>
      <w:r w:rsidRPr="009E780E">
        <w:rPr>
          <w:rFonts w:ascii="Times New Roman" w:eastAsia="Times New Roman" w:hAnsi="Times New Roman" w:cs="Times New Roman"/>
          <w:i/>
          <w:iCs/>
          <w:kern w:val="0"/>
          <w:sz w:val="24"/>
          <w:szCs w:val="24"/>
          <w14:ligatures w14:val="none"/>
        </w:rPr>
        <w:t>Vavřička</w:t>
      </w:r>
      <w:proofErr w:type="spellEnd"/>
      <w:r w:rsidRPr="009E780E">
        <w:rPr>
          <w:rFonts w:ascii="Times New Roman" w:eastAsia="Times New Roman" w:hAnsi="Times New Roman" w:cs="Times New Roman"/>
          <w:i/>
          <w:iCs/>
          <w:kern w:val="0"/>
          <w:sz w:val="24"/>
          <w:szCs w:val="24"/>
          <w14:ligatures w14:val="none"/>
        </w:rPr>
        <w:t xml:space="preserve"> et autres c. République tchèque</w:t>
      </w:r>
      <w:r w:rsidRPr="009E780E">
        <w:rPr>
          <w:rFonts w:ascii="Times New Roman" w:eastAsia="Times New Roman" w:hAnsi="Times New Roman" w:cs="Times New Roman"/>
          <w:kern w:val="0"/>
          <w:sz w:val="24"/>
          <w:szCs w:val="24"/>
          <w14:ligatures w14:val="none"/>
        </w:rPr>
        <w:t xml:space="preserve"> [GC], n</w:t>
      </w:r>
      <w:r w:rsidRPr="009E780E">
        <w:rPr>
          <w:rFonts w:ascii="Times New Roman" w:eastAsia="Times New Roman" w:hAnsi="Times New Roman" w:cs="Times New Roman"/>
          <w:kern w:val="0"/>
          <w:sz w:val="24"/>
          <w:szCs w:val="24"/>
          <w:vertAlign w:val="superscript"/>
          <w14:ligatures w14:val="none"/>
        </w:rPr>
        <w:t>os</w:t>
      </w:r>
      <w:r w:rsidRPr="009E780E">
        <w:rPr>
          <w:rFonts w:ascii="Times New Roman" w:eastAsia="Times New Roman" w:hAnsi="Times New Roman" w:cs="Times New Roman"/>
          <w:kern w:val="0"/>
          <w:sz w:val="24"/>
          <w:szCs w:val="24"/>
          <w14:ligatures w14:val="none"/>
        </w:rPr>
        <w:t> 47621/13 et 5 autres, § 273, 8 avril 2021).</w:t>
      </w:r>
    </w:p>
    <w:p w14:paraId="187EDF56"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130</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observe par ailleurs que si la première requérante était inscrite en tant que père du requérant dans le registre des naissances, la présentation d’une copie de l’acte de naissance du requérant risquerait certes de révéler son identité transgenre, mais que la Cour fédérale de justice a indiqué dans son arrêt du 6 septembre 2017 (paragraphes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paragraphe49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49</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noBreakHyphen/>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paragraphe58 \h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58</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 xml:space="preserve">dessus) qu’il était possible d’obtenir un extrait d’acte de naissance dépourvu de toute mention des parents. La haute juridiction a en outre précisé que seule un nombre restreint de personnes ayant </w:t>
      </w:r>
      <w:r w:rsidRPr="009E780E">
        <w:rPr>
          <w:rFonts w:ascii="Times New Roman" w:eastAsia="Times New Roman" w:hAnsi="Times New Roman" w:cs="Times New Roman"/>
          <w:kern w:val="0"/>
          <w:sz w:val="24"/>
          <w:szCs w:val="24"/>
          <w14:ligatures w14:val="none"/>
        </w:rPr>
        <w:lastRenderedPageBreak/>
        <w:t xml:space="preserve">généralement connaissance du caractère transgenre de l’intéressé, étaient habilitées à demander une copie intégrale de l’acte de naissance, toute autre personne devant faire valoir un intérêt légitime pour en obtenir une (voir, </w:t>
      </w:r>
      <w:r w:rsidRPr="009E780E">
        <w:rPr>
          <w:rFonts w:ascii="Times New Roman" w:eastAsia="Times New Roman" w:hAnsi="Times New Roman" w:cs="Times New Roman"/>
          <w:i/>
          <w:iCs/>
          <w:kern w:val="0"/>
          <w:sz w:val="24"/>
          <w:szCs w:val="24"/>
          <w14:ligatures w14:val="none"/>
        </w:rPr>
        <w:t>mutatis mutandis</w:t>
      </w:r>
      <w:r w:rsidRPr="009E780E">
        <w:rPr>
          <w:rFonts w:ascii="Times New Roman" w:eastAsia="Times New Roman" w:hAnsi="Times New Roman" w:cs="Times New Roman"/>
          <w:kern w:val="0"/>
          <w:sz w:val="24"/>
          <w:szCs w:val="24"/>
          <w14:ligatures w14:val="none"/>
        </w:rPr>
        <w:t>,</w:t>
      </w:r>
      <w:r w:rsidRPr="009E780E">
        <w:rPr>
          <w:rFonts w:ascii="Times New Roman" w:eastAsia="Times New Roman" w:hAnsi="Times New Roman" w:cs="Times New Roman"/>
          <w:i/>
          <w:iCs/>
          <w:kern w:val="0"/>
          <w:sz w:val="24"/>
          <w:szCs w:val="24"/>
          <w14:ligatures w14:val="none"/>
        </w:rPr>
        <w:t xml:space="preserve"> </w:t>
      </w:r>
      <w:r w:rsidRPr="009E780E">
        <w:rPr>
          <w:rFonts w:ascii="Times New Roman" w:eastAsia="Times New Roman" w:hAnsi="Times New Roman" w:cs="Times New Roman"/>
          <w:i/>
          <w:kern w:val="0"/>
          <w:sz w:val="24"/>
          <w:szCs w:val="24"/>
          <w14:ligatures w14:val="none"/>
        </w:rPr>
        <w:t>Y. c. Pologne</w:t>
      </w:r>
      <w:r w:rsidRPr="009E780E">
        <w:rPr>
          <w:rFonts w:ascii="Times New Roman" w:eastAsia="Times New Roman" w:hAnsi="Times New Roman" w:cs="Times New Roman"/>
          <w:kern w:val="0"/>
          <w:sz w:val="24"/>
          <w:szCs w:val="24"/>
          <w14:ligatures w14:val="none"/>
        </w:rPr>
        <w:t xml:space="preserve">, précité, § 79, et </w:t>
      </w:r>
      <w:r w:rsidRPr="009E780E">
        <w:rPr>
          <w:rFonts w:ascii="Times New Roman" w:eastAsia="Times New Roman" w:hAnsi="Times New Roman" w:cs="Times New Roman"/>
          <w:i/>
          <w:kern w:val="0"/>
          <w:sz w:val="24"/>
          <w:szCs w:val="24"/>
          <w14:ligatures w14:val="none"/>
        </w:rPr>
        <w:t xml:space="preserve">S.W. et autres c. Autriche </w:t>
      </w:r>
      <w:r w:rsidRPr="009E780E">
        <w:rPr>
          <w:rFonts w:ascii="Times New Roman" w:eastAsia="Times New Roman" w:hAnsi="Times New Roman" w:cs="Times New Roman"/>
          <w:kern w:val="0"/>
          <w:sz w:val="24"/>
          <w:szCs w:val="24"/>
          <w14:ligatures w14:val="none"/>
        </w:rPr>
        <w:t>(déc.), n</w:t>
      </w:r>
      <w:r w:rsidRPr="009E780E">
        <w:rPr>
          <w:rFonts w:ascii="Times New Roman" w:eastAsia="Times New Roman" w:hAnsi="Times New Roman" w:cs="Times New Roman"/>
          <w:kern w:val="0"/>
          <w:sz w:val="24"/>
          <w:szCs w:val="24"/>
          <w:vertAlign w:val="superscript"/>
          <w14:ligatures w14:val="none"/>
        </w:rPr>
        <w:t>o</w:t>
      </w:r>
      <w:r w:rsidRPr="009E780E">
        <w:rPr>
          <w:rFonts w:ascii="Times New Roman" w:eastAsia="Times New Roman" w:hAnsi="Times New Roman" w:cs="Times New Roman"/>
          <w:kern w:val="0"/>
          <w:sz w:val="24"/>
          <w:szCs w:val="24"/>
          <w14:ligatures w14:val="none"/>
        </w:rPr>
        <w:t> 1928/19, § 50, 6 septembre 2022).</w:t>
      </w:r>
    </w:p>
    <w:p w14:paraId="564AA69B"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131</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La Cour observe que les précautions susmentionnées sont de nature à réduire les désagréments auxquels la première requérante, notamment, pourrait être exposée en se trouvant contrainte de prouver sa qualité de parent vis</w:t>
      </w:r>
      <w:r w:rsidRPr="009E780E">
        <w:rPr>
          <w:rFonts w:ascii="Times New Roman" w:eastAsia="Times New Roman" w:hAnsi="Times New Roman" w:cs="Times New Roman"/>
          <w:kern w:val="0"/>
          <w:sz w:val="24"/>
          <w:szCs w:val="24"/>
          <w14:ligatures w14:val="none"/>
        </w:rPr>
        <w:noBreakHyphen/>
        <w:t>à</w:t>
      </w:r>
      <w:r w:rsidRPr="009E780E">
        <w:rPr>
          <w:rFonts w:ascii="Times New Roman" w:eastAsia="Times New Roman" w:hAnsi="Times New Roman" w:cs="Times New Roman"/>
          <w:kern w:val="0"/>
          <w:sz w:val="24"/>
          <w:szCs w:val="24"/>
          <w14:ligatures w14:val="none"/>
        </w:rPr>
        <w:noBreakHyphen/>
        <w:t>vis de son fils si elle venait à être inscrite dans le registre des naissances en tant que père. Elle note par ailleurs que les requérantes n’ont pas allégué qu’il leur fallait souvent présenter un acte de naissance complet du requérant lors de démarches administratives, ni qu’une version abrégée de l’acte ou un autre document étaient insuffisants pour les administrations et établissements concernés, dont certains en règle générale ont déjà connaissance du caractère transgenre d’une personne ou sont tenus de garder cette information confidentielle.</w:t>
      </w:r>
    </w:p>
    <w:p w14:paraId="08E66346"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132</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Dès lors, eu égard, d’une part, au fait que le lien de filiation entre la première requérante et le requérant n’a pas été mis en cause en soi et au nombre limité de situations pouvant mener, lors de la présentation de l’acte de naissance du requérant, à la révélation de l’identité transgenre de la première requérante, si elle était inscrite en tant que père du requérant dans le registre des naissances, et, d’autre part, à la marge d’appréciation étendue dont dispose l’État défendeur (paragraphe </w:t>
      </w: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REF paragraph00063 \h  \* CharFormat </w:instrText>
      </w:r>
      <w:r w:rsidRPr="009E780E">
        <w:rPr>
          <w:rFonts w:ascii="Times New Roman" w:eastAsia="Times New Roman" w:hAnsi="Times New Roman" w:cs="Times New Roman"/>
          <w:kern w:val="0"/>
          <w:sz w:val="24"/>
          <w:szCs w:val="24"/>
          <w14:ligatures w14:val="none"/>
        </w:rPr>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kern w:val="0"/>
          <w:sz w:val="24"/>
          <w:szCs w:val="24"/>
          <w14:ligatures w14:val="none"/>
        </w:rPr>
        <w:t>116</w:t>
      </w:r>
      <w:r w:rsidRPr="009E780E">
        <w:rPr>
          <w:rFonts w:ascii="Times New Roman" w:eastAsia="Times New Roman" w:hAnsi="Times New Roman" w:cs="Times New Roman"/>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xml:space="preserve"> ci</w:t>
      </w:r>
      <w:r w:rsidRPr="009E780E">
        <w:rPr>
          <w:rFonts w:ascii="Times New Roman" w:eastAsia="Times New Roman" w:hAnsi="Times New Roman" w:cs="Times New Roman"/>
          <w:kern w:val="0"/>
          <w:sz w:val="24"/>
          <w:szCs w:val="24"/>
          <w14:ligatures w14:val="none"/>
        </w:rPr>
        <w:noBreakHyphen/>
        <w:t>dessus), la Cour estime que les juridictions allemandes ont ménagé un juste équilibre entre les droits des requérantes, les intérêts du requérant, les considérations relatives au bien</w:t>
      </w:r>
      <w:r w:rsidRPr="009E780E">
        <w:rPr>
          <w:rFonts w:ascii="Times New Roman" w:eastAsia="Times New Roman" w:hAnsi="Times New Roman" w:cs="Times New Roman"/>
          <w:kern w:val="0"/>
          <w:sz w:val="24"/>
          <w:szCs w:val="24"/>
          <w14:ligatures w14:val="none"/>
        </w:rPr>
        <w:noBreakHyphen/>
        <w:t>être de l’enfant et les intérêts publics.</w:t>
      </w:r>
    </w:p>
    <w:p w14:paraId="097B3B8A" w14:textId="77777777" w:rsidR="009E780E" w:rsidRPr="009E780E" w:rsidRDefault="009E780E" w:rsidP="009E780E">
      <w:pPr>
        <w:keepNext/>
        <w:keepLines/>
        <w:numPr>
          <w:ilvl w:val="4"/>
          <w:numId w:val="0"/>
        </w:numPr>
        <w:spacing w:before="100" w:beforeAutospacing="1" w:after="120" w:line="240" w:lineRule="auto"/>
        <w:ind w:left="851" w:hanging="341"/>
        <w:jc w:val="both"/>
        <w:outlineLvl w:val="4"/>
        <w:rPr>
          <w:rFonts w:ascii="Times New Roman" w:eastAsia="Times New Roman" w:hAnsi="Times New Roman" w:cs="Times New Roman"/>
          <w:b/>
          <w:bCs/>
          <w:kern w:val="0"/>
          <w:sz w:val="20"/>
          <w14:ligatures w14:val="none"/>
        </w:rPr>
      </w:pPr>
      <w:r w:rsidRPr="009E780E">
        <w:rPr>
          <w:rFonts w:ascii="Times New Roman" w:eastAsia="Times New Roman" w:hAnsi="Times New Roman" w:cs="Times New Roman"/>
          <w:b/>
          <w:bCs/>
          <w:kern w:val="0"/>
          <w:sz w:val="20"/>
          <w14:ligatures w14:val="none"/>
        </w:rPr>
        <w:t>Conclusion</w:t>
      </w:r>
    </w:p>
    <w:p w14:paraId="57A7DF12" w14:textId="77777777" w:rsidR="009E780E" w:rsidRPr="009E780E" w:rsidRDefault="009E780E" w:rsidP="009E780E">
      <w:pPr>
        <w:spacing w:after="0" w:line="240" w:lineRule="auto"/>
        <w:ind w:firstLine="284"/>
        <w:jc w:val="both"/>
        <w:rPr>
          <w:rFonts w:ascii="Times New Roman" w:eastAsia="Times New Roman" w:hAnsi="Times New Roman" w:cs="Times New Roman"/>
          <w:kern w:val="0"/>
          <w:sz w:val="24"/>
          <w:szCs w:val="24"/>
          <w14:ligatures w14:val="none"/>
        </w:rPr>
      </w:pPr>
      <w:r w:rsidRPr="009E780E">
        <w:rPr>
          <w:rFonts w:ascii="Times New Roman" w:eastAsia="Times New Roman" w:hAnsi="Times New Roman" w:cs="Times New Roman"/>
          <w:kern w:val="0"/>
          <w:sz w:val="24"/>
          <w:szCs w:val="24"/>
          <w14:ligatures w14:val="none"/>
        </w:rPr>
        <w:fldChar w:fldCharType="begin"/>
      </w:r>
      <w:r w:rsidRPr="009E780E">
        <w:rPr>
          <w:rFonts w:ascii="Times New Roman" w:eastAsia="Times New Roman" w:hAnsi="Times New Roman" w:cs="Times New Roman"/>
          <w:kern w:val="0"/>
          <w:sz w:val="24"/>
          <w:szCs w:val="24"/>
          <w14:ligatures w14:val="none"/>
        </w:rPr>
        <w:instrText xml:space="preserve"> SEQ level0 \*arabic \* MERGEFORMAT </w:instrText>
      </w:r>
      <w:r w:rsidRPr="009E780E">
        <w:rPr>
          <w:rFonts w:ascii="Times New Roman" w:eastAsia="Times New Roman" w:hAnsi="Times New Roman" w:cs="Times New Roman"/>
          <w:kern w:val="0"/>
          <w:sz w:val="24"/>
          <w:szCs w:val="24"/>
          <w14:ligatures w14:val="none"/>
        </w:rPr>
        <w:fldChar w:fldCharType="separate"/>
      </w:r>
      <w:r w:rsidRPr="009E780E">
        <w:rPr>
          <w:rFonts w:ascii="Times New Roman" w:eastAsia="Times New Roman" w:hAnsi="Times New Roman" w:cs="Times New Roman"/>
          <w:noProof/>
          <w:kern w:val="0"/>
          <w:sz w:val="24"/>
          <w:szCs w:val="24"/>
          <w14:ligatures w14:val="none"/>
        </w:rPr>
        <w:t>133</w:t>
      </w:r>
      <w:r w:rsidRPr="009E780E">
        <w:rPr>
          <w:rFonts w:ascii="Times New Roman" w:eastAsia="Times New Roman" w:hAnsi="Times New Roman" w:cs="Times New Roman"/>
          <w:noProof/>
          <w:kern w:val="0"/>
          <w:sz w:val="24"/>
          <w:szCs w:val="24"/>
          <w14:ligatures w14:val="none"/>
        </w:rPr>
        <w:fldChar w:fldCharType="end"/>
      </w:r>
      <w:r w:rsidRPr="009E780E">
        <w:rPr>
          <w:rFonts w:ascii="Times New Roman" w:eastAsia="Times New Roman" w:hAnsi="Times New Roman" w:cs="Times New Roman"/>
          <w:kern w:val="0"/>
          <w:sz w:val="24"/>
          <w:szCs w:val="24"/>
          <w14:ligatures w14:val="none"/>
        </w:rPr>
        <w:t>.  Au vu de ce qui précède, la Cour conclut qu’il n’y a pas eu violation de l’article 8 de la Convention.</w:t>
      </w:r>
    </w:p>
    <w:p w14:paraId="650F3A94" w14:textId="7CBEBE3B" w:rsidR="00305836" w:rsidRPr="00305836" w:rsidRDefault="00305836" w:rsidP="00305836">
      <w:pPr>
        <w:jc w:val="both"/>
        <w:rPr>
          <w:rFonts w:ascii="Times New Roman" w:hAnsi="Times New Roman" w:cs="Times New Roman"/>
          <w:b/>
          <w:bCs/>
          <w:sz w:val="24"/>
          <w:szCs w:val="24"/>
        </w:rPr>
      </w:pPr>
    </w:p>
    <w:p w14:paraId="7A636C59" w14:textId="77777777" w:rsidR="00305836" w:rsidRPr="00305836" w:rsidRDefault="00305836" w:rsidP="00305836">
      <w:pPr>
        <w:jc w:val="both"/>
        <w:rPr>
          <w:rFonts w:ascii="Times New Roman" w:hAnsi="Times New Roman" w:cs="Times New Roman"/>
          <w:b/>
          <w:bCs/>
          <w:sz w:val="24"/>
          <w:szCs w:val="24"/>
        </w:rPr>
      </w:pPr>
    </w:p>
    <w:p w14:paraId="172A4CDF" w14:textId="77777777" w:rsidR="00305836" w:rsidRPr="00305836" w:rsidRDefault="00305836" w:rsidP="00305836">
      <w:pPr>
        <w:spacing w:after="0" w:line="240" w:lineRule="auto"/>
        <w:jc w:val="both"/>
        <w:rPr>
          <w:rFonts w:ascii="Times New Roman" w:hAnsi="Times New Roman" w:cs="Times New Roman"/>
          <w:b/>
          <w:bCs/>
          <w:sz w:val="24"/>
          <w:szCs w:val="24"/>
        </w:rPr>
      </w:pPr>
      <w:r w:rsidRPr="00305836">
        <w:rPr>
          <w:rFonts w:ascii="Times New Roman" w:hAnsi="Times New Roman" w:cs="Times New Roman"/>
          <w:b/>
          <w:bCs/>
          <w:sz w:val="24"/>
          <w:szCs w:val="24"/>
        </w:rPr>
        <w:t>Cour de cassation 16 septembre 2020 Pourvoi n° 18-50.080</w:t>
      </w:r>
    </w:p>
    <w:p w14:paraId="4CD3BAC9" w14:textId="77777777" w:rsidR="00305836" w:rsidRPr="00C25CEF"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Exposé du litige</w:t>
      </w:r>
    </w:p>
    <w:p w14:paraId="40572771" w14:textId="1A7770D4"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b/>
          <w:bCs/>
          <w:sz w:val="24"/>
          <w:szCs w:val="24"/>
        </w:rPr>
        <w:t>Faits et procédure</w:t>
      </w:r>
      <w:r>
        <w:rPr>
          <w:rFonts w:ascii="Times New Roman" w:hAnsi="Times New Roman" w:cs="Times New Roman"/>
          <w:b/>
          <w:bCs/>
          <w:sz w:val="24"/>
          <w:szCs w:val="24"/>
        </w:rPr>
        <w:t xml:space="preserve"> </w:t>
      </w:r>
      <w:r w:rsidRPr="00C25CEF">
        <w:rPr>
          <w:rFonts w:ascii="Times New Roman" w:hAnsi="Times New Roman" w:cs="Times New Roman"/>
          <w:sz w:val="24"/>
          <w:szCs w:val="24"/>
        </w:rPr>
        <w:t>6. Selon l'arrêt attaqué (Montpellier, 14 novembre 2018), Mme J... et M. Q... se sont mariés le [...] . Deux enfants sont nés de cette union, C... le [...] et W... le [...].</w:t>
      </w:r>
      <w:r w:rsidRPr="00C25CEF">
        <w:rPr>
          <w:rFonts w:ascii="Times New Roman" w:hAnsi="Times New Roman" w:cs="Times New Roman"/>
          <w:sz w:val="24"/>
          <w:szCs w:val="24"/>
        </w:rPr>
        <w:br/>
        <w:t>7. En 2009, M. Q... a saisi le tribunal de grande instance de Montpellier d'une demande de modification de la mention relative à son sexe dans les actes de l'état civil. Un jugement du 3 février 2011 a accueilli sa demande et dit qu'il serait désormais inscrit à l'état civil comme étant de sexe féminin, avec S... pour prénom. Cette décision a été portée en marge de son acte de naissance et de son acte de mariage.</w:t>
      </w:r>
    </w:p>
    <w:p w14:paraId="2B91B04E" w14:textId="77777777"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8. Le 18 mars 2014, Mme J... a donné naissance à un troisième enfant, M... J..., conçue avec Mme Q..., qui avait conservé la fonctionnalité de ses organes sexuels masculins. L'enfant a été déclarée à l'état civil comme née de Mme J....</w:t>
      </w:r>
    </w:p>
    <w:p w14:paraId="71B19E90" w14:textId="57D1ED83" w:rsidR="00305836" w:rsidRPr="00C25CEF"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9. Mme Q... a demandé la transcription, sur l'acte de naissance de l'enfant, de sa reconnaissance de maternité anténatale, ce qui lui a été refusé par l'officier de l'état civil.</w:t>
      </w:r>
    </w:p>
    <w:p w14:paraId="461CE995" w14:textId="77777777" w:rsidR="00305836" w:rsidRPr="00C25CEF" w:rsidRDefault="00305836" w:rsidP="00305836">
      <w:pPr>
        <w:spacing w:after="0" w:line="240" w:lineRule="auto"/>
        <w:jc w:val="both"/>
        <w:rPr>
          <w:rFonts w:ascii="Times New Roman" w:hAnsi="Times New Roman" w:cs="Times New Roman"/>
          <w:b/>
          <w:bCs/>
          <w:sz w:val="24"/>
          <w:szCs w:val="24"/>
        </w:rPr>
      </w:pPr>
      <w:r w:rsidRPr="00C25CEF">
        <w:rPr>
          <w:rFonts w:ascii="Times New Roman" w:hAnsi="Times New Roman" w:cs="Times New Roman"/>
          <w:b/>
          <w:bCs/>
          <w:sz w:val="24"/>
          <w:szCs w:val="24"/>
        </w:rPr>
        <w:t>Moyens</w:t>
      </w:r>
    </w:p>
    <w:p w14:paraId="7B5FB3C4" w14:textId="733029C3"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Sur le moyen du pourvoi n° X 19-11.251, pris en ses deuxième et quatrième à huitième branches, en ce qu'il est dirigé contre le chef de dispositif rejetant la demande de transcription de la reconnaissance de maternité et les autres demandes de Mme Q...</w:t>
      </w:r>
    </w:p>
    <w:p w14:paraId="417C5391" w14:textId="77777777"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Enoncé du moyen</w:t>
      </w:r>
    </w:p>
    <w:p w14:paraId="44D6B429" w14:textId="77777777"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10. Mme Q... fait grief à l'arrêt de rejeter sa demande de transcription, sur les registres de l'état civil, de la reconnaissance de maternité faite avant la naissance et de rejeter ses autres demandes, alors :</w:t>
      </w:r>
    </w:p>
    <w:p w14:paraId="5E39C8ED" w14:textId="26E588DB" w:rsidR="00305836" w:rsidRPr="00C25CEF"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lastRenderedPageBreak/>
        <w:t>« 1°/ que la loi française ne permet pas de faire figurer, dans les actes de l'état civil, l'indication d'un sexe autre que masculin ou féminin ; que dès lors, ne peut figurer, sur un acte de l'état civil, le lien de filiation d'un enfant avec un « parent biologique », neutre, sans précision de sa qualité de père ou de mère ; qu'en l'espèce, la cour d'appel a constaté qu'il était dans l'intérêt supérieur de l'enfant de voir reconnaître la réalité de sa filiation biologique avec Mme Q... ; que l'établissement d'une filiation par la voie de l'adoption était, en l'occurrence, impossible ; que la cour d'appel a également constaté que le droit au respect de la vie privée de Mme Q... excluait qu'il puisse lui être imposé une filiation paternelle ; qu'il se déduisait de ces constatations, relatives à la nécessité, pour l'intérêt supérieur de l'enfant, de reconnaître la filiation biologique avec Mme Q..., mais l'impossibilité de faire figurer sur l'acte de naissance de M... J... une filiation paternelle à l'égard de Mme Q..., que seule la mention de Mme Q... en qualité de mère, était de nature à concilier l'intérêt supérieur de l'enfant et le droit au respect de la vie privée de Mme Q... et de M... J... ; qu'en jugeant le contraire, aux motifs inopérants et erronés qu'une telle filiation « aurait pour effet de nier à M... la filiation paternelle, tout en brouillant la réalité de sa filiation maternelle », la cour d'appel n'a pas tiré les conséquences légales de ses propres constatations, violant les articles 34 de la Constitution du 4 octobre 1958, 8 et 14 de la Convention de sauvegarde des droits de l'homme et des libertés fondamentales et les article 3-1 et 7 de la Convention de New-York du 20 novembre 1989 relative aux droits de l'enfant ;</w:t>
      </w:r>
      <w:r w:rsidRPr="00C25CEF">
        <w:rPr>
          <w:rFonts w:ascii="Times New Roman" w:hAnsi="Times New Roman" w:cs="Times New Roman"/>
          <w:sz w:val="24"/>
          <w:szCs w:val="24"/>
        </w:rPr>
        <w:br/>
        <w:t>2°/ que dans toutes les décisions qui concernent les enfants, l'intérêt supérieur de l'enfant doit être une considération primordiale ; qu'au cas présent, la cour d'appel a constaté que, depuis un jugement du 3 février 2011, Mme Q... est de sexe féminin à l'état civil ; que la cour d'appel a constaté que l'existence d'un lien biologique entre Mme Q... et M... J... n'était pas contestée ; qu'en jugeant que l'intérêt de l'enfant M... J... était de voir reconnaître avec Mme Q... un lien de filiation non sexué, aux motifs que l'établissement d'un lien de filiation maternelle aurait pour effet de lui nier toute filiation paternelle et de brouiller la réalité de la filiation maternelle, sans rechercher, ainsi qu'elle y était invitée, si à l'inverse le fait d'établir une filiation non maternelle avec Mme Q... n'était pas susceptible d'entraîner, pour l'enfant, des conséquences négatives, la cour d'appel a privé sa décision de base légale au regard des articles 3 § 1 et 7 de la Convention de New-York du 20 novembre 1989 relative aux droits de l'enfant ;</w:t>
      </w:r>
      <w:r w:rsidRPr="00C25CEF">
        <w:rPr>
          <w:rFonts w:ascii="Times New Roman" w:hAnsi="Times New Roman" w:cs="Times New Roman"/>
          <w:sz w:val="24"/>
          <w:szCs w:val="24"/>
        </w:rPr>
        <w:br/>
        <w:t>3°/ qu'en application de l'article 14 de la Convention de sauvegarde des droits de l'homme et des libertés fondamentales la jouissance des droits et libertés reconnus dans la Convention doit être assurée, sans distinction aucune, fondée notamment sur le sexe ; que cette disposition interdit de traiter de manière différente, sans justification objective et raisonnable, des personnes placées dans des situations comparables et prohibe les discriminations liées notamment à l'identité sexuelle des personnes ; qu'au cas présent, la cour d'appel a constaté que, depuis un jugement du 3 février 2011, Mme Q... est de sexe féminin à l'état civil ; que la cour d'appel a par ailleurs constaté que l'existence d'un lien biologique entre Mme Q... et M... J... n'était pas contestée ; qu'en refusant de faire produire effet à la reconnaissance prénatale de maternité établie par Mme Q... et de reconnaître Mme Q... comme la mère de M... J..., par des motifs inopérants, cependant qu'une personne née femme ayant accouché d'un enfant peut faire reconnaître le lien de filiation maternelle qui l'unit à son enfant biologique, la cour d'appel a créé entre les femmes ayant accouché de l'enfant et les autres mères génétiques une différence de traitement qui ne peut être considérée comme justifiée et proportionnée aux objectifs poursuivis, peu important à cet égard que cela conduise à l'établissement d'un double lien de filiation maternelle biologique, et a violé l'article 14 de la Convention de sauvegarde des droits de l'homme et des libertés fondamentales ;</w:t>
      </w:r>
      <w:r w:rsidRPr="00C25CEF">
        <w:rPr>
          <w:rFonts w:ascii="Times New Roman" w:hAnsi="Times New Roman" w:cs="Times New Roman"/>
          <w:sz w:val="24"/>
          <w:szCs w:val="24"/>
        </w:rPr>
        <w:br/>
        <w:t xml:space="preserve">4°/ que le conjoint de même sexe que le parent biologique d'un enfant est autorisé à adopter l'enfant dans le cadre d'une adoption plénière, de sorte qu'un enfant peut se voir reconnaître un lien de filiation avec deux personnes de même sexe ; que si le législateur a estimé qu'une double filiation maternelle ne pouvait être établie que par la voie de l'adoption, c'est pour ne pas porter </w:t>
      </w:r>
      <w:r w:rsidRPr="00C25CEF">
        <w:rPr>
          <w:rFonts w:ascii="Times New Roman" w:hAnsi="Times New Roman" w:cs="Times New Roman"/>
          <w:sz w:val="24"/>
          <w:szCs w:val="24"/>
        </w:rPr>
        <w:lastRenderedPageBreak/>
        <w:t>atteinte à la vérité biologique ; que dès lors, l'établissement d'une double filiation maternelle par la voie de l'accouchement et de la reconnaissance prénatale doit être admise lorsqu'elle n'est pas contraire à la vérité biologique ; qu'en refusant à Mme Q... l'établissement d'un lien de filiation maternelle avec son enfant biologique, par des motifs inopérants tenant notamment au fait qu'elle était de même sexe que la mère biologique de l'enfant avec lequel un lien de filiation maternelle était déjà établi et que la loi nationale ne permettrait pas l'établissement d'une double filiation maternelle, la cour d'appel a créé une différence de traitement non justifiée entre les personnes pouvant adopter l'enfant de leur conjoint et les personnes liées biologiquement à un enfant et a ainsi derechef violé l'article 14 de la Convention de sauvegarde des droits de l'homme et des libertés fondamentales ;</w:t>
      </w:r>
      <w:r w:rsidRPr="00C25CEF">
        <w:rPr>
          <w:rFonts w:ascii="Times New Roman" w:hAnsi="Times New Roman" w:cs="Times New Roman"/>
          <w:sz w:val="24"/>
          <w:szCs w:val="24"/>
        </w:rPr>
        <w:br/>
        <w:t>5°/ que, en définitive, en refusant de reconnaître l'existence d'un lien de filiation maternelle entre Mme Q... et l'enfant M... J... aux motifs qu'une déclaration de maternité non gestatrice aurait « pour effet de nier à M... toute filiation paternelle, tout en brouillant la réalité de sa filiation maternelle », tandis que la réalité du lien biologique unissant M... J... tant à Mme J... qu'à Mme Q... n'était pas contestée et que les deux filiations maternelles ainsi établies, l'une par la reconnaissance prénatale et l'autre par la mention du nom de Mme J... sur l'acte de naissance après l'accouchement, n'étaient pas concurrentes et ne se contredisaient pas, la cour d'appel a en réalité refusé de faire droit à la demande de Mme Q... en raison de sa transidentité et a, ainsi, violé les articles 8 et 14 de la Convention de sauvegarde des droits de l'homme et des libertés fondamentales ;</w:t>
      </w:r>
      <w:r w:rsidRPr="00C25CEF">
        <w:rPr>
          <w:rFonts w:ascii="Times New Roman" w:hAnsi="Times New Roman" w:cs="Times New Roman"/>
          <w:sz w:val="24"/>
          <w:szCs w:val="24"/>
        </w:rPr>
        <w:br/>
        <w:t>6°/ que, subsidiairement, le droit au respect de la vie privée et familiale doit être reconnu sans distinction selon la naissance ; qu'un lien de filiation maternelle peut être établi à l'égard d'une mère d'intention ; qu'en l'espèce, outre le lien biologique existant entre Mme Q... et M... J..., il n'était pas contesté que Mme Q... s'est toujours comportée, et se comporte toujours, comme une mère d'intention pour l'enfant ; qu'en application du droit au respect de la vie privée et familiale et de l'intérêt supérieur de l'enfant, la filiation maternelle entre Mme Q... et M... J... doit donc être reconnue et inscrite dans les registres d'état civil de l'enfant ; qu'en jugeant le contraire, la cour d'appel a violé les articles 3, § 1, de la Convention de New-York du 20 novembre 1989 relative aux droits de l'enfant et l'article 8 de la Convention de sauvegarde des droits de l'homme et des libertés fondamentales. »</w:t>
      </w:r>
    </w:p>
    <w:p w14:paraId="69DE1718" w14:textId="77777777" w:rsidR="00305836" w:rsidRPr="00C25CEF" w:rsidRDefault="00305836" w:rsidP="00305836">
      <w:pPr>
        <w:spacing w:after="0" w:line="240" w:lineRule="auto"/>
        <w:jc w:val="both"/>
        <w:rPr>
          <w:rFonts w:ascii="Times New Roman" w:hAnsi="Times New Roman" w:cs="Times New Roman"/>
          <w:b/>
          <w:bCs/>
          <w:sz w:val="24"/>
          <w:szCs w:val="24"/>
        </w:rPr>
      </w:pPr>
      <w:r w:rsidRPr="00C25CEF">
        <w:rPr>
          <w:rFonts w:ascii="Times New Roman" w:hAnsi="Times New Roman" w:cs="Times New Roman"/>
          <w:b/>
          <w:bCs/>
          <w:sz w:val="24"/>
          <w:szCs w:val="24"/>
        </w:rPr>
        <w:t>Motivation</w:t>
      </w:r>
    </w:p>
    <w:p w14:paraId="5AD32057" w14:textId="77777777" w:rsidR="00305836" w:rsidRDefault="00305836" w:rsidP="00305836">
      <w:pPr>
        <w:spacing w:after="0" w:line="240" w:lineRule="auto"/>
        <w:jc w:val="both"/>
        <w:rPr>
          <w:rFonts w:ascii="Times New Roman" w:hAnsi="Times New Roman" w:cs="Times New Roman"/>
          <w:b/>
          <w:bCs/>
          <w:sz w:val="24"/>
          <w:szCs w:val="24"/>
        </w:rPr>
      </w:pPr>
      <w:r w:rsidRPr="00C25CEF">
        <w:rPr>
          <w:rFonts w:ascii="Times New Roman" w:hAnsi="Times New Roman" w:cs="Times New Roman"/>
          <w:b/>
          <w:bCs/>
          <w:sz w:val="24"/>
          <w:szCs w:val="24"/>
        </w:rPr>
        <w:t>Réponse de la Cour</w:t>
      </w:r>
    </w:p>
    <w:p w14:paraId="4C032D7E" w14:textId="77777777"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11. Aux termes de l'article 61-5 du code civil, toute personne majeure ou mineure émancipée qui démontre par une réunion suffisante de faits que la mention relative à son sexe dans les actes de l'état civil ne correspond pas à celui dans lequel elle se présente et dans lequel elle est connue peut en obtenir la modification. Selon l'article 61-6 du même code, le fait de ne pas avoir subi des traitements médicaux, une opération chirurgicale ou une stérilisation ne peut motiver le refus d'accueillir la demande, de sorte que la modification du sexe à l'état civil peut désormais intervenir sans que l'intéressé ait perdu la faculté de procréer.</w:t>
      </w:r>
      <w:r w:rsidRPr="00C25CEF">
        <w:rPr>
          <w:rFonts w:ascii="Times New Roman" w:hAnsi="Times New Roman" w:cs="Times New Roman"/>
          <w:sz w:val="24"/>
          <w:szCs w:val="24"/>
        </w:rPr>
        <w:br/>
        <w:t>12. Si l'article 61-8 prévoit que la mention du sexe dans les actes de l'état civil est sans effet sur les obligations contractées à l'égard des tiers ni sur les filiations établies avant cette modification, aucun texte ne règle le mode d'établissement de la filiation des enfants engendrés ultérieurement.</w:t>
      </w:r>
      <w:r w:rsidRPr="00C25CEF">
        <w:rPr>
          <w:rFonts w:ascii="Times New Roman" w:hAnsi="Times New Roman" w:cs="Times New Roman"/>
          <w:sz w:val="24"/>
          <w:szCs w:val="24"/>
        </w:rPr>
        <w:br/>
      </w:r>
      <w:r>
        <w:rPr>
          <w:rFonts w:ascii="Times New Roman" w:hAnsi="Times New Roman" w:cs="Times New Roman"/>
          <w:sz w:val="24"/>
          <w:szCs w:val="24"/>
        </w:rPr>
        <w:t>000</w:t>
      </w:r>
      <w:r w:rsidRPr="00C25CEF">
        <w:rPr>
          <w:rFonts w:ascii="Times New Roman" w:hAnsi="Times New Roman" w:cs="Times New Roman"/>
          <w:sz w:val="24"/>
          <w:szCs w:val="24"/>
        </w:rPr>
        <w:br/>
        <w:t>13. Il convient dès lors, en présence d'une filiation non adoptive, de se référer aux dispositions relatives à l'établissement de la filiation prévues au titre VII du livre premier du code civil.</w:t>
      </w:r>
      <w:r w:rsidRPr="00C25CEF">
        <w:rPr>
          <w:rFonts w:ascii="Times New Roman" w:hAnsi="Times New Roman" w:cs="Times New Roman"/>
          <w:sz w:val="24"/>
          <w:szCs w:val="24"/>
        </w:rPr>
        <w:br/>
        <w:t>14. Aux termes de l'article 311-25 du code civil, la filiation est établie, à l'égard de la mère, par la désignation de celle-ci dans l'acte de naissance de l'enfant.</w:t>
      </w:r>
      <w:r w:rsidRPr="00C25CEF">
        <w:rPr>
          <w:rFonts w:ascii="Times New Roman" w:hAnsi="Times New Roman" w:cs="Times New Roman"/>
          <w:sz w:val="24"/>
          <w:szCs w:val="24"/>
        </w:rPr>
        <w:br/>
        <w:t>15. Aux termes de l'article 320 du même code, tant qu'elle n'a pas été contestée en justice, la filiation légalement établie fait obstacle à l'établissement d'une autre filiation qui la contredirait.</w:t>
      </w:r>
      <w:r w:rsidRPr="00C25CEF">
        <w:rPr>
          <w:rFonts w:ascii="Times New Roman" w:hAnsi="Times New Roman" w:cs="Times New Roman"/>
          <w:sz w:val="24"/>
          <w:szCs w:val="24"/>
        </w:rPr>
        <w:br/>
      </w:r>
      <w:r w:rsidRPr="00C25CEF">
        <w:rPr>
          <w:rFonts w:ascii="Times New Roman" w:hAnsi="Times New Roman" w:cs="Times New Roman"/>
          <w:sz w:val="24"/>
          <w:szCs w:val="24"/>
        </w:rPr>
        <w:lastRenderedPageBreak/>
        <w:t>16. Ces dispositions s'opposent à ce que deux filiations maternelles soient établies à l'égard d'un même enfant, hors adoption.</w:t>
      </w:r>
    </w:p>
    <w:p w14:paraId="41E5C5E4" w14:textId="77777777"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17. En application des articles 313 et 316, alinéa 1er, du code civil, la filiation de l'enfant peut, en revanche, être établie par une reconnaissance de paternité lorsque la présomption de paternité est écartée faute de désignation du mari en qualité de père dans l'acte de naissance de l'enfant.</w:t>
      </w:r>
      <w:r w:rsidRPr="00C25CEF">
        <w:rPr>
          <w:rFonts w:ascii="Times New Roman" w:hAnsi="Times New Roman" w:cs="Times New Roman"/>
          <w:sz w:val="24"/>
          <w:szCs w:val="24"/>
        </w:rPr>
        <w:br/>
        <w:t>18. De la combinaison de ces textes, il résulte qu'en l'état du droit positif, une personne transgenre homme devenu femme qui, après la modification de la mention de son sexe dans les actes de l'état civil, procrée avec son épouse au moyen de ses gamètes mâles, n'est pas privée du droit de faire reconnaître un lien de filiation biologique avec l'enfant, mais ne peut le faire qu'en ayant recours aux modes d'établissement de la filiation réservés au père.</w:t>
      </w:r>
      <w:r w:rsidRPr="00C25CEF">
        <w:rPr>
          <w:rFonts w:ascii="Times New Roman" w:hAnsi="Times New Roman" w:cs="Times New Roman"/>
          <w:sz w:val="24"/>
          <w:szCs w:val="24"/>
        </w:rPr>
        <w:br/>
        <w:t>19. Aux termes de l'article 3, § 1, de la Convention de New-York du 20 novembre 1989 relative aux droits de l'enfant,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Selon l'article 7, § 1, de cette Convention, l'enfant est enregistré aussitôt sa naissance et a dès celle-ci le droit à un nom, le droit d'acquérir une nationalité et, dans la mesure du possible, le droit de connaître ses parents et d'être élevé par eux.</w:t>
      </w:r>
      <w:r w:rsidRPr="00C25CEF">
        <w:rPr>
          <w:rFonts w:ascii="Times New Roman" w:hAnsi="Times New Roman" w:cs="Times New Roman"/>
          <w:sz w:val="24"/>
          <w:szCs w:val="24"/>
        </w:rPr>
        <w:br/>
        <w:t>20. L'article 8 de la Convention de sauvegarde des droits de l'homme et des libertés fondamentales dispose que :</w:t>
      </w:r>
    </w:p>
    <w:p w14:paraId="1E41944B" w14:textId="1BA5C791"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 1. Toute personne a droit au respect de sa vie privée et familiale, de son domicile et de sa correspondance.</w:t>
      </w:r>
      <w:r w:rsidRPr="00C25CEF">
        <w:rPr>
          <w:rFonts w:ascii="Times New Roman" w:hAnsi="Times New Roman" w:cs="Times New Roman"/>
          <w:sz w:val="24"/>
          <w:szCs w:val="24"/>
        </w:rPr>
        <w:br/>
        <w:t>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r w:rsidRPr="00C25CEF">
        <w:rPr>
          <w:rFonts w:ascii="Times New Roman" w:hAnsi="Times New Roman" w:cs="Times New Roman"/>
          <w:sz w:val="24"/>
          <w:szCs w:val="24"/>
        </w:rPr>
        <w:br/>
        <w:t>21. Aux termes de l'article 14,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w:t>
      </w:r>
      <w:r w:rsidRPr="00C25CEF">
        <w:rPr>
          <w:rFonts w:ascii="Times New Roman" w:hAnsi="Times New Roman" w:cs="Times New Roman"/>
          <w:sz w:val="24"/>
          <w:szCs w:val="24"/>
        </w:rPr>
        <w:br/>
        <w:t>22. Les dispositions du droit national précédemment exposées poursuivent un but légitime, au sens du second paragraphe de l'article 8 précité, en ce qu'elles tendent à assurer la sécurité juridique et à prévenir les conflits de filiation.</w:t>
      </w:r>
    </w:p>
    <w:p w14:paraId="1688F80E" w14:textId="79286898" w:rsidR="00305836"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 xml:space="preserve">23. Elles sont conformes à l'intérêt supérieur de l'enfant, d'une part, en ce qu'elles permettent l'établissement d'un lien de filiation à l'égard de ses deux parents, élément essentiel de son identité et qui correspond à la réalité des conditions de sa conception et de sa naissance, garantissant ainsi son droit à la connaissance de ses origines personnelles, d'autre part, en ce qu'elles confèrent à l'enfant né après la modification de la mention du sexe de son parent à l'état civil la même filiation que celle de ses frère et </w:t>
      </w:r>
      <w:proofErr w:type="spellStart"/>
      <w:r w:rsidRPr="00C25CEF">
        <w:rPr>
          <w:rFonts w:ascii="Times New Roman" w:hAnsi="Times New Roman" w:cs="Times New Roman"/>
          <w:sz w:val="24"/>
          <w:szCs w:val="24"/>
        </w:rPr>
        <w:t>soeur</w:t>
      </w:r>
      <w:proofErr w:type="spellEnd"/>
      <w:r w:rsidRPr="00C25CEF">
        <w:rPr>
          <w:rFonts w:ascii="Times New Roman" w:hAnsi="Times New Roman" w:cs="Times New Roman"/>
          <w:sz w:val="24"/>
          <w:szCs w:val="24"/>
        </w:rPr>
        <w:t>, nés avant cette modification, évitant ainsi les discriminations au sein de la fratrie, dont tous les membres seront élevés par deux mères, tout en ayant à l'état civil l'indication d'une filiation paternelle à l'égard de leur géniteur, laquelle n'est au demeurant pas révélée aux tiers dans les extraits d'actes de naissance qui leur sont communiqués.</w:t>
      </w:r>
      <w:r w:rsidRPr="00C25CEF">
        <w:rPr>
          <w:rFonts w:ascii="Times New Roman" w:hAnsi="Times New Roman" w:cs="Times New Roman"/>
          <w:sz w:val="24"/>
          <w:szCs w:val="24"/>
        </w:rPr>
        <w:br/>
        <w:t>24. En ce qu'elles permettent, par la reconnaissance de paternité, l'établissement d'un lien de filiation conforme à la réalité biologique entre l'enfant et la personne transgenre - homme devenu femme - l'ayant conçu, ces dispositions concilient l'intérêt supérieur de l'enfant et le droit au respect de la vie privée et familiale de cette personne, droit auquel il n'est pas porté une atteinte disproportionnée, au regard du but légitime poursuivi, dès lors qu'en ce qui la concerne, celle-ci n'est pas contrainte par là-même de renoncer à l'identité de genre qui lui a été reconnue.</w:t>
      </w:r>
      <w:r w:rsidRPr="00C25CEF">
        <w:rPr>
          <w:rFonts w:ascii="Times New Roman" w:hAnsi="Times New Roman" w:cs="Times New Roman"/>
          <w:sz w:val="24"/>
          <w:szCs w:val="24"/>
        </w:rPr>
        <w:br/>
        <w:t xml:space="preserve">25. Enfin, ces dispositions ne créent pas de discrimination entre les femmes selon qu'elles ont </w:t>
      </w:r>
      <w:r w:rsidRPr="00C25CEF">
        <w:rPr>
          <w:rFonts w:ascii="Times New Roman" w:hAnsi="Times New Roman" w:cs="Times New Roman"/>
          <w:sz w:val="24"/>
          <w:szCs w:val="24"/>
        </w:rPr>
        <w:lastRenderedPageBreak/>
        <w:t>ou non donné naissance à l'enfant, dès lors que la mère ayant accouché n'est pas placée dans la même situation que la femme transgenre ayant conçu l'enfant avec un appareil reproductif masculin et n'ayant pas accouché.</w:t>
      </w:r>
    </w:p>
    <w:p w14:paraId="0828DC3F" w14:textId="56ABC3F2" w:rsidR="00305836" w:rsidRPr="00C25CEF" w:rsidRDefault="00305836" w:rsidP="00305836">
      <w:pPr>
        <w:spacing w:after="0" w:line="240" w:lineRule="auto"/>
        <w:jc w:val="both"/>
        <w:rPr>
          <w:rFonts w:ascii="Times New Roman" w:hAnsi="Times New Roman" w:cs="Times New Roman"/>
          <w:sz w:val="24"/>
          <w:szCs w:val="24"/>
        </w:rPr>
      </w:pPr>
      <w:r w:rsidRPr="00C25CEF">
        <w:rPr>
          <w:rFonts w:ascii="Times New Roman" w:hAnsi="Times New Roman" w:cs="Times New Roman"/>
          <w:sz w:val="24"/>
          <w:szCs w:val="24"/>
        </w:rPr>
        <w:t xml:space="preserve">26. En conséquence, c'est sans encourir les griefs du moyen que la cour d'appel a constaté l'impossibilité d'établissement d'une double filiation de nature maternelle pour l'enfant M..., en présence d'un refus de l'adoption </w:t>
      </w:r>
      <w:proofErr w:type="spellStart"/>
      <w:r w:rsidRPr="00C25CEF">
        <w:rPr>
          <w:rFonts w:ascii="Times New Roman" w:hAnsi="Times New Roman" w:cs="Times New Roman"/>
          <w:sz w:val="24"/>
          <w:szCs w:val="24"/>
        </w:rPr>
        <w:t>intra-conjugale</w:t>
      </w:r>
      <w:proofErr w:type="spellEnd"/>
      <w:r w:rsidRPr="00C25CEF">
        <w:rPr>
          <w:rFonts w:ascii="Times New Roman" w:hAnsi="Times New Roman" w:cs="Times New Roman"/>
          <w:sz w:val="24"/>
          <w:szCs w:val="24"/>
        </w:rPr>
        <w:t>, et rejeté la demande de transcription, sur les registres de l'état civil, de la reconnaissance de maternité de Mme Q... à l'égard de l'enfant.</w:t>
      </w:r>
    </w:p>
    <w:p w14:paraId="22961F46" w14:textId="77777777" w:rsidR="00305836" w:rsidRPr="00535511" w:rsidRDefault="00305836" w:rsidP="00305836">
      <w:pPr>
        <w:rPr>
          <w:rFonts w:ascii="Times New Roman" w:hAnsi="Times New Roman" w:cs="Times New Roman"/>
          <w:sz w:val="24"/>
          <w:szCs w:val="24"/>
        </w:rPr>
      </w:pPr>
    </w:p>
    <w:p w14:paraId="743A97B8" w14:textId="77777777" w:rsidR="00305836" w:rsidRDefault="00305836" w:rsidP="00305836">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2EE2E24" w14:textId="2BF82DCA" w:rsidR="004D3B48" w:rsidRDefault="004D3B48" w:rsidP="004D3B48"/>
    <w:sectPr w:rsidR="004D3B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5546B"/>
    <w:multiLevelType w:val="multilevel"/>
    <w:tmpl w:val="7222064C"/>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E095516"/>
    <w:multiLevelType w:val="hybridMultilevel"/>
    <w:tmpl w:val="11EA7A8A"/>
    <w:lvl w:ilvl="0" w:tplc="EE1AF9A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D98"/>
    <w:rsid w:val="00130943"/>
    <w:rsid w:val="002B1A06"/>
    <w:rsid w:val="00305836"/>
    <w:rsid w:val="004D3B48"/>
    <w:rsid w:val="00731CEF"/>
    <w:rsid w:val="008B6983"/>
    <w:rsid w:val="009456CF"/>
    <w:rsid w:val="009761FD"/>
    <w:rsid w:val="009E780E"/>
    <w:rsid w:val="00A06A24"/>
    <w:rsid w:val="00C85A86"/>
    <w:rsid w:val="00E91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1A92F"/>
  <w15:chartTrackingRefBased/>
  <w15:docId w15:val="{41E71CB9-65F0-4BD6-AA14-19F7BCED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D98"/>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05836"/>
    <w:rPr>
      <w:color w:val="0563C1" w:themeColor="hyperlink"/>
      <w:u w:val="single"/>
    </w:rPr>
  </w:style>
  <w:style w:type="paragraph" w:styleId="Paragraphedeliste">
    <w:name w:val="List Paragraph"/>
    <w:basedOn w:val="Normal"/>
    <w:uiPriority w:val="34"/>
    <w:qFormat/>
    <w:rsid w:val="00305836"/>
    <w:pPr>
      <w:ind w:left="720"/>
      <w:contextualSpacing/>
    </w:pPr>
  </w:style>
  <w:style w:type="paragraph" w:customStyle="1" w:styleId="JuList">
    <w:name w:val="Ju_List"/>
    <w:aliases w:val="_List_1"/>
    <w:basedOn w:val="Normal"/>
    <w:uiPriority w:val="23"/>
    <w:qFormat/>
    <w:rsid w:val="009E780E"/>
    <w:pPr>
      <w:numPr>
        <w:numId w:val="1"/>
      </w:numPr>
      <w:tabs>
        <w:tab w:val="clear" w:pos="340"/>
        <w:tab w:val="num" w:pos="360"/>
      </w:tabs>
      <w:spacing w:before="280" w:after="60" w:line="240" w:lineRule="auto"/>
      <w:ind w:left="0" w:firstLine="0"/>
      <w:jc w:val="both"/>
    </w:pPr>
    <w:rPr>
      <w:kern w:val="0"/>
      <w:sz w:val="24"/>
      <w:szCs w:val="24"/>
      <w14:ligatures w14:val="none"/>
    </w:rPr>
  </w:style>
  <w:style w:type="paragraph" w:customStyle="1" w:styleId="JuLista">
    <w:name w:val="Ju_List_a"/>
    <w:aliases w:val="_List_2"/>
    <w:basedOn w:val="Normal"/>
    <w:uiPriority w:val="23"/>
    <w:rsid w:val="009E780E"/>
    <w:pPr>
      <w:numPr>
        <w:ilvl w:val="1"/>
        <w:numId w:val="1"/>
      </w:numPr>
      <w:tabs>
        <w:tab w:val="clear" w:pos="680"/>
        <w:tab w:val="num" w:pos="360"/>
      </w:tabs>
      <w:spacing w:after="0" w:line="240" w:lineRule="auto"/>
      <w:ind w:left="0" w:firstLine="0"/>
      <w:jc w:val="both"/>
    </w:pPr>
    <w:rPr>
      <w:kern w:val="0"/>
      <w:sz w:val="24"/>
      <w:szCs w:val="24"/>
      <w14:ligatures w14:val="none"/>
    </w:rPr>
  </w:style>
  <w:style w:type="paragraph" w:customStyle="1" w:styleId="JuListi">
    <w:name w:val="Ju_List_i"/>
    <w:aliases w:val="_List_3"/>
    <w:basedOn w:val="Normal"/>
    <w:uiPriority w:val="23"/>
    <w:rsid w:val="009E780E"/>
    <w:pPr>
      <w:numPr>
        <w:ilvl w:val="2"/>
        <w:numId w:val="1"/>
      </w:numPr>
      <w:tabs>
        <w:tab w:val="num" w:pos="360"/>
      </w:tabs>
      <w:spacing w:after="0" w:line="240" w:lineRule="auto"/>
      <w:ind w:left="0" w:firstLine="0"/>
      <w:jc w:val="both"/>
    </w:pPr>
    <w:rPr>
      <w:kern w:val="0"/>
      <w:sz w:val="24"/>
      <w:szCs w:val="24"/>
      <w14:ligatures w14:val="none"/>
    </w:rPr>
  </w:style>
  <w:style w:type="numbering" w:customStyle="1" w:styleId="ECHRA1StyleList">
    <w:name w:val="ECHR_A1_Style_List"/>
    <w:basedOn w:val="Aucuneliste"/>
    <w:uiPriority w:val="99"/>
    <w:rsid w:val="009E780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12</Pages>
  <Words>6929</Words>
  <Characters>35203</Characters>
  <Application>Microsoft Office Word</Application>
  <DocSecurity>0</DocSecurity>
  <Lines>475</Lines>
  <Paragraphs>65</Paragraphs>
  <ScaleCrop>false</ScaleCrop>
  <HeadingPairs>
    <vt:vector size="2" baseType="variant">
      <vt:variant>
        <vt:lpstr>Titre</vt:lpstr>
      </vt:variant>
      <vt:variant>
        <vt:i4>1</vt:i4>
      </vt:variant>
    </vt:vector>
  </HeadingPairs>
  <TitlesOfParts>
    <vt:vector size="1" baseType="lpstr">
      <vt:lpstr/>
    </vt:vector>
  </TitlesOfParts>
  <Company>Universite de Bordeaux</Company>
  <LinksUpToDate>false</LinksUpToDate>
  <CharactersWithSpaces>42067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 Gouttenoire</dc:creator>
  <cp:keywords/>
  <dc:description/>
  <cp:lastModifiedBy>Adeline Gouttenoire</cp:lastModifiedBy>
  <cp:revision>9</cp:revision>
  <dcterms:created xsi:type="dcterms:W3CDTF">2025-09-23T13:50:00Z</dcterms:created>
  <dcterms:modified xsi:type="dcterms:W3CDTF">2025-10-20T12:51:00Z</dcterms:modified>
</cp:coreProperties>
</file>