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FC99" w14:textId="3F758AC4" w:rsidR="00A045DF" w:rsidRPr="00432C3B" w:rsidRDefault="00A045DF" w:rsidP="00432C3B">
      <w:pPr>
        <w:jc w:val="center"/>
        <w:rPr>
          <w:rFonts w:ascii="Times New Roman" w:hAnsi="Times New Roman" w:cs="Times New Roman"/>
          <w:b/>
          <w:bCs/>
          <w:sz w:val="24"/>
          <w:szCs w:val="24"/>
        </w:rPr>
      </w:pPr>
      <w:r w:rsidRPr="00432C3B">
        <w:rPr>
          <w:rFonts w:ascii="Times New Roman" w:hAnsi="Times New Roman" w:cs="Times New Roman"/>
          <w:b/>
          <w:bCs/>
          <w:sz w:val="24"/>
          <w:szCs w:val="24"/>
        </w:rPr>
        <w:t>Droit européen des droits de l’homme 2025</w:t>
      </w:r>
    </w:p>
    <w:p w14:paraId="1B59447E" w14:textId="00CFEF17" w:rsidR="00A045DF" w:rsidRDefault="00A045DF" w:rsidP="00432C3B">
      <w:pPr>
        <w:jc w:val="center"/>
        <w:rPr>
          <w:rFonts w:ascii="Times New Roman" w:hAnsi="Times New Roman" w:cs="Times New Roman"/>
          <w:b/>
          <w:bCs/>
          <w:sz w:val="24"/>
          <w:szCs w:val="24"/>
        </w:rPr>
      </w:pPr>
      <w:r w:rsidRPr="00432C3B">
        <w:rPr>
          <w:rFonts w:ascii="Times New Roman" w:hAnsi="Times New Roman" w:cs="Times New Roman"/>
          <w:b/>
          <w:bCs/>
          <w:sz w:val="24"/>
          <w:szCs w:val="24"/>
        </w:rPr>
        <w:t>Travaux dirigés</w:t>
      </w:r>
    </w:p>
    <w:p w14:paraId="4413ED84" w14:textId="77777777" w:rsidR="00432C3B" w:rsidRPr="00432C3B" w:rsidRDefault="00432C3B" w:rsidP="00432C3B">
      <w:pPr>
        <w:jc w:val="center"/>
        <w:rPr>
          <w:rFonts w:ascii="Times New Roman" w:hAnsi="Times New Roman" w:cs="Times New Roman"/>
          <w:b/>
          <w:bCs/>
          <w:sz w:val="24"/>
          <w:szCs w:val="24"/>
        </w:rPr>
      </w:pPr>
    </w:p>
    <w:p w14:paraId="7F02EABA" w14:textId="6465695E" w:rsidR="00A045DF" w:rsidRDefault="00A045DF" w:rsidP="00432C3B">
      <w:pPr>
        <w:rPr>
          <w:rFonts w:ascii="Times New Roman" w:hAnsi="Times New Roman" w:cs="Times New Roman"/>
          <w:b/>
          <w:bCs/>
          <w:sz w:val="24"/>
          <w:szCs w:val="24"/>
        </w:rPr>
      </w:pPr>
      <w:r w:rsidRPr="00432C3B">
        <w:rPr>
          <w:rFonts w:ascii="Times New Roman" w:hAnsi="Times New Roman" w:cs="Times New Roman"/>
          <w:b/>
          <w:bCs/>
          <w:sz w:val="24"/>
          <w:szCs w:val="24"/>
        </w:rPr>
        <w:t>Séance n °7 : Le mariage</w:t>
      </w:r>
    </w:p>
    <w:p w14:paraId="21883116" w14:textId="77777777" w:rsidR="00432C3B" w:rsidRPr="00432C3B" w:rsidRDefault="00432C3B" w:rsidP="00432C3B">
      <w:pPr>
        <w:jc w:val="center"/>
        <w:rPr>
          <w:rFonts w:ascii="Times New Roman" w:hAnsi="Times New Roman" w:cs="Times New Roman"/>
          <w:b/>
          <w:bCs/>
          <w:sz w:val="24"/>
          <w:szCs w:val="24"/>
        </w:rPr>
      </w:pPr>
    </w:p>
    <w:p w14:paraId="1A0A7ADD" w14:textId="1721F984" w:rsidR="00A045DF" w:rsidRDefault="00A045DF" w:rsidP="00432C3B">
      <w:pPr>
        <w:rPr>
          <w:rFonts w:ascii="Times New Roman" w:hAnsi="Times New Roman" w:cs="Times New Roman"/>
          <w:b/>
          <w:bCs/>
          <w:sz w:val="24"/>
          <w:szCs w:val="24"/>
        </w:rPr>
      </w:pPr>
      <w:r w:rsidRPr="00432C3B">
        <w:rPr>
          <w:rFonts w:ascii="Times New Roman" w:hAnsi="Times New Roman" w:cs="Times New Roman"/>
          <w:b/>
          <w:bCs/>
          <w:sz w:val="24"/>
          <w:szCs w:val="24"/>
        </w:rPr>
        <w:t>Commentaire de l’arrêt H. W. c/ France du 23 janvier 2025</w:t>
      </w:r>
      <w:r w:rsidR="00432C3B">
        <w:rPr>
          <w:rFonts w:ascii="Times New Roman" w:hAnsi="Times New Roman" w:cs="Times New Roman"/>
          <w:b/>
          <w:bCs/>
          <w:sz w:val="24"/>
          <w:szCs w:val="24"/>
        </w:rPr>
        <w:t xml:space="preserve"> </w:t>
      </w:r>
    </w:p>
    <w:p w14:paraId="212C80BF" w14:textId="09A01648" w:rsidR="00432C3B" w:rsidRDefault="00432C3B" w:rsidP="00432C3B">
      <w:pPr>
        <w:rPr>
          <w:rFonts w:ascii="Times New Roman" w:hAnsi="Times New Roman" w:cs="Times New Roman"/>
          <w:b/>
          <w:bCs/>
          <w:sz w:val="24"/>
          <w:szCs w:val="24"/>
        </w:rPr>
      </w:pPr>
      <w:r>
        <w:rPr>
          <w:rFonts w:ascii="Times New Roman" w:hAnsi="Times New Roman" w:cs="Times New Roman"/>
          <w:b/>
          <w:bCs/>
          <w:sz w:val="24"/>
          <w:szCs w:val="24"/>
        </w:rPr>
        <w:t>Présenter à l’oral</w:t>
      </w:r>
    </w:p>
    <w:p w14:paraId="52B3444B" w14:textId="540C1A24" w:rsidR="00432C3B" w:rsidRDefault="00432C3B" w:rsidP="00432C3B">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Le contenu de l’arrêt</w:t>
      </w:r>
    </w:p>
    <w:p w14:paraId="6F53B842" w14:textId="227D7C8E" w:rsidR="00432C3B" w:rsidRDefault="00432C3B" w:rsidP="00432C3B">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Ses conséquences pour le droit français</w:t>
      </w:r>
    </w:p>
    <w:p w14:paraId="432025DB" w14:textId="3B652199" w:rsidR="00432C3B" w:rsidRDefault="00432C3B" w:rsidP="00432C3B">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Votre avis sur l’importance de l’arrêt au regard de l’évolution des droits fondamentaux</w:t>
      </w:r>
    </w:p>
    <w:p w14:paraId="7A593426" w14:textId="5DA0A34A" w:rsidR="00432C3B" w:rsidRDefault="00432C3B" w:rsidP="00432C3B">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La problématique au fondement du commentaire</w:t>
      </w:r>
    </w:p>
    <w:p w14:paraId="76A53355" w14:textId="71031E51" w:rsidR="00432C3B" w:rsidRDefault="00432C3B" w:rsidP="00432C3B">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Une phrase d’accroche pour l’introduction</w:t>
      </w:r>
    </w:p>
    <w:p w14:paraId="1FAEFD91" w14:textId="31C6C0FA" w:rsidR="00432C3B" w:rsidRDefault="00432C3B" w:rsidP="00432C3B">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Un plan détaillé (I. A. 1°)</w:t>
      </w:r>
    </w:p>
    <w:p w14:paraId="30E5FADB" w14:textId="77777777" w:rsidR="00432C3B" w:rsidRPr="00432C3B" w:rsidRDefault="00432C3B" w:rsidP="00432C3B">
      <w:pPr>
        <w:pStyle w:val="Paragraphedeliste"/>
        <w:rPr>
          <w:rFonts w:ascii="Times New Roman" w:hAnsi="Times New Roman" w:cs="Times New Roman"/>
          <w:sz w:val="24"/>
          <w:szCs w:val="24"/>
        </w:rPr>
      </w:pPr>
    </w:p>
    <w:p w14:paraId="582D1C5A" w14:textId="77777777" w:rsidR="00432C3B" w:rsidRPr="008B6BE9" w:rsidRDefault="00432C3B" w:rsidP="00432C3B">
      <w:pPr>
        <w:pStyle w:val="JuCase"/>
      </w:pPr>
      <w:r w:rsidRPr="008B6BE9">
        <w:t>En l’affaire H.W. c. France,</w:t>
      </w:r>
    </w:p>
    <w:p w14:paraId="678C7EAF" w14:textId="77777777" w:rsidR="00A045DF" w:rsidRPr="00432C3B" w:rsidRDefault="00A045DF" w:rsidP="00A045DF">
      <w:pPr>
        <w:pStyle w:val="JuHHead"/>
        <w:rPr>
          <w:rFonts w:ascii="Times New Roman" w:hAnsi="Times New Roman" w:cs="Times New Roman"/>
          <w:color w:val="auto"/>
          <w:sz w:val="24"/>
          <w:szCs w:val="24"/>
        </w:rPr>
      </w:pPr>
      <w:r w:rsidRPr="00432C3B">
        <w:rPr>
          <w:rFonts w:ascii="Times New Roman" w:hAnsi="Times New Roman" w:cs="Times New Roman"/>
          <w:color w:val="auto"/>
          <w:sz w:val="24"/>
          <w:szCs w:val="24"/>
        </w:rPr>
        <w:t>EN DROIT</w:t>
      </w:r>
    </w:p>
    <w:p w14:paraId="13E4EBEC" w14:textId="77777777" w:rsidR="00A045DF" w:rsidRPr="00432C3B" w:rsidRDefault="00A045DF" w:rsidP="00A045DF">
      <w:pPr>
        <w:pStyle w:val="JuHIRoman"/>
        <w:rPr>
          <w:rFonts w:ascii="Times New Roman" w:hAnsi="Times New Roman" w:cs="Times New Roman"/>
          <w:color w:val="auto"/>
          <w:sz w:val="24"/>
          <w:szCs w:val="24"/>
        </w:rPr>
      </w:pPr>
      <w:r w:rsidRPr="00432C3B">
        <w:rPr>
          <w:rFonts w:ascii="Times New Roman" w:hAnsi="Times New Roman" w:cs="Times New Roman"/>
          <w:color w:val="auto"/>
          <w:sz w:val="24"/>
          <w:szCs w:val="24"/>
        </w:rPr>
        <w:t>SUR LA VIOLATION ALLÉGUÉE DE L’ARTICLE 8 DE LA CONVENTION</w:t>
      </w:r>
    </w:p>
    <w:p w14:paraId="503B893C"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36</w:t>
      </w:r>
      <w:r w:rsidRPr="00432C3B">
        <w:rPr>
          <w:rFonts w:ascii="Times New Roman" w:hAnsi="Times New Roman" w:cs="Times New Roman"/>
          <w:noProof/>
        </w:rPr>
        <w:fldChar w:fldCharType="end"/>
      </w:r>
      <w:r w:rsidRPr="00432C3B">
        <w:rPr>
          <w:rFonts w:ascii="Times New Roman" w:hAnsi="Times New Roman" w:cs="Times New Roman"/>
        </w:rPr>
        <w:t>.  La requérante se plaint du fait que son divorce ait été prononcé pour faute, au motif qu’elle s’était soustraite au devoir conjugal. Elle invoque l’article 8 de la Convention, qui est rédigé en ces termes :</w:t>
      </w:r>
    </w:p>
    <w:p w14:paraId="170CAE19" w14:textId="77777777" w:rsidR="00A045DF" w:rsidRPr="00432C3B" w:rsidRDefault="00A045DF" w:rsidP="00A045DF">
      <w:pPr>
        <w:pStyle w:val="JuQuot"/>
        <w:rPr>
          <w:rFonts w:ascii="Times New Roman" w:hAnsi="Times New Roman" w:cs="Times New Roman"/>
          <w:sz w:val="24"/>
        </w:rPr>
      </w:pPr>
      <w:r w:rsidRPr="00432C3B">
        <w:rPr>
          <w:rFonts w:ascii="Times New Roman" w:hAnsi="Times New Roman" w:cs="Times New Roman"/>
          <w:sz w:val="24"/>
        </w:rPr>
        <w:t>« 1.  Toute personne a droit au respect de sa vie privée (...).</w:t>
      </w:r>
    </w:p>
    <w:p w14:paraId="5C7FACC1" w14:textId="77777777" w:rsidR="00A045DF" w:rsidRPr="00432C3B" w:rsidRDefault="00A045DF" w:rsidP="00A045DF">
      <w:pPr>
        <w:pStyle w:val="JuQuot"/>
        <w:rPr>
          <w:rFonts w:ascii="Times New Roman" w:hAnsi="Times New Roman" w:cs="Times New Roman"/>
          <w:sz w:val="24"/>
        </w:rPr>
      </w:pPr>
      <w:r w:rsidRPr="00432C3B">
        <w:rPr>
          <w:rFonts w:ascii="Times New Roman" w:hAnsi="Times New Roman" w:cs="Times New Roman"/>
          <w:sz w:val="24"/>
        </w:rPr>
        <w:t>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w:t>
      </w:r>
      <w:r w:rsidRPr="00432C3B">
        <w:rPr>
          <w:rFonts w:ascii="Times New Roman" w:hAnsi="Times New Roman" w:cs="Times New Roman"/>
          <w:sz w:val="24"/>
        </w:rPr>
        <w:noBreakHyphen/>
        <w:t>être économique du pays, à la défense de l’ordre et à la prévention des infractions pénales, à la protection de la santé ou de la morale, ou à la protection des droits et libertés d’autrui. »</w:t>
      </w:r>
    </w:p>
    <w:p w14:paraId="29134061" w14:textId="77777777" w:rsidR="00A045DF" w:rsidRPr="00432C3B" w:rsidRDefault="00A045DF" w:rsidP="00A045DF">
      <w:pPr>
        <w:pStyle w:val="JuHA"/>
        <w:numPr>
          <w:ilvl w:val="2"/>
          <w:numId w:val="2"/>
        </w:numPr>
        <w:tabs>
          <w:tab w:val="num" w:pos="360"/>
        </w:tabs>
        <w:ind w:left="510" w:hanging="340"/>
        <w:rPr>
          <w:rFonts w:ascii="Times New Roman" w:hAnsi="Times New Roman" w:cs="Times New Roman"/>
          <w:color w:val="auto"/>
        </w:rPr>
      </w:pPr>
      <w:r w:rsidRPr="00432C3B">
        <w:rPr>
          <w:rFonts w:ascii="Times New Roman" w:hAnsi="Times New Roman" w:cs="Times New Roman"/>
          <w:color w:val="auto"/>
        </w:rPr>
        <w:t>Sur le fond</w:t>
      </w:r>
    </w:p>
    <w:p w14:paraId="6299A207" w14:textId="77777777" w:rsidR="00A045DF" w:rsidRPr="00432C3B" w:rsidRDefault="00A045DF" w:rsidP="00A045DF">
      <w:pPr>
        <w:pStyle w:val="JuH1"/>
        <w:rPr>
          <w:rFonts w:ascii="Times New Roman" w:hAnsi="Times New Roman" w:cs="Times New Roman"/>
          <w:color w:val="auto"/>
          <w:sz w:val="24"/>
          <w:szCs w:val="24"/>
        </w:rPr>
      </w:pPr>
      <w:r w:rsidRPr="00432C3B">
        <w:rPr>
          <w:rFonts w:ascii="Times New Roman" w:hAnsi="Times New Roman" w:cs="Times New Roman"/>
          <w:color w:val="auto"/>
          <w:sz w:val="24"/>
          <w:szCs w:val="24"/>
        </w:rPr>
        <w:t>Appréciation de la Cour</w:t>
      </w:r>
    </w:p>
    <w:p w14:paraId="3AE9C9C0" w14:textId="77777777" w:rsidR="00A045DF" w:rsidRPr="00432C3B" w:rsidRDefault="00A045DF" w:rsidP="00A045DF">
      <w:pPr>
        <w:pStyle w:val="JuHa0"/>
        <w:rPr>
          <w:rFonts w:ascii="Times New Roman" w:hAnsi="Times New Roman" w:cs="Times New Roman"/>
          <w:color w:val="auto"/>
          <w:sz w:val="24"/>
          <w:szCs w:val="24"/>
        </w:rPr>
      </w:pPr>
      <w:r w:rsidRPr="00432C3B">
        <w:rPr>
          <w:rFonts w:ascii="Times New Roman" w:hAnsi="Times New Roman" w:cs="Times New Roman"/>
          <w:color w:val="auto"/>
          <w:sz w:val="24"/>
          <w:szCs w:val="24"/>
        </w:rPr>
        <w:t>Principes généraux</w:t>
      </w:r>
    </w:p>
    <w:p w14:paraId="35ED911C" w14:textId="77777777" w:rsidR="00A045DF" w:rsidRPr="00432C3B" w:rsidRDefault="00A045DF" w:rsidP="00A045DF">
      <w:pPr>
        <w:pStyle w:val="JuPara"/>
        <w:tabs>
          <w:tab w:val="left" w:pos="1467"/>
        </w:tabs>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62</w:t>
      </w:r>
      <w:r w:rsidRPr="00432C3B">
        <w:rPr>
          <w:rFonts w:ascii="Times New Roman" w:hAnsi="Times New Roman" w:cs="Times New Roman"/>
          <w:noProof/>
        </w:rPr>
        <w:fldChar w:fldCharType="end"/>
      </w:r>
      <w:r w:rsidRPr="00432C3B">
        <w:rPr>
          <w:rFonts w:ascii="Times New Roman" w:hAnsi="Times New Roman" w:cs="Times New Roman"/>
        </w:rPr>
        <w:t>.  La Cour rappelle que la notion de « vie privée », au sens de l’article 8 de la Convention, est un concept large qui recouvre notamment la vie sexuelle (</w:t>
      </w:r>
      <w:bookmarkStart w:id="0" w:name="_cl4858"/>
      <w:r w:rsidRPr="00432C3B">
        <w:rPr>
          <w:rFonts w:ascii="Times New Roman" w:hAnsi="Times New Roman" w:cs="Times New Roman"/>
          <w:i/>
          <w:iCs/>
        </w:rPr>
        <w:t>Dudgeon c. Royaume-Uni</w:t>
      </w:r>
      <w:bookmarkEnd w:id="0"/>
      <w:r w:rsidRPr="00432C3B">
        <w:rPr>
          <w:rFonts w:ascii="Times New Roman" w:hAnsi="Times New Roman" w:cs="Times New Roman"/>
        </w:rPr>
        <w:t>, 22 octobre 1981, § 41, série A n</w:t>
      </w:r>
      <w:r w:rsidRPr="00432C3B">
        <w:rPr>
          <w:rFonts w:ascii="Times New Roman" w:hAnsi="Times New Roman" w:cs="Times New Roman"/>
          <w:vertAlign w:val="superscript"/>
        </w:rPr>
        <w:t>o</w:t>
      </w:r>
      <w:r w:rsidRPr="00432C3B">
        <w:rPr>
          <w:rFonts w:ascii="Times New Roman" w:hAnsi="Times New Roman" w:cs="Times New Roman"/>
        </w:rPr>
        <w:t xml:space="preserve"> 45, et </w:t>
      </w:r>
      <w:bookmarkStart w:id="1" w:name="_cl4974"/>
      <w:r w:rsidRPr="00432C3B">
        <w:rPr>
          <w:rFonts w:ascii="Times New Roman" w:hAnsi="Times New Roman" w:cs="Times New Roman"/>
          <w:i/>
          <w:iCs/>
        </w:rPr>
        <w:t>E.B. c. France</w:t>
      </w:r>
      <w:bookmarkEnd w:id="1"/>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43546/02, § 43, 22 janvier 2008). Elle rappelle en outre que le respect de l’autonomie personnelle est un principe important qui sous</w:t>
      </w:r>
      <w:r w:rsidRPr="00432C3B">
        <w:rPr>
          <w:rFonts w:ascii="Times New Roman" w:hAnsi="Times New Roman" w:cs="Times New Roman"/>
        </w:rPr>
        <w:noBreakHyphen/>
        <w:t>tend l’interprétation des garanties de l’article 8 (</w:t>
      </w:r>
      <w:bookmarkStart w:id="2" w:name="_cl14526"/>
      <w:proofErr w:type="spellStart"/>
      <w:r w:rsidRPr="00432C3B">
        <w:rPr>
          <w:rFonts w:ascii="Times New Roman" w:hAnsi="Times New Roman" w:cs="Times New Roman"/>
          <w:i/>
          <w:iCs/>
        </w:rPr>
        <w:t>Pretty</w:t>
      </w:r>
      <w:proofErr w:type="spellEnd"/>
      <w:r w:rsidRPr="00432C3B">
        <w:rPr>
          <w:rFonts w:ascii="Times New Roman" w:hAnsi="Times New Roman" w:cs="Times New Roman"/>
          <w:i/>
          <w:iCs/>
        </w:rPr>
        <w:t xml:space="preserve"> c. Royaume-Uni</w:t>
      </w:r>
      <w:bookmarkEnd w:id="2"/>
      <w:r w:rsidRPr="00432C3B">
        <w:rPr>
          <w:rFonts w:ascii="Times New Roman" w:hAnsi="Times New Roman" w:cs="Times New Roman"/>
        </w:rPr>
        <w:t>, n</w:t>
      </w:r>
      <w:r w:rsidRPr="00432C3B">
        <w:rPr>
          <w:rFonts w:ascii="Times New Roman" w:hAnsi="Times New Roman" w:cs="Times New Roman"/>
          <w:vertAlign w:val="superscript"/>
        </w:rPr>
        <w:t>o</w:t>
      </w:r>
      <w:r w:rsidRPr="00432C3B">
        <w:rPr>
          <w:rFonts w:ascii="Times New Roman" w:hAnsi="Times New Roman" w:cs="Times New Roman"/>
        </w:rPr>
        <w:t xml:space="preserve"> 2346/02, § 62, CEDH 2002-III, </w:t>
      </w:r>
      <w:bookmarkStart w:id="3" w:name="_cl3470"/>
      <w:r w:rsidRPr="00432C3B">
        <w:rPr>
          <w:rFonts w:ascii="Times New Roman" w:hAnsi="Times New Roman" w:cs="Times New Roman"/>
          <w:i/>
          <w:iCs/>
        </w:rPr>
        <w:t>Christine Goodwin c. Royaume-Uni</w:t>
      </w:r>
      <w:bookmarkEnd w:id="3"/>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28957/95, § 90, CEDH 2002-VI, </w:t>
      </w:r>
      <w:bookmarkStart w:id="4" w:name="_cl43945"/>
      <w:r w:rsidRPr="00432C3B">
        <w:rPr>
          <w:rFonts w:ascii="Times New Roman" w:hAnsi="Times New Roman" w:cs="Times New Roman"/>
          <w:i/>
          <w:iCs/>
        </w:rPr>
        <w:t>M.L. c. Pologne</w:t>
      </w:r>
      <w:bookmarkEnd w:id="4"/>
      <w:r w:rsidRPr="00432C3B">
        <w:rPr>
          <w:rFonts w:ascii="Times New Roman" w:hAnsi="Times New Roman" w:cs="Times New Roman"/>
        </w:rPr>
        <w:t>, n</w:t>
      </w:r>
      <w:r w:rsidRPr="00432C3B">
        <w:rPr>
          <w:rFonts w:ascii="Times New Roman" w:hAnsi="Times New Roman" w:cs="Times New Roman"/>
          <w:vertAlign w:val="superscript"/>
        </w:rPr>
        <w:t>o</w:t>
      </w:r>
      <w:r w:rsidRPr="00432C3B">
        <w:rPr>
          <w:rFonts w:ascii="Times New Roman" w:hAnsi="Times New Roman" w:cs="Times New Roman"/>
        </w:rPr>
        <w:t xml:space="preserve"> 40119/21, § 91, 14 décembre 2023, et </w:t>
      </w:r>
      <w:bookmarkStart w:id="5" w:name="_cl44355"/>
      <w:proofErr w:type="spellStart"/>
      <w:r w:rsidRPr="00432C3B">
        <w:rPr>
          <w:rFonts w:ascii="Times New Roman" w:hAnsi="Times New Roman" w:cs="Times New Roman"/>
          <w:i/>
          <w:iCs/>
        </w:rPr>
        <w:t>Pindo</w:t>
      </w:r>
      <w:proofErr w:type="spellEnd"/>
      <w:r w:rsidRPr="00432C3B">
        <w:rPr>
          <w:rFonts w:ascii="Times New Roman" w:hAnsi="Times New Roman" w:cs="Times New Roman"/>
          <w:i/>
          <w:iCs/>
        </w:rPr>
        <w:t xml:space="preserve"> Mulla c. Espagne</w:t>
      </w:r>
      <w:bookmarkEnd w:id="5"/>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15541/20, § 137, 17 septembre 2024 ; voir également </w:t>
      </w:r>
      <w:bookmarkStart w:id="6" w:name="_cl10803"/>
      <w:r w:rsidRPr="00432C3B">
        <w:rPr>
          <w:rFonts w:ascii="Times New Roman" w:hAnsi="Times New Roman" w:cs="Times New Roman"/>
          <w:i/>
          <w:iCs/>
        </w:rPr>
        <w:t>M.C. c. Bulgarie</w:t>
      </w:r>
      <w:bookmarkEnd w:id="6"/>
      <w:r w:rsidRPr="00432C3B">
        <w:rPr>
          <w:rFonts w:ascii="Times New Roman" w:hAnsi="Times New Roman" w:cs="Times New Roman"/>
        </w:rPr>
        <w:t>, n</w:t>
      </w:r>
      <w:r w:rsidRPr="00432C3B">
        <w:rPr>
          <w:rFonts w:ascii="Times New Roman" w:hAnsi="Times New Roman" w:cs="Times New Roman"/>
          <w:vertAlign w:val="superscript"/>
        </w:rPr>
        <w:t>o</w:t>
      </w:r>
      <w:r w:rsidRPr="00432C3B">
        <w:rPr>
          <w:rFonts w:ascii="Times New Roman" w:hAnsi="Times New Roman" w:cs="Times New Roman"/>
        </w:rPr>
        <w:t> 39272/98, §§ 165</w:t>
      </w:r>
      <w:r w:rsidRPr="00432C3B">
        <w:rPr>
          <w:rFonts w:ascii="Times New Roman" w:hAnsi="Times New Roman" w:cs="Times New Roman"/>
        </w:rPr>
        <w:noBreakHyphen/>
        <w:t>166, CEDH 2003-XII). Le droit au respect de la vie privée doit ainsi être compris comme garantissant la liberté sexuelle (</w:t>
      </w:r>
      <w:bookmarkStart w:id="7" w:name="_cl44292"/>
      <w:r w:rsidRPr="00432C3B">
        <w:rPr>
          <w:rFonts w:ascii="Times New Roman" w:hAnsi="Times New Roman" w:cs="Times New Roman"/>
        </w:rPr>
        <w:t xml:space="preserve">voir, déjà, </w:t>
      </w:r>
      <w:bookmarkStart w:id="8" w:name="_cl40739"/>
      <w:r w:rsidRPr="00432C3B">
        <w:rPr>
          <w:rFonts w:ascii="Times New Roman" w:hAnsi="Times New Roman" w:cs="Times New Roman"/>
          <w:i/>
          <w:iCs/>
        </w:rPr>
        <w:t>J.L. c. Itali</w:t>
      </w:r>
      <w:bookmarkEnd w:id="8"/>
      <w:r w:rsidRPr="00432C3B">
        <w:rPr>
          <w:rFonts w:ascii="Times New Roman" w:hAnsi="Times New Roman" w:cs="Times New Roman"/>
          <w:i/>
          <w:iCs/>
        </w:rPr>
        <w:t>e</w:t>
      </w:r>
      <w:r w:rsidRPr="00432C3B">
        <w:rPr>
          <w:rFonts w:ascii="Times New Roman" w:hAnsi="Times New Roman" w:cs="Times New Roman"/>
        </w:rPr>
        <w:t>, n</w:t>
      </w:r>
      <w:r w:rsidRPr="00432C3B">
        <w:rPr>
          <w:rFonts w:ascii="Times New Roman" w:hAnsi="Times New Roman" w:cs="Times New Roman"/>
          <w:vertAlign w:val="superscript"/>
        </w:rPr>
        <w:t>o</w:t>
      </w:r>
      <w:r w:rsidRPr="00432C3B">
        <w:rPr>
          <w:rFonts w:ascii="Times New Roman" w:hAnsi="Times New Roman" w:cs="Times New Roman"/>
        </w:rPr>
        <w:t xml:space="preserve"> 5671/16, § 134, 27 mai 2021, et </w:t>
      </w:r>
      <w:r w:rsidRPr="00432C3B">
        <w:rPr>
          <w:rFonts w:ascii="Times New Roman" w:hAnsi="Times New Roman" w:cs="Times New Roman"/>
          <w:i/>
          <w:iCs/>
        </w:rPr>
        <w:t>M.A. et autres c. France</w:t>
      </w:r>
      <w:bookmarkEnd w:id="7"/>
      <w:r w:rsidRPr="00432C3B">
        <w:rPr>
          <w:rFonts w:ascii="Times New Roman" w:hAnsi="Times New Roman" w:cs="Times New Roman"/>
        </w:rPr>
        <w:t>, n</w:t>
      </w:r>
      <w:r w:rsidRPr="00432C3B">
        <w:rPr>
          <w:rFonts w:ascii="Times New Roman" w:hAnsi="Times New Roman" w:cs="Times New Roman"/>
          <w:vertAlign w:val="superscript"/>
        </w:rPr>
        <w:t>os</w:t>
      </w:r>
      <w:r w:rsidRPr="00432C3B">
        <w:rPr>
          <w:rFonts w:ascii="Times New Roman" w:hAnsi="Times New Roman" w:cs="Times New Roman"/>
        </w:rPr>
        <w:t xml:space="preserve"> 63664/19 et 4 autres, § 138, 25 juillet 2024) et le droit de </w:t>
      </w:r>
      <w:r w:rsidRPr="00432C3B">
        <w:rPr>
          <w:rFonts w:ascii="Times New Roman" w:hAnsi="Times New Roman" w:cs="Times New Roman"/>
        </w:rPr>
        <w:lastRenderedPageBreak/>
        <w:t>disposer de son corps (</w:t>
      </w:r>
      <w:bookmarkStart w:id="9" w:name="_cl8477"/>
      <w:proofErr w:type="spellStart"/>
      <w:r w:rsidRPr="00432C3B">
        <w:rPr>
          <w:rFonts w:ascii="Times New Roman" w:hAnsi="Times New Roman" w:cs="Times New Roman"/>
          <w:i/>
          <w:iCs/>
        </w:rPr>
        <w:t>Pretty</w:t>
      </w:r>
      <w:proofErr w:type="spellEnd"/>
      <w:r w:rsidRPr="00432C3B">
        <w:rPr>
          <w:rFonts w:ascii="Times New Roman" w:hAnsi="Times New Roman" w:cs="Times New Roman"/>
        </w:rPr>
        <w:t xml:space="preserve">, précité, § 66, et </w:t>
      </w:r>
      <w:r w:rsidRPr="00432C3B">
        <w:rPr>
          <w:rFonts w:ascii="Times New Roman" w:hAnsi="Times New Roman" w:cs="Times New Roman"/>
          <w:i/>
          <w:iCs/>
        </w:rPr>
        <w:t>K.A. et A.D. c. Belgique</w:t>
      </w:r>
      <w:bookmarkEnd w:id="9"/>
      <w:r w:rsidRPr="00432C3B">
        <w:rPr>
          <w:rFonts w:ascii="Times New Roman" w:hAnsi="Times New Roman" w:cs="Times New Roman"/>
        </w:rPr>
        <w:t>, n</w:t>
      </w:r>
      <w:r w:rsidRPr="00432C3B">
        <w:rPr>
          <w:rFonts w:ascii="Times New Roman" w:hAnsi="Times New Roman" w:cs="Times New Roman"/>
          <w:vertAlign w:val="superscript"/>
        </w:rPr>
        <w:t>os</w:t>
      </w:r>
      <w:r w:rsidRPr="00432C3B">
        <w:rPr>
          <w:rFonts w:ascii="Times New Roman" w:hAnsi="Times New Roman" w:cs="Times New Roman"/>
        </w:rPr>
        <w:t xml:space="preserve"> 42758/98 et 45558/99, § 83, 17 février 2005).</w:t>
      </w:r>
    </w:p>
    <w:p w14:paraId="75E4A826" w14:textId="77777777" w:rsidR="00A045DF" w:rsidRPr="00432C3B" w:rsidRDefault="00A045DF" w:rsidP="00A045DF">
      <w:pPr>
        <w:pStyle w:val="JuPara"/>
        <w:tabs>
          <w:tab w:val="left" w:pos="1467"/>
        </w:tabs>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63</w:t>
      </w:r>
      <w:r w:rsidRPr="00432C3B">
        <w:rPr>
          <w:rFonts w:ascii="Times New Roman" w:hAnsi="Times New Roman" w:cs="Times New Roman"/>
          <w:noProof/>
        </w:rPr>
        <w:fldChar w:fldCharType="end"/>
      </w:r>
      <w:r w:rsidRPr="00432C3B">
        <w:rPr>
          <w:rFonts w:ascii="Times New Roman" w:hAnsi="Times New Roman" w:cs="Times New Roman"/>
        </w:rPr>
        <w:t xml:space="preserve">.  L’article 8 de la Convention a d’abord pour objet de prémunir l’individu contre les ingérences arbitraires des pouvoirs publics (voir, parmi d’autres, </w:t>
      </w:r>
      <w:r w:rsidRPr="00432C3B">
        <w:rPr>
          <w:rFonts w:ascii="Times New Roman" w:hAnsi="Times New Roman" w:cs="Times New Roman"/>
          <w:i/>
          <w:iCs/>
        </w:rPr>
        <w:t>Libert c. France</w:t>
      </w:r>
      <w:r w:rsidRPr="00432C3B">
        <w:rPr>
          <w:rFonts w:ascii="Times New Roman" w:hAnsi="Times New Roman" w:cs="Times New Roman"/>
        </w:rPr>
        <w:t>, n</w:t>
      </w:r>
      <w:r w:rsidRPr="00432C3B">
        <w:rPr>
          <w:rFonts w:ascii="Times New Roman" w:hAnsi="Times New Roman" w:cs="Times New Roman"/>
          <w:vertAlign w:val="superscript"/>
        </w:rPr>
        <w:t>o</w:t>
      </w:r>
      <w:r w:rsidRPr="00432C3B">
        <w:rPr>
          <w:rFonts w:ascii="Times New Roman" w:hAnsi="Times New Roman" w:cs="Times New Roman"/>
        </w:rPr>
        <w:t xml:space="preserve"> 588/13, §§ 40</w:t>
      </w:r>
      <w:r w:rsidRPr="00432C3B">
        <w:rPr>
          <w:rFonts w:ascii="Times New Roman" w:hAnsi="Times New Roman" w:cs="Times New Roman"/>
        </w:rPr>
        <w:noBreakHyphen/>
        <w:t xml:space="preserve">42, 22 février 2018, et </w:t>
      </w:r>
      <w:proofErr w:type="spellStart"/>
      <w:r w:rsidRPr="00432C3B">
        <w:rPr>
          <w:rFonts w:ascii="Times New Roman" w:hAnsi="Times New Roman" w:cs="Times New Roman"/>
          <w:i/>
          <w:iCs/>
        </w:rPr>
        <w:t>Drelon</w:t>
      </w:r>
      <w:proofErr w:type="spellEnd"/>
      <w:r w:rsidRPr="00432C3B">
        <w:rPr>
          <w:rFonts w:ascii="Times New Roman" w:hAnsi="Times New Roman" w:cs="Times New Roman"/>
          <w:i/>
          <w:iCs/>
        </w:rPr>
        <w:t xml:space="preserve"> c. France</w:t>
      </w:r>
      <w:r w:rsidRPr="00432C3B">
        <w:rPr>
          <w:rFonts w:ascii="Times New Roman" w:hAnsi="Times New Roman" w:cs="Times New Roman"/>
        </w:rPr>
        <w:t>, n</w:t>
      </w:r>
      <w:r w:rsidRPr="00432C3B">
        <w:rPr>
          <w:rFonts w:ascii="Times New Roman" w:hAnsi="Times New Roman" w:cs="Times New Roman"/>
          <w:vertAlign w:val="superscript"/>
        </w:rPr>
        <w:t>os</w:t>
      </w:r>
      <w:r w:rsidRPr="00432C3B">
        <w:rPr>
          <w:rFonts w:ascii="Times New Roman" w:hAnsi="Times New Roman" w:cs="Times New Roman"/>
        </w:rPr>
        <w:t xml:space="preserve"> 3153/16 et 27758/18, § 85, 8 septembre 2022). À cet engagement négatif s’ajoutent des obligations positives inhérentes à un respect effectif de la vie privée ou familiale, qui peuvent impliquer l’adoption de mesures visant au respect de la vie privée jusque dans les relations des individus entre eux (</w:t>
      </w:r>
      <w:r w:rsidRPr="00432C3B">
        <w:rPr>
          <w:rFonts w:ascii="Times New Roman" w:hAnsi="Times New Roman" w:cs="Times New Roman"/>
          <w:i/>
          <w:iCs/>
        </w:rPr>
        <w:t>X et Y c. Pays-Bas</w:t>
      </w:r>
      <w:r w:rsidRPr="00432C3B">
        <w:rPr>
          <w:rFonts w:ascii="Times New Roman" w:hAnsi="Times New Roman" w:cs="Times New Roman"/>
        </w:rPr>
        <w:t>, 26 mars 1985, § 23, série A n</w:t>
      </w:r>
      <w:r w:rsidRPr="00432C3B">
        <w:rPr>
          <w:rFonts w:ascii="Times New Roman" w:hAnsi="Times New Roman" w:cs="Times New Roman"/>
          <w:vertAlign w:val="superscript"/>
        </w:rPr>
        <w:t>o</w:t>
      </w:r>
      <w:r w:rsidRPr="00432C3B">
        <w:rPr>
          <w:rFonts w:ascii="Times New Roman" w:hAnsi="Times New Roman" w:cs="Times New Roman"/>
        </w:rPr>
        <w:t xml:space="preserve"> 91, et </w:t>
      </w:r>
      <w:proofErr w:type="spellStart"/>
      <w:r w:rsidRPr="00432C3B">
        <w:rPr>
          <w:rFonts w:ascii="Times New Roman" w:hAnsi="Times New Roman" w:cs="Times New Roman"/>
          <w:i/>
          <w:iCs/>
        </w:rPr>
        <w:t>Söderman</w:t>
      </w:r>
      <w:proofErr w:type="spellEnd"/>
      <w:r w:rsidRPr="00432C3B">
        <w:rPr>
          <w:rFonts w:ascii="Times New Roman" w:hAnsi="Times New Roman" w:cs="Times New Roman"/>
          <w:i/>
          <w:iCs/>
        </w:rPr>
        <w:t xml:space="preserve"> c. Suède</w:t>
      </w:r>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5786/08, § 78, CEDH 2013). La frontière entre les obligations positives et négatives ne se prête toutefois pas à une définition précise (</w:t>
      </w:r>
      <w:r w:rsidRPr="00432C3B">
        <w:rPr>
          <w:rFonts w:ascii="Times New Roman" w:hAnsi="Times New Roman" w:cs="Times New Roman"/>
          <w:i/>
          <w:iCs/>
        </w:rPr>
        <w:t>X, Y et Z c. Royaume-Uni</w:t>
      </w:r>
      <w:r w:rsidRPr="00432C3B">
        <w:rPr>
          <w:rFonts w:ascii="Times New Roman" w:hAnsi="Times New Roman" w:cs="Times New Roman"/>
        </w:rPr>
        <w:t xml:space="preserve">, 22 avril 1997, § 41, </w:t>
      </w:r>
      <w:r w:rsidRPr="00432C3B">
        <w:rPr>
          <w:rFonts w:ascii="Times New Roman" w:hAnsi="Times New Roman" w:cs="Times New Roman"/>
          <w:i/>
          <w:iCs/>
        </w:rPr>
        <w:t>Recueil des arrêts et décisions</w:t>
      </w:r>
      <w:r w:rsidRPr="00432C3B">
        <w:rPr>
          <w:rFonts w:ascii="Times New Roman" w:hAnsi="Times New Roman" w:cs="Times New Roman"/>
        </w:rPr>
        <w:t xml:space="preserve"> 1997-II, et </w:t>
      </w:r>
      <w:r w:rsidRPr="00432C3B">
        <w:rPr>
          <w:rFonts w:ascii="Times New Roman" w:hAnsi="Times New Roman" w:cs="Times New Roman"/>
          <w:i/>
          <w:iCs/>
        </w:rPr>
        <w:t xml:space="preserve">Fernández </w:t>
      </w:r>
      <w:proofErr w:type="spellStart"/>
      <w:r w:rsidRPr="00432C3B">
        <w:rPr>
          <w:rFonts w:ascii="Times New Roman" w:hAnsi="Times New Roman" w:cs="Times New Roman"/>
          <w:i/>
          <w:iCs/>
        </w:rPr>
        <w:t>Martínez</w:t>
      </w:r>
      <w:proofErr w:type="spellEnd"/>
      <w:r w:rsidRPr="00432C3B">
        <w:rPr>
          <w:rFonts w:ascii="Times New Roman" w:hAnsi="Times New Roman" w:cs="Times New Roman"/>
          <w:i/>
          <w:iCs/>
        </w:rPr>
        <w:t xml:space="preserve"> c. Espagne</w:t>
      </w:r>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56030/07, § 114, CEDH 2014 (extraits)).</w:t>
      </w:r>
    </w:p>
    <w:p w14:paraId="6013B6DC" w14:textId="77777777" w:rsidR="00A045DF" w:rsidRPr="00432C3B" w:rsidRDefault="00A045DF" w:rsidP="00A045DF">
      <w:pPr>
        <w:pStyle w:val="JuPara"/>
        <w:tabs>
          <w:tab w:val="left" w:pos="1467"/>
        </w:tabs>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64</w:t>
      </w:r>
      <w:r w:rsidRPr="00432C3B">
        <w:rPr>
          <w:rFonts w:ascii="Times New Roman" w:hAnsi="Times New Roman" w:cs="Times New Roman"/>
          <w:noProof/>
        </w:rPr>
        <w:fldChar w:fldCharType="end"/>
      </w:r>
      <w:r w:rsidRPr="00432C3B">
        <w:rPr>
          <w:rFonts w:ascii="Times New Roman" w:hAnsi="Times New Roman" w:cs="Times New Roman"/>
        </w:rPr>
        <w:t>.  Une ingérence dans les droits garantis par l’article 8 ne peut se justifier que si elle est prévue par la loi, vise un ou plusieurs des buts légitimes énumérés dans ce paragraphe et est nécessaire, dans une société démocratique, pour atteindre ce ou ces buts.</w:t>
      </w:r>
    </w:p>
    <w:p w14:paraId="6F5AF5E7" w14:textId="77777777" w:rsidR="00A045DF" w:rsidRPr="00432C3B" w:rsidRDefault="00A045DF" w:rsidP="00A045DF">
      <w:pPr>
        <w:pStyle w:val="JuPara"/>
        <w:tabs>
          <w:tab w:val="left" w:pos="1467"/>
        </w:tabs>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65</w:t>
      </w:r>
      <w:r w:rsidRPr="00432C3B">
        <w:rPr>
          <w:rFonts w:ascii="Times New Roman" w:hAnsi="Times New Roman" w:cs="Times New Roman"/>
          <w:noProof/>
        </w:rPr>
        <w:fldChar w:fldCharType="end"/>
      </w:r>
      <w:r w:rsidRPr="00432C3B">
        <w:rPr>
          <w:rFonts w:ascii="Times New Roman" w:hAnsi="Times New Roman" w:cs="Times New Roman"/>
        </w:rPr>
        <w:t xml:space="preserve">.  Les termes « prévue par la loi » imposent non seulement que la mesure incriminée ait une base en droit interne, mais aussi que la « loi » soit accessible et qu’elle soit énoncée avec assez de précision pour permettre aux personnes auxquelles elle s’applique de régler leur conduite : en s’entourant au besoin de conseils éclairés, celles-ci doivent être à même de prévoir, à un degré raisonnable dans les circonstances de la cause, les conséquences de nature à dériver d’un acte déterminé (voir, par exemple, </w:t>
      </w:r>
      <w:bookmarkStart w:id="10" w:name="_cl15255"/>
      <w:proofErr w:type="spellStart"/>
      <w:r w:rsidRPr="00432C3B">
        <w:rPr>
          <w:rFonts w:ascii="Times New Roman" w:hAnsi="Times New Roman" w:cs="Times New Roman"/>
          <w:i/>
          <w:iCs/>
        </w:rPr>
        <w:t>Rotaru</w:t>
      </w:r>
      <w:proofErr w:type="spellEnd"/>
      <w:r w:rsidRPr="00432C3B">
        <w:rPr>
          <w:rFonts w:ascii="Times New Roman" w:hAnsi="Times New Roman" w:cs="Times New Roman"/>
          <w:i/>
          <w:iCs/>
        </w:rPr>
        <w:t xml:space="preserve"> c. Roumanie</w:t>
      </w:r>
      <w:bookmarkEnd w:id="10"/>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28341/95, § 52, CEDH 2000-V, et </w:t>
      </w:r>
      <w:bookmarkStart w:id="11" w:name="_cl40648"/>
      <w:proofErr w:type="spellStart"/>
      <w:r w:rsidRPr="00432C3B">
        <w:rPr>
          <w:rFonts w:ascii="Times New Roman" w:hAnsi="Times New Roman" w:cs="Times New Roman"/>
          <w:i/>
          <w:iCs/>
        </w:rPr>
        <w:t>Vavřička</w:t>
      </w:r>
      <w:proofErr w:type="spellEnd"/>
      <w:r w:rsidRPr="00432C3B">
        <w:rPr>
          <w:rFonts w:ascii="Times New Roman" w:hAnsi="Times New Roman" w:cs="Times New Roman"/>
          <w:i/>
          <w:iCs/>
        </w:rPr>
        <w:t xml:space="preserve"> et autres c. République tchèque</w:t>
      </w:r>
      <w:bookmarkEnd w:id="11"/>
      <w:r w:rsidRPr="00432C3B">
        <w:rPr>
          <w:rFonts w:ascii="Times New Roman" w:hAnsi="Times New Roman" w:cs="Times New Roman"/>
        </w:rPr>
        <w:t xml:space="preserve"> [GC], n</w:t>
      </w:r>
      <w:r w:rsidRPr="00432C3B">
        <w:rPr>
          <w:rFonts w:ascii="Times New Roman" w:hAnsi="Times New Roman" w:cs="Times New Roman"/>
          <w:vertAlign w:val="superscript"/>
        </w:rPr>
        <w:t>os</w:t>
      </w:r>
      <w:r w:rsidRPr="00432C3B">
        <w:rPr>
          <w:rFonts w:ascii="Times New Roman" w:hAnsi="Times New Roman" w:cs="Times New Roman"/>
        </w:rPr>
        <w:t xml:space="preserve"> 47621/13 et 5 autres, § 266, 8 avril 2021). Le terme « loi » doit être entendu dans son acception matérielle et non formelle. Il inclut donc à la fois le droit écrit, lequel ne se limite pas aux textes législatifs mais englobe aussi les actes et instruments juridiques de rang inférieur, et le droit non écrit. En résumé, la « loi » est le texte en vigueur tel que les juridictions compétentes l’ont interprété (</w:t>
      </w:r>
      <w:bookmarkStart w:id="12" w:name="_cl10453"/>
      <w:proofErr w:type="spellStart"/>
      <w:r w:rsidRPr="00432C3B">
        <w:rPr>
          <w:rFonts w:ascii="Times New Roman" w:hAnsi="Times New Roman" w:cs="Times New Roman"/>
          <w:i/>
          <w:iCs/>
        </w:rPr>
        <w:t>Leyla</w:t>
      </w:r>
      <w:proofErr w:type="spellEnd"/>
      <w:r w:rsidRPr="00432C3B">
        <w:rPr>
          <w:rFonts w:ascii="Times New Roman" w:hAnsi="Times New Roman" w:cs="Times New Roman"/>
          <w:i/>
          <w:iCs/>
        </w:rPr>
        <w:t xml:space="preserve"> </w:t>
      </w:r>
      <w:proofErr w:type="spellStart"/>
      <w:r w:rsidRPr="00432C3B">
        <w:rPr>
          <w:rFonts w:ascii="Times New Roman" w:hAnsi="Times New Roman" w:cs="Times New Roman"/>
          <w:i/>
          <w:iCs/>
        </w:rPr>
        <w:t>Şahin</w:t>
      </w:r>
      <w:proofErr w:type="spellEnd"/>
      <w:r w:rsidRPr="00432C3B">
        <w:rPr>
          <w:rFonts w:ascii="Times New Roman" w:hAnsi="Times New Roman" w:cs="Times New Roman"/>
          <w:i/>
          <w:iCs/>
        </w:rPr>
        <w:t xml:space="preserve"> c. Turquie</w:t>
      </w:r>
      <w:bookmarkEnd w:id="12"/>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44774/98, § 88, CEDH 2005-XI, et </w:t>
      </w:r>
      <w:proofErr w:type="spellStart"/>
      <w:r w:rsidRPr="00432C3B">
        <w:rPr>
          <w:rFonts w:ascii="Times New Roman" w:hAnsi="Times New Roman" w:cs="Times New Roman"/>
          <w:i/>
          <w:iCs/>
        </w:rPr>
        <w:t>Vavřička</w:t>
      </w:r>
      <w:proofErr w:type="spellEnd"/>
      <w:r w:rsidRPr="00432C3B">
        <w:rPr>
          <w:rFonts w:ascii="Times New Roman" w:hAnsi="Times New Roman" w:cs="Times New Roman"/>
          <w:i/>
          <w:iCs/>
        </w:rPr>
        <w:t xml:space="preserve"> et autres</w:t>
      </w:r>
      <w:r w:rsidRPr="00432C3B">
        <w:rPr>
          <w:rFonts w:ascii="Times New Roman" w:hAnsi="Times New Roman" w:cs="Times New Roman"/>
        </w:rPr>
        <w:t>, précité, § 269).</w:t>
      </w:r>
    </w:p>
    <w:p w14:paraId="0F9892E9" w14:textId="77777777" w:rsidR="00A045DF" w:rsidRPr="00432C3B" w:rsidRDefault="00A045DF" w:rsidP="00A045DF">
      <w:pPr>
        <w:pStyle w:val="JuPara"/>
        <w:tabs>
          <w:tab w:val="left" w:pos="1467"/>
        </w:tabs>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66</w:t>
      </w:r>
      <w:r w:rsidRPr="00432C3B">
        <w:rPr>
          <w:rFonts w:ascii="Times New Roman" w:hAnsi="Times New Roman" w:cs="Times New Roman"/>
          <w:noProof/>
        </w:rPr>
        <w:fldChar w:fldCharType="end"/>
      </w:r>
      <w:r w:rsidRPr="00432C3B">
        <w:rPr>
          <w:rFonts w:ascii="Times New Roman" w:hAnsi="Times New Roman" w:cs="Times New Roman"/>
        </w:rPr>
        <w:t>.  L’énumération des exceptions au droit au respect de la vie privée qui figure dans le second paragraphe de l’article 8 est exhaustive et la définition de ces exceptions est restrictive. Pour être compatible avec la Convention, une restriction à ce droit doit notamment être inspirée par un but susceptible d’être rattaché à l’un de ceux que cette disposition énumère (</w:t>
      </w:r>
      <w:bookmarkStart w:id="13" w:name="_cl15392"/>
      <w:r w:rsidRPr="00432C3B">
        <w:rPr>
          <w:rFonts w:ascii="Times New Roman" w:hAnsi="Times New Roman" w:cs="Times New Roman"/>
          <w:i/>
          <w:iCs/>
        </w:rPr>
        <w:t>S.A.S. c. France</w:t>
      </w:r>
      <w:bookmarkEnd w:id="13"/>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43835/11, § 113, CEDH 2014 (extraits), et </w:t>
      </w:r>
      <w:bookmarkStart w:id="14" w:name="_cl42385"/>
      <w:r w:rsidRPr="00432C3B">
        <w:rPr>
          <w:rFonts w:ascii="Times New Roman" w:hAnsi="Times New Roman" w:cs="Times New Roman"/>
          <w:i/>
          <w:iCs/>
        </w:rPr>
        <w:t>L.B. c. Hongrie</w:t>
      </w:r>
      <w:bookmarkEnd w:id="14"/>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36345/16, § 108, 9 mars 2023).</w:t>
      </w:r>
    </w:p>
    <w:p w14:paraId="6B48AF03" w14:textId="77777777" w:rsidR="00A045DF" w:rsidRPr="00432C3B" w:rsidRDefault="00A045DF" w:rsidP="00A045DF">
      <w:pPr>
        <w:pStyle w:val="JuPara"/>
        <w:tabs>
          <w:tab w:val="left" w:pos="1467"/>
        </w:tabs>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67</w:t>
      </w:r>
      <w:r w:rsidRPr="00432C3B">
        <w:rPr>
          <w:rFonts w:ascii="Times New Roman" w:hAnsi="Times New Roman" w:cs="Times New Roman"/>
          <w:noProof/>
        </w:rPr>
        <w:fldChar w:fldCharType="end"/>
      </w:r>
      <w:r w:rsidRPr="00432C3B">
        <w:rPr>
          <w:rFonts w:ascii="Times New Roman" w:hAnsi="Times New Roman" w:cs="Times New Roman"/>
        </w:rPr>
        <w:t xml:space="preserve">.  Les principes relatifs à l’appréciation de la nécessité d’une ingérence dans les droits garantis par l’article 8 ont été résumés dans l’arrêt </w:t>
      </w:r>
      <w:proofErr w:type="spellStart"/>
      <w:r w:rsidRPr="00432C3B">
        <w:rPr>
          <w:rFonts w:ascii="Times New Roman" w:hAnsi="Times New Roman" w:cs="Times New Roman"/>
          <w:i/>
          <w:iCs/>
        </w:rPr>
        <w:t>Vavřička</w:t>
      </w:r>
      <w:proofErr w:type="spellEnd"/>
      <w:r w:rsidRPr="00432C3B">
        <w:rPr>
          <w:rFonts w:ascii="Times New Roman" w:hAnsi="Times New Roman" w:cs="Times New Roman"/>
          <w:i/>
          <w:iCs/>
        </w:rPr>
        <w:t xml:space="preserve"> et autres </w:t>
      </w:r>
      <w:r w:rsidRPr="00432C3B">
        <w:rPr>
          <w:rFonts w:ascii="Times New Roman" w:hAnsi="Times New Roman" w:cs="Times New Roman"/>
        </w:rPr>
        <w:t>(précité, §§ 273-275), auquel il est renvoyé.</w:t>
      </w:r>
    </w:p>
    <w:p w14:paraId="5E6EF309" w14:textId="77777777" w:rsidR="00A045DF" w:rsidRPr="00432C3B" w:rsidRDefault="00A045DF" w:rsidP="00A045DF">
      <w:pPr>
        <w:pStyle w:val="JuPara"/>
        <w:tabs>
          <w:tab w:val="left" w:pos="1467"/>
        </w:tabs>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68</w:t>
      </w:r>
      <w:r w:rsidRPr="00432C3B">
        <w:rPr>
          <w:rFonts w:ascii="Times New Roman" w:hAnsi="Times New Roman" w:cs="Times New Roman"/>
          <w:noProof/>
        </w:rPr>
        <w:fldChar w:fldCharType="end"/>
      </w:r>
      <w:r w:rsidRPr="00432C3B">
        <w:rPr>
          <w:rFonts w:ascii="Times New Roman" w:hAnsi="Times New Roman" w:cs="Times New Roman"/>
        </w:rPr>
        <w:t>.  La Cour rappelle en particulier que les autorités nationales jouissent en principe d’une certaine marge d’appréciation en la matière. L’ampleur de cette marge d’appréciation dépend d’un certain nombre d’éléments déterminés par les circonstances de la cause. Cette marge est d’autant plus étroite que le droit en cause est important pour garantir à l’individu la jouissance effective des droits fondamentaux ou d’ordre intime qui lui sont reconnus. Lorsqu’un aspect particulièrement important de l’existence ou de l’identité d’un individu se trouve en jeu, la marge laissée à l’État est également restreinte. À l’inverse, lorsque, parmi les Parties contractantes à la Convention, il n’y a de consensus ni sur l’importance relative de l’intérêt en jeu ni sur les meilleurs moyens de le protéger, la marge d’appréciation est plus large, surtout lorsque sont en jeu des questions morales ou éthiques délicates. De la même façon, la marge d’appréciation est généralement ample lorsqu’il doit ménager un équilibre entre des intérêts privés et publics concurrents ou différents droits protégés par la Convention (</w:t>
      </w:r>
      <w:bookmarkStart w:id="15" w:name="_cl5419"/>
      <w:r w:rsidRPr="00432C3B">
        <w:rPr>
          <w:rFonts w:ascii="Times New Roman" w:hAnsi="Times New Roman" w:cs="Times New Roman"/>
          <w:i/>
          <w:iCs/>
        </w:rPr>
        <w:t xml:space="preserve">Evans </w:t>
      </w:r>
      <w:r w:rsidRPr="00432C3B">
        <w:rPr>
          <w:rFonts w:ascii="Times New Roman" w:hAnsi="Times New Roman" w:cs="Times New Roman"/>
          <w:i/>
          <w:iCs/>
        </w:rPr>
        <w:lastRenderedPageBreak/>
        <w:t>c. Royaume-Uni</w:t>
      </w:r>
      <w:bookmarkEnd w:id="15"/>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6339/05, § 77, CEDH 2007-I, </w:t>
      </w:r>
      <w:bookmarkStart w:id="16" w:name="_cl15435"/>
      <w:r w:rsidRPr="00432C3B">
        <w:rPr>
          <w:rFonts w:ascii="Times New Roman" w:hAnsi="Times New Roman" w:cs="Times New Roman"/>
          <w:i/>
          <w:iCs/>
        </w:rPr>
        <w:t>S.H. et autres c. </w:t>
      </w:r>
      <w:bookmarkEnd w:id="16"/>
      <w:r w:rsidRPr="00432C3B">
        <w:rPr>
          <w:rFonts w:ascii="Times New Roman" w:hAnsi="Times New Roman" w:cs="Times New Roman"/>
          <w:i/>
          <w:iCs/>
        </w:rPr>
        <w:t>Autriche</w:t>
      </w:r>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57813/00, § 94, CEDH 2011, </w:t>
      </w:r>
      <w:proofErr w:type="spellStart"/>
      <w:r w:rsidRPr="00432C3B">
        <w:rPr>
          <w:rFonts w:ascii="Times New Roman" w:hAnsi="Times New Roman" w:cs="Times New Roman"/>
          <w:i/>
          <w:iCs/>
        </w:rPr>
        <w:t>Vavřička</w:t>
      </w:r>
      <w:proofErr w:type="spellEnd"/>
      <w:r w:rsidRPr="00432C3B">
        <w:rPr>
          <w:rFonts w:ascii="Times New Roman" w:hAnsi="Times New Roman" w:cs="Times New Roman"/>
          <w:i/>
          <w:iCs/>
        </w:rPr>
        <w:t xml:space="preserve"> et autres</w:t>
      </w:r>
      <w:r w:rsidRPr="00432C3B">
        <w:rPr>
          <w:rFonts w:ascii="Times New Roman" w:hAnsi="Times New Roman" w:cs="Times New Roman"/>
        </w:rPr>
        <w:t>, précité, §§ 273 et 275).</w:t>
      </w:r>
    </w:p>
    <w:p w14:paraId="616E7E4E"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69</w:t>
      </w:r>
      <w:r w:rsidRPr="00432C3B">
        <w:rPr>
          <w:rFonts w:ascii="Times New Roman" w:hAnsi="Times New Roman" w:cs="Times New Roman"/>
          <w:noProof/>
        </w:rPr>
        <w:fldChar w:fldCharType="end"/>
      </w:r>
      <w:r w:rsidRPr="00432C3B">
        <w:rPr>
          <w:rFonts w:ascii="Times New Roman" w:hAnsi="Times New Roman" w:cs="Times New Roman"/>
        </w:rPr>
        <w:t>.  En application de ce dernier principe, la Cour a jugé que les États jouissent généralement d’une large marge d’appréciation lorsqu’ils élaborent une législation relative au divorce et lorsqu’ils la mettent concrètement en application, de tels exercices supposant de concilier des intérêts personnels divergents (</w:t>
      </w:r>
      <w:proofErr w:type="spellStart"/>
      <w:r w:rsidRPr="00432C3B">
        <w:rPr>
          <w:rFonts w:ascii="Times New Roman" w:hAnsi="Times New Roman" w:cs="Times New Roman"/>
          <w:i/>
          <w:iCs/>
        </w:rPr>
        <w:t>Babiarz</w:t>
      </w:r>
      <w:proofErr w:type="spellEnd"/>
      <w:r w:rsidRPr="00432C3B">
        <w:rPr>
          <w:rFonts w:ascii="Times New Roman" w:hAnsi="Times New Roman" w:cs="Times New Roman"/>
          <w:i/>
          <w:iCs/>
        </w:rPr>
        <w:t xml:space="preserve"> c. Pologne, </w:t>
      </w:r>
      <w:r w:rsidRPr="00432C3B">
        <w:rPr>
          <w:rFonts w:ascii="Times New Roman" w:hAnsi="Times New Roman" w:cs="Times New Roman"/>
        </w:rPr>
        <w:t>n</w:t>
      </w:r>
      <w:r w:rsidRPr="00432C3B">
        <w:rPr>
          <w:rFonts w:ascii="Times New Roman" w:hAnsi="Times New Roman" w:cs="Times New Roman"/>
          <w:vertAlign w:val="superscript"/>
        </w:rPr>
        <w:t>o</w:t>
      </w:r>
      <w:r w:rsidRPr="00432C3B">
        <w:rPr>
          <w:rFonts w:ascii="Times New Roman" w:hAnsi="Times New Roman" w:cs="Times New Roman"/>
        </w:rPr>
        <w:t> 1955/10, § 47, 10 janvier 2017).</w:t>
      </w:r>
    </w:p>
    <w:p w14:paraId="66F04E99" w14:textId="77777777" w:rsidR="00A045DF" w:rsidRPr="00432C3B" w:rsidRDefault="00A045DF" w:rsidP="00A045DF">
      <w:pPr>
        <w:pStyle w:val="JuHa0"/>
        <w:rPr>
          <w:rFonts w:ascii="Times New Roman" w:hAnsi="Times New Roman" w:cs="Times New Roman"/>
          <w:color w:val="auto"/>
          <w:sz w:val="24"/>
          <w:szCs w:val="24"/>
        </w:rPr>
      </w:pPr>
      <w:r w:rsidRPr="00432C3B">
        <w:rPr>
          <w:rFonts w:ascii="Times New Roman" w:hAnsi="Times New Roman" w:cs="Times New Roman"/>
          <w:color w:val="auto"/>
          <w:sz w:val="24"/>
          <w:szCs w:val="24"/>
        </w:rPr>
        <w:t>Application en l’espèce</w:t>
      </w:r>
    </w:p>
    <w:p w14:paraId="2C0442BD" w14:textId="77777777" w:rsidR="00A045DF" w:rsidRPr="00432C3B" w:rsidRDefault="00A045DF" w:rsidP="00A045DF">
      <w:pPr>
        <w:pStyle w:val="JuHi"/>
        <w:rPr>
          <w:rFonts w:ascii="Times New Roman" w:hAnsi="Times New Roman" w:cs="Times New Roman"/>
          <w:color w:val="auto"/>
          <w:sz w:val="24"/>
          <w:szCs w:val="24"/>
        </w:rPr>
      </w:pPr>
      <w:r w:rsidRPr="00432C3B">
        <w:rPr>
          <w:rFonts w:ascii="Times New Roman" w:hAnsi="Times New Roman" w:cs="Times New Roman"/>
          <w:color w:val="auto"/>
          <w:sz w:val="24"/>
          <w:szCs w:val="24"/>
        </w:rPr>
        <w:t>Sur l’existence d’ingérences</w:t>
      </w:r>
    </w:p>
    <w:p w14:paraId="3A810981"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70</w:t>
      </w:r>
      <w:r w:rsidRPr="00432C3B">
        <w:rPr>
          <w:rFonts w:ascii="Times New Roman" w:hAnsi="Times New Roman" w:cs="Times New Roman"/>
          <w:noProof/>
        </w:rPr>
        <w:fldChar w:fldCharType="end"/>
      </w:r>
      <w:r w:rsidRPr="00432C3B">
        <w:rPr>
          <w:rFonts w:ascii="Times New Roman" w:hAnsi="Times New Roman" w:cs="Times New Roman"/>
        </w:rPr>
        <w:t>.  La requérante ne se plaint pas du divorce en tant que tel – qu’elle demandait également –, mais des motifs pour lesquels il a été prononcé.</w:t>
      </w:r>
    </w:p>
    <w:p w14:paraId="0356603A" w14:textId="1714B24B"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71</w:t>
      </w:r>
      <w:r w:rsidRPr="00432C3B">
        <w:rPr>
          <w:rFonts w:ascii="Times New Roman" w:hAnsi="Times New Roman" w:cs="Times New Roman"/>
          <w:noProof/>
        </w:rPr>
        <w:fldChar w:fldCharType="end"/>
      </w:r>
      <w:r w:rsidRPr="00432C3B">
        <w:rPr>
          <w:rFonts w:ascii="Times New Roman" w:hAnsi="Times New Roman" w:cs="Times New Roman"/>
        </w:rPr>
        <w:t>.  </w:t>
      </w:r>
      <w:r w:rsidRPr="00432C3B">
        <w:rPr>
          <w:rFonts w:ascii="Times New Roman" w:hAnsi="Times New Roman" w:cs="Times New Roman"/>
        </w:rPr>
        <w:tab/>
        <w:t>La Cour considère que la réaffirmation du devoir conjugal et le fait d’avoir prononcé le divorce pour faute au motif que la requérante avait cessé toute relation intime avec son époux constituent des ingérences dans son droit au respect de la vie privée, dans sa liberté sexuelle et dans son droit de disposer de son corps. S’il est vrai que le droit interne dissocie désormais largement les conséquences pécuniaires du divorce des torts éventuels des époux (paragraphe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CadreJur_L2004_439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hAnsi="Times New Roman" w:cs="Times New Roman"/>
          <w:noProof/>
        </w:rPr>
        <w:t>22</w:t>
      </w:r>
      <w:r w:rsidRPr="00432C3B">
        <w:rPr>
          <w:rFonts w:ascii="Times New Roman" w:hAnsi="Times New Roman" w:cs="Times New Roman"/>
        </w:rPr>
        <w:fldChar w:fldCharType="end"/>
      </w:r>
      <w:r w:rsidRPr="00432C3B">
        <w:rPr>
          <w:rFonts w:ascii="Times New Roman" w:hAnsi="Times New Roman" w:cs="Times New Roman"/>
        </w:rPr>
        <w:t xml:space="preserve"> ci-dessus), il n’en demeure pas moins que ces mesures sont particulièrement intrusives, en ce qu’elles touchent à l’un des aspects les plus intimes de la vie privée de l’individu (</w:t>
      </w:r>
      <w:r w:rsidRPr="00432C3B">
        <w:rPr>
          <w:rFonts w:ascii="Times New Roman" w:hAnsi="Times New Roman" w:cs="Times New Roman"/>
          <w:i/>
          <w:iCs/>
        </w:rPr>
        <w:t>Dudgeon</w:t>
      </w:r>
      <w:r w:rsidRPr="00432C3B">
        <w:rPr>
          <w:rFonts w:ascii="Times New Roman" w:hAnsi="Times New Roman" w:cs="Times New Roman"/>
        </w:rPr>
        <w:t xml:space="preserve">, précité, § 52, </w:t>
      </w:r>
      <w:bookmarkStart w:id="17" w:name="_cl16689"/>
      <w:r w:rsidRPr="00432C3B">
        <w:rPr>
          <w:rFonts w:ascii="Times New Roman" w:hAnsi="Times New Roman" w:cs="Times New Roman"/>
          <w:i/>
          <w:iCs/>
        </w:rPr>
        <w:t>Smith et Grady c. Royaume-Uni</w:t>
      </w:r>
      <w:bookmarkEnd w:id="17"/>
      <w:r w:rsidRPr="00432C3B">
        <w:rPr>
          <w:rFonts w:ascii="Times New Roman" w:hAnsi="Times New Roman" w:cs="Times New Roman"/>
        </w:rPr>
        <w:t>, n</w:t>
      </w:r>
      <w:r w:rsidRPr="00432C3B">
        <w:rPr>
          <w:rFonts w:ascii="Times New Roman" w:hAnsi="Times New Roman" w:cs="Times New Roman"/>
          <w:vertAlign w:val="superscript"/>
        </w:rPr>
        <w:t>os</w:t>
      </w:r>
      <w:r w:rsidRPr="00432C3B">
        <w:rPr>
          <w:rFonts w:ascii="Times New Roman" w:hAnsi="Times New Roman" w:cs="Times New Roman"/>
        </w:rPr>
        <w:t xml:space="preserve"> 33985/96 et 33986/96, § 90, CEDH 1999-VI, </w:t>
      </w:r>
      <w:r w:rsidRPr="00432C3B">
        <w:rPr>
          <w:rFonts w:ascii="Times New Roman" w:hAnsi="Times New Roman" w:cs="Times New Roman"/>
          <w:i/>
          <w:iCs/>
        </w:rPr>
        <w:t>Y.F. c. Turquie</w:t>
      </w:r>
      <w:r w:rsidRPr="00432C3B">
        <w:rPr>
          <w:rFonts w:ascii="Times New Roman" w:hAnsi="Times New Roman" w:cs="Times New Roman"/>
        </w:rPr>
        <w:t xml:space="preserve">, précité, § 33, et </w:t>
      </w:r>
      <w:r w:rsidRPr="00432C3B">
        <w:rPr>
          <w:rFonts w:ascii="Times New Roman" w:hAnsi="Times New Roman" w:cs="Times New Roman"/>
          <w:i/>
          <w:iCs/>
        </w:rPr>
        <w:t>K.A. et A.D. c. Belgique</w:t>
      </w:r>
      <w:r w:rsidRPr="00432C3B">
        <w:rPr>
          <w:rFonts w:ascii="Times New Roman" w:hAnsi="Times New Roman" w:cs="Times New Roman"/>
        </w:rPr>
        <w:t>, précité, § 83). En outre, les conclusions de la cour d’appel sont particulièrement stigmatisantes, dans la mesure où le refus opposé par la requérante a été considéré comme une violation « grave et renouvelée » des obligations du mariage rendant « intolérable » le maintien de la vie commune (paragraphe </w:t>
      </w:r>
      <w:r w:rsidRPr="00432C3B">
        <w:rPr>
          <w:rFonts w:ascii="Times New Roman" w:hAnsi="Times New Roman" w:cs="Times New Roman"/>
        </w:rPr>
        <w:fldChar w:fldCharType="begin"/>
      </w:r>
      <w:r w:rsidRPr="00432C3B">
        <w:rPr>
          <w:rFonts w:ascii="Times New Roman" w:hAnsi="Times New Roman" w:cs="Times New Roman"/>
        </w:rPr>
        <w:instrText xml:space="preserve"> REF Faits_CA_motifs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hAnsi="Times New Roman" w:cs="Times New Roman"/>
          <w:noProof/>
        </w:rPr>
        <w:t>14</w:t>
      </w:r>
      <w:r w:rsidRPr="00432C3B">
        <w:rPr>
          <w:rFonts w:ascii="Times New Roman" w:hAnsi="Times New Roman" w:cs="Times New Roman"/>
        </w:rPr>
        <w:fldChar w:fldCharType="end"/>
      </w:r>
      <w:r w:rsidRPr="00432C3B">
        <w:rPr>
          <w:rFonts w:ascii="Times New Roman" w:hAnsi="Times New Roman" w:cs="Times New Roman"/>
        </w:rPr>
        <w:t xml:space="preserve"> ci-dessus).</w:t>
      </w:r>
    </w:p>
    <w:p w14:paraId="23B633B0"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72</w:t>
      </w:r>
      <w:r w:rsidRPr="00432C3B">
        <w:rPr>
          <w:rFonts w:ascii="Times New Roman" w:hAnsi="Times New Roman" w:cs="Times New Roman"/>
          <w:noProof/>
        </w:rPr>
        <w:fldChar w:fldCharType="end"/>
      </w:r>
      <w:r w:rsidRPr="00432C3B">
        <w:rPr>
          <w:rFonts w:ascii="Times New Roman" w:hAnsi="Times New Roman" w:cs="Times New Roman"/>
        </w:rPr>
        <w:t>.  Ces ingérences dans les droits de la requérante étant le fait d’autorités publiques, la Cour estime qu’elles doivent être examinées sous l’angle des obligations négatives.</w:t>
      </w:r>
    </w:p>
    <w:p w14:paraId="1FE9BDA2" w14:textId="77777777" w:rsidR="00A045DF" w:rsidRPr="00432C3B" w:rsidRDefault="00A045DF" w:rsidP="00A045DF">
      <w:pPr>
        <w:pStyle w:val="JuHi"/>
        <w:rPr>
          <w:rFonts w:ascii="Times New Roman" w:hAnsi="Times New Roman" w:cs="Times New Roman"/>
          <w:color w:val="auto"/>
          <w:sz w:val="24"/>
          <w:szCs w:val="24"/>
        </w:rPr>
      </w:pPr>
      <w:r w:rsidRPr="00432C3B">
        <w:rPr>
          <w:rFonts w:ascii="Times New Roman" w:hAnsi="Times New Roman" w:cs="Times New Roman"/>
          <w:color w:val="auto"/>
          <w:sz w:val="24"/>
          <w:szCs w:val="24"/>
        </w:rPr>
        <w:t>Sur la justification des ingérences</w:t>
      </w:r>
    </w:p>
    <w:p w14:paraId="651CA965" w14:textId="77777777" w:rsidR="00A045DF" w:rsidRPr="00432C3B" w:rsidRDefault="00A045DF" w:rsidP="00A045DF">
      <w:pPr>
        <w:pStyle w:val="JuHalpha"/>
        <w:rPr>
          <w:rFonts w:ascii="Times New Roman" w:hAnsi="Times New Roman" w:cs="Times New Roman"/>
          <w:color w:val="auto"/>
          <w:sz w:val="24"/>
          <w:szCs w:val="24"/>
        </w:rPr>
      </w:pPr>
      <w:r w:rsidRPr="00432C3B">
        <w:rPr>
          <w:rFonts w:ascii="Times New Roman" w:hAnsi="Times New Roman" w:cs="Times New Roman"/>
          <w:color w:val="auto"/>
          <w:sz w:val="24"/>
          <w:szCs w:val="24"/>
        </w:rPr>
        <w:t>Sur l’existence d’une base légale prévisible</w:t>
      </w:r>
    </w:p>
    <w:p w14:paraId="179B74B7"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73</w:t>
      </w:r>
      <w:r w:rsidRPr="00432C3B">
        <w:rPr>
          <w:rFonts w:ascii="Times New Roman" w:hAnsi="Times New Roman" w:cs="Times New Roman"/>
          <w:noProof/>
        </w:rPr>
        <w:fldChar w:fldCharType="end"/>
      </w:r>
      <w:r w:rsidRPr="00432C3B">
        <w:rPr>
          <w:rFonts w:ascii="Times New Roman" w:hAnsi="Times New Roman" w:cs="Times New Roman"/>
        </w:rPr>
        <w:t xml:space="preserve">.  La Cour rappelle qu’il incombe au premier chef aux autorités nationales, et singulièrement aux cours et tribunaux, d’interpréter et d’appliquer le droit interne. Sauf si l’interprétation retenue est arbitraire ou manifestement déraisonnable, la tâche de la Cour se limite à déterminer si ses effets sont compatibles avec la Convention (voir, parmi beaucoup d’autres, </w:t>
      </w:r>
      <w:proofErr w:type="spellStart"/>
      <w:r w:rsidRPr="00432C3B">
        <w:rPr>
          <w:rFonts w:ascii="Times New Roman" w:hAnsi="Times New Roman" w:cs="Times New Roman"/>
          <w:i/>
          <w:iCs/>
        </w:rPr>
        <w:t>Leyla</w:t>
      </w:r>
      <w:proofErr w:type="spellEnd"/>
      <w:r w:rsidRPr="00432C3B">
        <w:rPr>
          <w:rFonts w:ascii="Times New Roman" w:hAnsi="Times New Roman" w:cs="Times New Roman"/>
          <w:i/>
          <w:iCs/>
        </w:rPr>
        <w:t xml:space="preserve"> </w:t>
      </w:r>
      <w:proofErr w:type="spellStart"/>
      <w:r w:rsidRPr="00432C3B">
        <w:rPr>
          <w:rFonts w:ascii="Times New Roman" w:hAnsi="Times New Roman" w:cs="Times New Roman"/>
          <w:i/>
          <w:iCs/>
        </w:rPr>
        <w:t>Şahin</w:t>
      </w:r>
      <w:proofErr w:type="spellEnd"/>
      <w:r w:rsidRPr="00432C3B">
        <w:rPr>
          <w:rFonts w:ascii="Times New Roman" w:hAnsi="Times New Roman" w:cs="Times New Roman"/>
        </w:rPr>
        <w:t xml:space="preserve">, précité, § 87, </w:t>
      </w:r>
      <w:bookmarkStart w:id="18" w:name="_cl42510"/>
      <w:r w:rsidRPr="00432C3B">
        <w:rPr>
          <w:rFonts w:ascii="Times New Roman" w:hAnsi="Times New Roman" w:cs="Times New Roman"/>
          <w:i/>
          <w:iCs/>
        </w:rPr>
        <w:t>Sanchez c. France</w:t>
      </w:r>
      <w:bookmarkEnd w:id="18"/>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45581/15, § 128, 15 mai 2023, et </w:t>
      </w:r>
      <w:proofErr w:type="spellStart"/>
      <w:r w:rsidRPr="00432C3B">
        <w:rPr>
          <w:rFonts w:ascii="Times New Roman" w:hAnsi="Times New Roman" w:cs="Times New Roman"/>
          <w:i/>
          <w:iCs/>
        </w:rPr>
        <w:t>Pindo</w:t>
      </w:r>
      <w:proofErr w:type="spellEnd"/>
      <w:r w:rsidRPr="00432C3B">
        <w:rPr>
          <w:rFonts w:ascii="Times New Roman" w:hAnsi="Times New Roman" w:cs="Times New Roman"/>
          <w:i/>
          <w:iCs/>
        </w:rPr>
        <w:t xml:space="preserve"> Mulla</w:t>
      </w:r>
      <w:r w:rsidRPr="00432C3B">
        <w:rPr>
          <w:rFonts w:ascii="Times New Roman" w:hAnsi="Times New Roman" w:cs="Times New Roman"/>
        </w:rPr>
        <w:t>, précité, § 132).</w:t>
      </w:r>
    </w:p>
    <w:p w14:paraId="41D94EF9" w14:textId="1008B40D"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74</w:t>
      </w:r>
      <w:r w:rsidRPr="00432C3B">
        <w:rPr>
          <w:rFonts w:ascii="Times New Roman" w:hAnsi="Times New Roman" w:cs="Times New Roman"/>
          <w:noProof/>
        </w:rPr>
        <w:fldChar w:fldCharType="end"/>
      </w:r>
      <w:r w:rsidRPr="00432C3B">
        <w:rPr>
          <w:rFonts w:ascii="Times New Roman" w:hAnsi="Times New Roman" w:cs="Times New Roman"/>
        </w:rPr>
        <w:t>.  En l’espèce, la Cour relève que le divorce a été prononcé en application des articles 229 et 242 et suivants du code civil (paragraphe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CadreJur_CodeCivil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eastAsia="Times New Roman" w:hAnsi="Times New Roman" w:cs="Times New Roman"/>
          <w:noProof/>
        </w:rPr>
        <w:t>20</w:t>
      </w:r>
      <w:r w:rsidRPr="00432C3B">
        <w:rPr>
          <w:rFonts w:ascii="Times New Roman" w:hAnsi="Times New Roman" w:cs="Times New Roman"/>
        </w:rPr>
        <w:fldChar w:fldCharType="end"/>
      </w:r>
      <w:r w:rsidRPr="00432C3B">
        <w:rPr>
          <w:rFonts w:ascii="Times New Roman" w:hAnsi="Times New Roman" w:cs="Times New Roman"/>
        </w:rPr>
        <w:t xml:space="preserve"> ci-dessus), qui prévoient qu’un divorce peut être prononcé pour faute lorsque des faits constitutifs d’une violation grave ou renouvelée des devoirs et obligations du mariage sont imputables à l’un des époux et rendent intolérable le maintien de la vie commune. Le désaccord des parties porte uniquement sur l’étendue des « devoirs et obligations du mariage » et plus particulièrement sur la persistance du devoir conjugal.</w:t>
      </w:r>
    </w:p>
    <w:p w14:paraId="48B76CAA"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75</w:t>
      </w:r>
      <w:r w:rsidRPr="00432C3B">
        <w:rPr>
          <w:rFonts w:ascii="Times New Roman" w:hAnsi="Times New Roman" w:cs="Times New Roman"/>
          <w:noProof/>
        </w:rPr>
        <w:fldChar w:fldCharType="end"/>
      </w:r>
      <w:r w:rsidRPr="00432C3B">
        <w:rPr>
          <w:rFonts w:ascii="Times New Roman" w:hAnsi="Times New Roman" w:cs="Times New Roman"/>
        </w:rPr>
        <w:t>.  À titre principal, la requérante soutient que le droit interne ne fait pas obligation aux époux d’avoir des relations sexuelles.</w:t>
      </w:r>
    </w:p>
    <w:p w14:paraId="3FD0972A" w14:textId="7997699A" w:rsidR="00A045DF" w:rsidRPr="00432C3B" w:rsidRDefault="00A045DF" w:rsidP="00A045DF">
      <w:pPr>
        <w:pStyle w:val="JuPara"/>
        <w:rPr>
          <w:rFonts w:ascii="Times New Roman" w:eastAsia="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76</w:t>
      </w:r>
      <w:r w:rsidRPr="00432C3B">
        <w:rPr>
          <w:rFonts w:ascii="Times New Roman" w:hAnsi="Times New Roman" w:cs="Times New Roman"/>
          <w:noProof/>
        </w:rPr>
        <w:fldChar w:fldCharType="end"/>
      </w:r>
      <w:r w:rsidRPr="00432C3B">
        <w:rPr>
          <w:rFonts w:ascii="Times New Roman" w:hAnsi="Times New Roman" w:cs="Times New Roman"/>
        </w:rPr>
        <w:t xml:space="preserve">.  La Cour relève toutefois qu’il résulte </w:t>
      </w:r>
      <w:r w:rsidRPr="00432C3B">
        <w:rPr>
          <w:rFonts w:ascii="Times New Roman" w:eastAsia="Times New Roman" w:hAnsi="Times New Roman" w:cs="Times New Roman"/>
        </w:rPr>
        <w:t>d’une jurisprudence ancienne mais constante de la Cour de cassation que les époux sont tenus à un devoir conjugal et que son inexécution peut constituer une faute justifiant le divorce (paragraphe </w:t>
      </w:r>
      <w:r w:rsidRPr="00432C3B">
        <w:rPr>
          <w:rFonts w:ascii="Times New Roman" w:eastAsia="Times New Roman" w:hAnsi="Times New Roman" w:cs="Times New Roman"/>
        </w:rPr>
        <w:fldChar w:fldCharType="begin"/>
      </w:r>
      <w:r w:rsidRPr="00432C3B">
        <w:rPr>
          <w:rFonts w:ascii="Times New Roman" w:eastAsia="Times New Roman" w:hAnsi="Times New Roman" w:cs="Times New Roman"/>
        </w:rPr>
        <w:instrText xml:space="preserve"> REF CadreJur_JpceDevoirConjugal \h </w:instrText>
      </w:r>
      <w:r w:rsidR="00432C3B" w:rsidRPr="00432C3B">
        <w:rPr>
          <w:rFonts w:ascii="Times New Roman" w:eastAsia="Times New Roman" w:hAnsi="Times New Roman" w:cs="Times New Roman"/>
        </w:rPr>
        <w:instrText xml:space="preserve"> \* MERGEFORMAT </w:instrText>
      </w:r>
      <w:r w:rsidRPr="00432C3B">
        <w:rPr>
          <w:rFonts w:ascii="Times New Roman" w:eastAsia="Times New Roman" w:hAnsi="Times New Roman" w:cs="Times New Roman"/>
        </w:rPr>
      </w:r>
      <w:r w:rsidRPr="00432C3B">
        <w:rPr>
          <w:rFonts w:ascii="Times New Roman" w:eastAsia="Times New Roman" w:hAnsi="Times New Roman" w:cs="Times New Roman"/>
        </w:rPr>
        <w:fldChar w:fldCharType="separate"/>
      </w:r>
      <w:r w:rsidRPr="00432C3B">
        <w:rPr>
          <w:rFonts w:ascii="Times New Roman" w:eastAsia="Times New Roman" w:hAnsi="Times New Roman" w:cs="Times New Roman"/>
          <w:noProof/>
        </w:rPr>
        <w:t>23</w:t>
      </w:r>
      <w:r w:rsidRPr="00432C3B">
        <w:rPr>
          <w:rFonts w:ascii="Times New Roman" w:eastAsia="Times New Roman" w:hAnsi="Times New Roman" w:cs="Times New Roman"/>
        </w:rPr>
        <w:fldChar w:fldCharType="end"/>
      </w:r>
      <w:r w:rsidRPr="00432C3B">
        <w:rPr>
          <w:rFonts w:ascii="Times New Roman" w:eastAsia="Times New Roman" w:hAnsi="Times New Roman" w:cs="Times New Roman"/>
        </w:rPr>
        <w:t xml:space="preserve"> ci-dessus). L’arrêt du 5 septembre 1990 </w:t>
      </w:r>
      <w:r w:rsidRPr="00432C3B">
        <w:rPr>
          <w:rFonts w:ascii="Times New Roman" w:hAnsi="Times New Roman" w:cs="Times New Roman"/>
        </w:rPr>
        <w:t xml:space="preserve">auquel la requérante se réfère n’a pas été rendu en matière de divorce, mais en matière pénale : </w:t>
      </w:r>
      <w:r w:rsidRPr="00432C3B">
        <w:rPr>
          <w:rFonts w:ascii="Times New Roman" w:eastAsia="Times New Roman" w:hAnsi="Times New Roman" w:cs="Times New Roman"/>
        </w:rPr>
        <w:t xml:space="preserve">il </w:t>
      </w:r>
      <w:r w:rsidRPr="00432C3B">
        <w:rPr>
          <w:rFonts w:ascii="Times New Roman" w:hAnsi="Times New Roman" w:cs="Times New Roman"/>
        </w:rPr>
        <w:t>se borne à rappeler le caractère répréhensible du viol conjugal (paragraphe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CadreJur_ArrêtCrim1990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hAnsi="Times New Roman" w:cs="Times New Roman"/>
          <w:noProof/>
        </w:rPr>
        <w:t>30</w:t>
      </w:r>
      <w:r w:rsidRPr="00432C3B">
        <w:rPr>
          <w:rFonts w:ascii="Times New Roman" w:hAnsi="Times New Roman" w:cs="Times New Roman"/>
        </w:rPr>
        <w:fldChar w:fldCharType="end"/>
      </w:r>
      <w:r w:rsidRPr="00432C3B">
        <w:rPr>
          <w:rFonts w:ascii="Times New Roman" w:hAnsi="Times New Roman" w:cs="Times New Roman"/>
        </w:rPr>
        <w:t xml:space="preserve"> ci-dessus). Malgré cette évolution jurisprudentielle, la Cour de cassation a confirmé, par un arrêt du 17 décembre 1997, que « l’abstention prolongée de relations intimes imputées à l’épouse » était </w:t>
      </w:r>
      <w:r w:rsidRPr="00432C3B">
        <w:rPr>
          <w:rFonts w:ascii="Times New Roman" w:hAnsi="Times New Roman" w:cs="Times New Roman"/>
        </w:rPr>
        <w:lastRenderedPageBreak/>
        <w:t xml:space="preserve">de nature à justifier le prononcé du divorce pour faute dès lors que celle-ci « n’était pas justifiée par des raisons médicales suffisantes ». </w:t>
      </w:r>
      <w:r w:rsidRPr="00432C3B">
        <w:rPr>
          <w:rFonts w:ascii="Times New Roman" w:eastAsia="Times New Roman" w:hAnsi="Times New Roman" w:cs="Times New Roman"/>
        </w:rPr>
        <w:t>Si la Cour de cassation n’a plus réaffirmé cette jurisprudence depuis lors, celle-ci n’a jamais fait l’objet d’un revirement et continue d’être appliquée par les juridictions du fond (paragraphes </w:t>
      </w:r>
      <w:r w:rsidRPr="00432C3B">
        <w:rPr>
          <w:rFonts w:ascii="Times New Roman" w:eastAsia="Times New Roman" w:hAnsi="Times New Roman" w:cs="Times New Roman"/>
        </w:rPr>
        <w:fldChar w:fldCharType="begin"/>
      </w:r>
      <w:r w:rsidRPr="00432C3B">
        <w:rPr>
          <w:rFonts w:ascii="Times New Roman" w:eastAsia="Times New Roman" w:hAnsi="Times New Roman" w:cs="Times New Roman"/>
        </w:rPr>
        <w:instrText xml:space="preserve"> REF CadreJur_JpceDevoirConjugal_Jur2ndDegré \h </w:instrText>
      </w:r>
      <w:r w:rsidR="00432C3B" w:rsidRPr="00432C3B">
        <w:rPr>
          <w:rFonts w:ascii="Times New Roman" w:eastAsia="Times New Roman" w:hAnsi="Times New Roman" w:cs="Times New Roman"/>
        </w:rPr>
        <w:instrText xml:space="preserve"> \* MERGEFORMAT </w:instrText>
      </w:r>
      <w:r w:rsidRPr="00432C3B">
        <w:rPr>
          <w:rFonts w:ascii="Times New Roman" w:eastAsia="Times New Roman" w:hAnsi="Times New Roman" w:cs="Times New Roman"/>
        </w:rPr>
      </w:r>
      <w:r w:rsidRPr="00432C3B">
        <w:rPr>
          <w:rFonts w:ascii="Times New Roman" w:eastAsia="Times New Roman" w:hAnsi="Times New Roman" w:cs="Times New Roman"/>
        </w:rPr>
        <w:fldChar w:fldCharType="separate"/>
      </w:r>
      <w:r w:rsidRPr="00432C3B">
        <w:rPr>
          <w:rFonts w:ascii="Times New Roman" w:eastAsia="Times New Roman" w:hAnsi="Times New Roman" w:cs="Times New Roman"/>
          <w:noProof/>
        </w:rPr>
        <w:t>25</w:t>
      </w:r>
      <w:r w:rsidRPr="00432C3B">
        <w:rPr>
          <w:rFonts w:ascii="Times New Roman" w:eastAsia="Times New Roman" w:hAnsi="Times New Roman" w:cs="Times New Roman"/>
        </w:rPr>
        <w:fldChar w:fldCharType="end"/>
      </w:r>
      <w:r w:rsidRPr="00432C3B">
        <w:rPr>
          <w:rFonts w:ascii="Times New Roman" w:eastAsia="Times New Roman" w:hAnsi="Times New Roman" w:cs="Times New Roman"/>
        </w:rPr>
        <w:t xml:space="preserve"> et </w:t>
      </w:r>
      <w:r w:rsidRPr="00432C3B">
        <w:rPr>
          <w:rFonts w:ascii="Times New Roman" w:eastAsia="Times New Roman" w:hAnsi="Times New Roman" w:cs="Times New Roman"/>
        </w:rPr>
        <w:fldChar w:fldCharType="begin"/>
      </w:r>
      <w:r w:rsidRPr="00432C3B">
        <w:rPr>
          <w:rFonts w:ascii="Times New Roman" w:eastAsia="Times New Roman" w:hAnsi="Times New Roman" w:cs="Times New Roman"/>
        </w:rPr>
        <w:instrText xml:space="preserve"> REF Cadre_Jur_Etudes_sur_contentieux \h </w:instrText>
      </w:r>
      <w:r w:rsidR="00432C3B" w:rsidRPr="00432C3B">
        <w:rPr>
          <w:rFonts w:ascii="Times New Roman" w:eastAsia="Times New Roman" w:hAnsi="Times New Roman" w:cs="Times New Roman"/>
        </w:rPr>
        <w:instrText xml:space="preserve"> \* MERGEFORMAT </w:instrText>
      </w:r>
      <w:r w:rsidRPr="00432C3B">
        <w:rPr>
          <w:rFonts w:ascii="Times New Roman" w:eastAsia="Times New Roman" w:hAnsi="Times New Roman" w:cs="Times New Roman"/>
        </w:rPr>
      </w:r>
      <w:r w:rsidRPr="00432C3B">
        <w:rPr>
          <w:rFonts w:ascii="Times New Roman" w:eastAsia="Times New Roman" w:hAnsi="Times New Roman" w:cs="Times New Roman"/>
        </w:rPr>
        <w:fldChar w:fldCharType="separate"/>
      </w:r>
      <w:r w:rsidRPr="00432C3B">
        <w:rPr>
          <w:rFonts w:ascii="Times New Roman" w:hAnsi="Times New Roman" w:cs="Times New Roman"/>
          <w:noProof/>
        </w:rPr>
        <w:t>29</w:t>
      </w:r>
      <w:r w:rsidRPr="00432C3B">
        <w:rPr>
          <w:rFonts w:ascii="Times New Roman" w:eastAsia="Times New Roman" w:hAnsi="Times New Roman" w:cs="Times New Roman"/>
        </w:rPr>
        <w:fldChar w:fldCharType="end"/>
      </w:r>
      <w:r w:rsidRPr="00432C3B">
        <w:rPr>
          <w:rFonts w:ascii="Times New Roman" w:eastAsia="Times New Roman" w:hAnsi="Times New Roman" w:cs="Times New Roman"/>
        </w:rPr>
        <w:t xml:space="preserve"> ci-dessus). La Cour en conclut que les ingérences litigieuses reposaient sur une jurisprudence interne bien établie.</w:t>
      </w:r>
    </w:p>
    <w:p w14:paraId="40440531"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77</w:t>
      </w:r>
      <w:r w:rsidRPr="00432C3B">
        <w:rPr>
          <w:rFonts w:ascii="Times New Roman" w:hAnsi="Times New Roman" w:cs="Times New Roman"/>
          <w:noProof/>
        </w:rPr>
        <w:fldChar w:fldCharType="end"/>
      </w:r>
      <w:r w:rsidRPr="00432C3B">
        <w:rPr>
          <w:rFonts w:ascii="Times New Roman" w:hAnsi="Times New Roman" w:cs="Times New Roman"/>
        </w:rPr>
        <w:t>.  À titre subsidiaire, la requérante fait valoir que la portée exacte du devoir conjugal était imprévisible.</w:t>
      </w:r>
    </w:p>
    <w:p w14:paraId="0C8807F7" w14:textId="40BB2478"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78</w:t>
      </w:r>
      <w:r w:rsidRPr="00432C3B">
        <w:rPr>
          <w:rFonts w:ascii="Times New Roman" w:hAnsi="Times New Roman" w:cs="Times New Roman"/>
          <w:noProof/>
        </w:rPr>
        <w:fldChar w:fldCharType="end"/>
      </w:r>
      <w:r w:rsidRPr="00432C3B">
        <w:rPr>
          <w:rFonts w:ascii="Times New Roman" w:hAnsi="Times New Roman" w:cs="Times New Roman"/>
        </w:rPr>
        <w:t>.  À cet égard, il est exact que la jurisprudence interne ne considère pas tout refus d’avoir des relations sexuelles comme fautif. Elle laisse aux juges du fond le soin de déterminer si ce refus suffit à caractériser une violation grave ou renouvelée des devoirs et obligations du mariage justifiant le divorce (paragraphe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CadreJur_JpceDevoirConjugal_ApprécFaute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eastAsia="Times New Roman" w:hAnsi="Times New Roman" w:cs="Times New Roman"/>
          <w:noProof/>
        </w:rPr>
        <w:t>26</w:t>
      </w:r>
      <w:r w:rsidRPr="00432C3B">
        <w:rPr>
          <w:rFonts w:ascii="Times New Roman" w:hAnsi="Times New Roman" w:cs="Times New Roman"/>
        </w:rPr>
        <w:fldChar w:fldCharType="end"/>
      </w:r>
      <w:r w:rsidRPr="00432C3B">
        <w:rPr>
          <w:rFonts w:ascii="Times New Roman" w:hAnsi="Times New Roman" w:cs="Times New Roman"/>
        </w:rPr>
        <w:t xml:space="preserve"> ci-dessus). Elle admet en outre que certaines circonstances telles que l’âge, l’état de santé ou le caractère abusif ou violent du conjoint sont de nature à justifier l’inexécution du devoir conjugal (</w:t>
      </w:r>
      <w:r w:rsidRPr="00432C3B">
        <w:rPr>
          <w:rFonts w:ascii="Times New Roman" w:hAnsi="Times New Roman" w:cs="Times New Roman"/>
          <w:i/>
          <w:iCs/>
        </w:rPr>
        <w:t>ibidem</w:t>
      </w:r>
      <w:r w:rsidRPr="00432C3B">
        <w:rPr>
          <w:rFonts w:ascii="Times New Roman" w:hAnsi="Times New Roman" w:cs="Times New Roman"/>
        </w:rPr>
        <w:t>). La Cour rappelle cependant que l’exigence de prévisibilité de la loi ne va pas jusqu’à imposer un degré de précision tel que le citoyen puisse être absolument certain des conséquences pouvant découler de son application. Beaucoup de lois se servent, par la force des choses, de formules plus ou moins vagues dont l’interprétation et l’application dépendent de la pratique (</w:t>
      </w:r>
      <w:bookmarkStart w:id="19" w:name="_cl16488"/>
      <w:bookmarkStart w:id="20" w:name="_cl11876"/>
      <w:r w:rsidRPr="00432C3B">
        <w:rPr>
          <w:rFonts w:ascii="Times New Roman" w:hAnsi="Times New Roman" w:cs="Times New Roman"/>
          <w:i/>
          <w:iCs/>
        </w:rPr>
        <w:t>Silver et autres c. Royaume-Uni</w:t>
      </w:r>
      <w:bookmarkEnd w:id="19"/>
      <w:r w:rsidRPr="00432C3B">
        <w:rPr>
          <w:rFonts w:ascii="Times New Roman" w:hAnsi="Times New Roman" w:cs="Times New Roman"/>
        </w:rPr>
        <w:t>, 25 mars 1983, § 88, série A n</w:t>
      </w:r>
      <w:r w:rsidRPr="00432C3B">
        <w:rPr>
          <w:rFonts w:ascii="Times New Roman" w:hAnsi="Times New Roman" w:cs="Times New Roman"/>
          <w:vertAlign w:val="superscript"/>
        </w:rPr>
        <w:t>o</w:t>
      </w:r>
      <w:r w:rsidRPr="00432C3B">
        <w:rPr>
          <w:rFonts w:ascii="Times New Roman" w:hAnsi="Times New Roman" w:cs="Times New Roman"/>
        </w:rPr>
        <w:t xml:space="preserve"> 61, </w:t>
      </w:r>
      <w:r w:rsidRPr="00432C3B">
        <w:rPr>
          <w:rFonts w:ascii="Times New Roman" w:hAnsi="Times New Roman" w:cs="Times New Roman"/>
          <w:i/>
          <w:iCs/>
        </w:rPr>
        <w:t>Michaud c. France</w:t>
      </w:r>
      <w:bookmarkEnd w:id="20"/>
      <w:r w:rsidRPr="00432C3B">
        <w:rPr>
          <w:rFonts w:ascii="Times New Roman" w:hAnsi="Times New Roman" w:cs="Times New Roman"/>
        </w:rPr>
        <w:t>, n</w:t>
      </w:r>
      <w:r w:rsidRPr="00432C3B">
        <w:rPr>
          <w:rFonts w:ascii="Times New Roman" w:hAnsi="Times New Roman" w:cs="Times New Roman"/>
          <w:vertAlign w:val="superscript"/>
        </w:rPr>
        <w:t>o</w:t>
      </w:r>
      <w:r w:rsidRPr="00432C3B">
        <w:rPr>
          <w:rFonts w:ascii="Times New Roman" w:hAnsi="Times New Roman" w:cs="Times New Roman"/>
        </w:rPr>
        <w:t xml:space="preserve"> 12323/11, § 96, CEDH 2012, et </w:t>
      </w:r>
      <w:bookmarkStart w:id="21" w:name="_cl40687"/>
      <w:r w:rsidRPr="00432C3B">
        <w:rPr>
          <w:rFonts w:ascii="Times New Roman" w:hAnsi="Times New Roman" w:cs="Times New Roman"/>
          <w:i/>
          <w:iCs/>
        </w:rPr>
        <w:t>M.K. c. Luxembourg</w:t>
      </w:r>
      <w:bookmarkEnd w:id="21"/>
      <w:r w:rsidRPr="00432C3B">
        <w:rPr>
          <w:rFonts w:ascii="Times New Roman" w:hAnsi="Times New Roman" w:cs="Times New Roman"/>
        </w:rPr>
        <w:t>, n</w:t>
      </w:r>
      <w:r w:rsidRPr="00432C3B">
        <w:rPr>
          <w:rFonts w:ascii="Times New Roman" w:hAnsi="Times New Roman" w:cs="Times New Roman"/>
          <w:vertAlign w:val="superscript"/>
        </w:rPr>
        <w:t>o</w:t>
      </w:r>
      <w:r w:rsidRPr="00432C3B">
        <w:rPr>
          <w:rFonts w:ascii="Times New Roman" w:hAnsi="Times New Roman" w:cs="Times New Roman"/>
        </w:rPr>
        <w:t> 51746/18, § 56, 18 mai 2021). Elle rappelle en outre qu’il appartient aux autorités nationales, et au premier chef aux tribunaux, d’interpréter et d’appliquer le droit interne (</w:t>
      </w:r>
      <w:bookmarkStart w:id="22" w:name="_cl13723"/>
      <w:r w:rsidRPr="00432C3B">
        <w:rPr>
          <w:rFonts w:ascii="Times New Roman" w:hAnsi="Times New Roman" w:cs="Times New Roman"/>
          <w:i/>
          <w:iCs/>
        </w:rPr>
        <w:t>Paradiso et Campanelli c. Italie</w:t>
      </w:r>
      <w:bookmarkEnd w:id="22"/>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25358/12, § 169, 24 janvier 2017, et </w:t>
      </w:r>
      <w:r w:rsidRPr="00432C3B">
        <w:rPr>
          <w:rFonts w:ascii="Times New Roman" w:hAnsi="Times New Roman" w:cs="Times New Roman"/>
          <w:i/>
          <w:iCs/>
        </w:rPr>
        <w:t>Sanchez</w:t>
      </w:r>
      <w:r w:rsidRPr="00432C3B">
        <w:rPr>
          <w:rFonts w:ascii="Times New Roman" w:hAnsi="Times New Roman" w:cs="Times New Roman"/>
        </w:rPr>
        <w:t>, précité, § 126). Dès lors, la circonstance que le droit interne confère aux juges du fond le pouvoir d’apprécier si la méconnaissance d’une obligation matrimoniale est, ou non, suffisamment grave pour justifier le divorce n’est pas de nature à remettre en cause sa prévisibilité. La Cour estime que la jurisprudence en cause était énoncée avec suffisamment de précision pour permettre à la requérante de régler sa conduite, en s’entourant au besoin de conseils éclairés.</w:t>
      </w:r>
    </w:p>
    <w:p w14:paraId="59A63611"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79</w:t>
      </w:r>
      <w:r w:rsidRPr="00432C3B">
        <w:rPr>
          <w:rFonts w:ascii="Times New Roman" w:hAnsi="Times New Roman" w:cs="Times New Roman"/>
          <w:noProof/>
        </w:rPr>
        <w:fldChar w:fldCharType="end"/>
      </w:r>
      <w:r w:rsidRPr="00432C3B">
        <w:rPr>
          <w:rFonts w:ascii="Times New Roman" w:hAnsi="Times New Roman" w:cs="Times New Roman"/>
        </w:rPr>
        <w:t>.  Au vu de tout ce qui précède, la Cour considère que les ingérences litigeuses étaient « prévues par la loi » au sens de l’article 8 § 2.</w:t>
      </w:r>
    </w:p>
    <w:p w14:paraId="587511E0" w14:textId="77777777" w:rsidR="00A045DF" w:rsidRPr="00432C3B" w:rsidRDefault="00A045DF" w:rsidP="00A045DF">
      <w:pPr>
        <w:pStyle w:val="JuHalpha"/>
        <w:rPr>
          <w:rFonts w:ascii="Times New Roman" w:hAnsi="Times New Roman" w:cs="Times New Roman"/>
          <w:color w:val="auto"/>
          <w:sz w:val="24"/>
          <w:szCs w:val="24"/>
        </w:rPr>
      </w:pPr>
      <w:r w:rsidRPr="00432C3B">
        <w:rPr>
          <w:rFonts w:ascii="Times New Roman" w:hAnsi="Times New Roman" w:cs="Times New Roman"/>
          <w:color w:val="auto"/>
          <w:sz w:val="24"/>
          <w:szCs w:val="24"/>
        </w:rPr>
        <w:t>Sur la légitimité du but poursuivi</w:t>
      </w:r>
    </w:p>
    <w:p w14:paraId="1E3BA734"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80</w:t>
      </w:r>
      <w:r w:rsidRPr="00432C3B">
        <w:rPr>
          <w:rFonts w:ascii="Times New Roman" w:hAnsi="Times New Roman" w:cs="Times New Roman"/>
          <w:noProof/>
        </w:rPr>
        <w:fldChar w:fldCharType="end"/>
      </w:r>
      <w:r w:rsidRPr="00432C3B">
        <w:rPr>
          <w:rFonts w:ascii="Times New Roman" w:hAnsi="Times New Roman" w:cs="Times New Roman"/>
        </w:rPr>
        <w:t>.  Il incombe à la Cour de déterminer si les restrictions contestées ont été inspirées par un but susceptible d’être rattaché à l’un de ceux que le second paragraphe de l’article 8 énumère (</w:t>
      </w:r>
      <w:bookmarkStart w:id="23" w:name="_cl13768"/>
      <w:proofErr w:type="spellStart"/>
      <w:r w:rsidRPr="00432C3B">
        <w:rPr>
          <w:rFonts w:ascii="Times New Roman" w:hAnsi="Times New Roman" w:cs="Times New Roman"/>
          <w:i/>
          <w:iCs/>
        </w:rPr>
        <w:t>Parrillo</w:t>
      </w:r>
      <w:proofErr w:type="spellEnd"/>
      <w:r w:rsidRPr="00432C3B">
        <w:rPr>
          <w:rFonts w:ascii="Times New Roman" w:hAnsi="Times New Roman" w:cs="Times New Roman"/>
          <w:i/>
          <w:iCs/>
        </w:rPr>
        <w:t xml:space="preserve"> c. Italie</w:t>
      </w:r>
      <w:bookmarkEnd w:id="23"/>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46470/11, § 163, CEDH 2015, et </w:t>
      </w:r>
      <w:r w:rsidRPr="00432C3B">
        <w:rPr>
          <w:rFonts w:ascii="Times New Roman" w:hAnsi="Times New Roman" w:cs="Times New Roman"/>
          <w:i/>
          <w:iCs/>
        </w:rPr>
        <w:t>L.B. c. Hongrie</w:t>
      </w:r>
      <w:r w:rsidRPr="00432C3B">
        <w:rPr>
          <w:rFonts w:ascii="Times New Roman" w:hAnsi="Times New Roman" w:cs="Times New Roman"/>
        </w:rPr>
        <w:t>, précité, § 108), ce contrôle étant sommaire dans la plupart des cas (</w:t>
      </w:r>
      <w:proofErr w:type="spellStart"/>
      <w:r w:rsidRPr="00432C3B">
        <w:rPr>
          <w:rFonts w:ascii="Times New Roman" w:hAnsi="Times New Roman" w:cs="Times New Roman"/>
          <w:i/>
          <w:iCs/>
        </w:rPr>
        <w:t>Leyla</w:t>
      </w:r>
      <w:proofErr w:type="spellEnd"/>
      <w:r w:rsidRPr="00432C3B">
        <w:rPr>
          <w:rFonts w:ascii="Times New Roman" w:hAnsi="Times New Roman" w:cs="Times New Roman"/>
          <w:i/>
          <w:iCs/>
        </w:rPr>
        <w:t xml:space="preserve"> </w:t>
      </w:r>
      <w:proofErr w:type="spellStart"/>
      <w:r w:rsidRPr="00432C3B">
        <w:rPr>
          <w:rFonts w:ascii="Times New Roman" w:hAnsi="Times New Roman" w:cs="Times New Roman"/>
          <w:i/>
          <w:iCs/>
        </w:rPr>
        <w:t>Şahin</w:t>
      </w:r>
      <w:proofErr w:type="spellEnd"/>
      <w:r w:rsidRPr="00432C3B">
        <w:rPr>
          <w:rFonts w:ascii="Times New Roman" w:hAnsi="Times New Roman" w:cs="Times New Roman"/>
        </w:rPr>
        <w:t xml:space="preserve">, précité, § 99, </w:t>
      </w:r>
      <w:proofErr w:type="spellStart"/>
      <w:r w:rsidRPr="00432C3B">
        <w:rPr>
          <w:rFonts w:ascii="Times New Roman" w:hAnsi="Times New Roman" w:cs="Times New Roman"/>
          <w:i/>
          <w:iCs/>
        </w:rPr>
        <w:t>Merabishvili</w:t>
      </w:r>
      <w:proofErr w:type="spellEnd"/>
      <w:r w:rsidRPr="00432C3B">
        <w:rPr>
          <w:rFonts w:ascii="Times New Roman" w:hAnsi="Times New Roman" w:cs="Times New Roman"/>
          <w:i/>
          <w:iCs/>
        </w:rPr>
        <w:t xml:space="preserve"> c. Géorgie</w:t>
      </w:r>
      <w:r w:rsidRPr="00432C3B">
        <w:rPr>
          <w:rFonts w:ascii="Times New Roman" w:hAnsi="Times New Roman" w:cs="Times New Roman"/>
        </w:rPr>
        <w:t xml:space="preserve"> [GC], n</w:t>
      </w:r>
      <w:r w:rsidRPr="00432C3B">
        <w:rPr>
          <w:rFonts w:ascii="Times New Roman" w:hAnsi="Times New Roman" w:cs="Times New Roman"/>
          <w:vertAlign w:val="superscript"/>
        </w:rPr>
        <w:t>o</w:t>
      </w:r>
      <w:r w:rsidRPr="00432C3B">
        <w:rPr>
          <w:rFonts w:ascii="Times New Roman" w:hAnsi="Times New Roman" w:cs="Times New Roman"/>
        </w:rPr>
        <w:t xml:space="preserve"> 72508/13, § 297, 28 novembre 2017 et </w:t>
      </w:r>
      <w:r w:rsidRPr="00432C3B">
        <w:rPr>
          <w:rFonts w:ascii="Times New Roman" w:hAnsi="Times New Roman" w:cs="Times New Roman"/>
          <w:i/>
          <w:iCs/>
        </w:rPr>
        <w:t>L.B. c. Hongrie</w:t>
      </w:r>
      <w:r w:rsidRPr="00432C3B">
        <w:rPr>
          <w:rFonts w:ascii="Times New Roman" w:hAnsi="Times New Roman" w:cs="Times New Roman"/>
        </w:rPr>
        <w:t>, précité, § 109).</w:t>
      </w:r>
    </w:p>
    <w:p w14:paraId="718A2DC9"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81</w:t>
      </w:r>
      <w:r w:rsidRPr="00432C3B">
        <w:rPr>
          <w:rFonts w:ascii="Times New Roman" w:hAnsi="Times New Roman" w:cs="Times New Roman"/>
          <w:noProof/>
        </w:rPr>
        <w:fldChar w:fldCharType="end"/>
      </w:r>
      <w:r w:rsidRPr="00432C3B">
        <w:rPr>
          <w:rFonts w:ascii="Times New Roman" w:hAnsi="Times New Roman" w:cs="Times New Roman"/>
        </w:rPr>
        <w:t xml:space="preserve">.  Le Gouvernement indique que les ingérences litigieuses visaient à protéger les droits d’autrui, et plus particulièrement le droit de chacun des époux à mettre fin au lien matrimonial lorsque la poursuite de la vie commune n’est plus possible (voir, en ce sens, </w:t>
      </w:r>
      <w:r w:rsidRPr="00432C3B">
        <w:rPr>
          <w:rFonts w:ascii="Times New Roman" w:hAnsi="Times New Roman" w:cs="Times New Roman"/>
          <w:i/>
          <w:iCs/>
        </w:rPr>
        <w:t>N.N. et T.A. c. Belgique</w:t>
      </w:r>
      <w:r w:rsidRPr="00432C3B">
        <w:rPr>
          <w:rFonts w:ascii="Times New Roman" w:hAnsi="Times New Roman" w:cs="Times New Roman"/>
        </w:rPr>
        <w:t>, précité, § 42).</w:t>
      </w:r>
    </w:p>
    <w:p w14:paraId="5D0B6530"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82</w:t>
      </w:r>
      <w:r w:rsidRPr="00432C3B">
        <w:rPr>
          <w:rFonts w:ascii="Times New Roman" w:hAnsi="Times New Roman" w:cs="Times New Roman"/>
          <w:noProof/>
        </w:rPr>
        <w:fldChar w:fldCharType="end"/>
      </w:r>
      <w:r w:rsidRPr="00432C3B">
        <w:rPr>
          <w:rFonts w:ascii="Times New Roman" w:hAnsi="Times New Roman" w:cs="Times New Roman"/>
        </w:rPr>
        <w:t>.  Relevant que le droit interne garantit le droit de divorcer et que la désunion a une incidence sur les droits de chacun des époux, la Cour reconnaît que la finalité des ingérences litigieuses, qui renvoient au droit de chacun des époux à mettre fin aux relations matrimoniales, se rattachait à la « protection des droits et libertés d’autrui » au sens de la Convention.</w:t>
      </w:r>
    </w:p>
    <w:p w14:paraId="1935D54E"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83</w:t>
      </w:r>
      <w:r w:rsidRPr="00432C3B">
        <w:rPr>
          <w:rFonts w:ascii="Times New Roman" w:hAnsi="Times New Roman" w:cs="Times New Roman"/>
          <w:noProof/>
        </w:rPr>
        <w:fldChar w:fldCharType="end"/>
      </w:r>
      <w:r w:rsidRPr="00432C3B">
        <w:rPr>
          <w:rFonts w:ascii="Times New Roman" w:hAnsi="Times New Roman" w:cs="Times New Roman"/>
        </w:rPr>
        <w:t>.  Il reste cependant à la Cour à trancher la question, étroitement liée à celle de l’existence d’un but légitime, de savoir si les restrictions en cause sont justifiées, en d’autres termes si celles-ci sont fondées sur des motifs pertinents et suffisants et si elles sont proportionnées au but poursuivi (voir, sur ce point,</w:t>
      </w:r>
      <w:bookmarkStart w:id="24" w:name="_cl11777"/>
      <w:r w:rsidRPr="00432C3B">
        <w:rPr>
          <w:rFonts w:ascii="Times New Roman" w:hAnsi="Times New Roman" w:cs="Times New Roman"/>
        </w:rPr>
        <w:t xml:space="preserve"> </w:t>
      </w:r>
      <w:bookmarkEnd w:id="24"/>
      <w:proofErr w:type="spellStart"/>
      <w:r w:rsidRPr="00432C3B">
        <w:rPr>
          <w:rFonts w:ascii="Times New Roman" w:hAnsi="Times New Roman" w:cs="Times New Roman"/>
          <w:i/>
          <w:iCs/>
        </w:rPr>
        <w:t>Merabishvili</w:t>
      </w:r>
      <w:proofErr w:type="spellEnd"/>
      <w:r w:rsidRPr="00432C3B">
        <w:rPr>
          <w:rFonts w:ascii="Times New Roman" w:hAnsi="Times New Roman" w:cs="Times New Roman"/>
        </w:rPr>
        <w:t xml:space="preserve">, précité, § 302, et </w:t>
      </w:r>
      <w:r w:rsidRPr="00432C3B">
        <w:rPr>
          <w:rFonts w:ascii="Times New Roman" w:hAnsi="Times New Roman" w:cs="Times New Roman"/>
          <w:i/>
          <w:iCs/>
        </w:rPr>
        <w:t>L.B. c. Hongrie</w:t>
      </w:r>
      <w:r w:rsidRPr="00432C3B">
        <w:rPr>
          <w:rFonts w:ascii="Times New Roman" w:hAnsi="Times New Roman" w:cs="Times New Roman"/>
        </w:rPr>
        <w:t>, précité, § 109).</w:t>
      </w:r>
    </w:p>
    <w:p w14:paraId="4144D645" w14:textId="77777777" w:rsidR="00A045DF" w:rsidRPr="00432C3B" w:rsidRDefault="00A045DF" w:rsidP="00A045DF">
      <w:pPr>
        <w:pStyle w:val="JuHalpha"/>
        <w:rPr>
          <w:rFonts w:ascii="Times New Roman" w:hAnsi="Times New Roman" w:cs="Times New Roman"/>
          <w:color w:val="auto"/>
          <w:sz w:val="24"/>
          <w:szCs w:val="24"/>
        </w:rPr>
      </w:pPr>
      <w:r w:rsidRPr="00432C3B">
        <w:rPr>
          <w:rFonts w:ascii="Times New Roman" w:hAnsi="Times New Roman" w:cs="Times New Roman"/>
          <w:color w:val="auto"/>
          <w:sz w:val="24"/>
          <w:szCs w:val="24"/>
        </w:rPr>
        <w:t>Sur la nécessité des ingérences</w:t>
      </w:r>
    </w:p>
    <w:p w14:paraId="08DCF31B"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84</w:t>
      </w:r>
      <w:r w:rsidRPr="00432C3B">
        <w:rPr>
          <w:rFonts w:ascii="Times New Roman" w:hAnsi="Times New Roman" w:cs="Times New Roman"/>
          <w:noProof/>
        </w:rPr>
        <w:fldChar w:fldCharType="end"/>
      </w:r>
      <w:r w:rsidRPr="00432C3B">
        <w:rPr>
          <w:rFonts w:ascii="Times New Roman" w:hAnsi="Times New Roman" w:cs="Times New Roman"/>
        </w:rPr>
        <w:t xml:space="preserve">.  Il y a lieu de rechercher si les juridictions internes ont ménagé un juste équilibre entre les intérêts individuels concurrents en jeu, à savoir, d’une part, la liberté sexuelle de la </w:t>
      </w:r>
      <w:r w:rsidRPr="00432C3B">
        <w:rPr>
          <w:rFonts w:ascii="Times New Roman" w:hAnsi="Times New Roman" w:cs="Times New Roman"/>
        </w:rPr>
        <w:lastRenderedPageBreak/>
        <w:t>requérante, et d’autre part, le droit de son conjoint d’obtenir qu’il soit mis fin au lien matrimonial s’il estime que l’abstinence sexuelle qui lui est imposée rend son maintien intolérable. À cet égard, la Cour n’exclut pas que le maintien forcé d’un époux dans l’union en dépit d’un constat d’altération irrémédiable du lien conjugal puisse, dans certaines circonstances, porter une atteinte excessive à ses droits (</w:t>
      </w:r>
      <w:r w:rsidRPr="00432C3B">
        <w:rPr>
          <w:rFonts w:ascii="Times New Roman" w:hAnsi="Times New Roman" w:cs="Times New Roman"/>
          <w:i/>
        </w:rPr>
        <w:t>Ivanov et Petrova c. Bulgarie</w:t>
      </w:r>
      <w:r w:rsidRPr="00432C3B">
        <w:rPr>
          <w:rFonts w:ascii="Times New Roman" w:hAnsi="Times New Roman" w:cs="Times New Roman"/>
        </w:rPr>
        <w:t xml:space="preserve"> (déc.), n</w:t>
      </w:r>
      <w:r w:rsidRPr="00432C3B">
        <w:rPr>
          <w:rFonts w:ascii="Times New Roman" w:hAnsi="Times New Roman" w:cs="Times New Roman"/>
          <w:vertAlign w:val="superscript"/>
        </w:rPr>
        <w:t>o</w:t>
      </w:r>
      <w:r w:rsidRPr="00432C3B">
        <w:rPr>
          <w:rFonts w:ascii="Times New Roman" w:hAnsi="Times New Roman" w:cs="Times New Roman"/>
        </w:rPr>
        <w:t xml:space="preserve"> 15001/04, § 61, 14 juin 2011, et </w:t>
      </w:r>
      <w:bookmarkStart w:id="25" w:name="_cl1474"/>
      <w:proofErr w:type="spellStart"/>
      <w:r w:rsidRPr="00432C3B">
        <w:rPr>
          <w:rFonts w:ascii="Times New Roman" w:hAnsi="Times New Roman" w:cs="Times New Roman"/>
          <w:i/>
          <w:iCs/>
        </w:rPr>
        <w:t>Babiarz</w:t>
      </w:r>
      <w:proofErr w:type="spellEnd"/>
      <w:r w:rsidRPr="00432C3B">
        <w:rPr>
          <w:rFonts w:ascii="Times New Roman" w:hAnsi="Times New Roman" w:cs="Times New Roman"/>
        </w:rPr>
        <w:t>, précité, § 50 ; v</w:t>
      </w:r>
      <w:bookmarkEnd w:id="25"/>
      <w:r w:rsidRPr="00432C3B">
        <w:rPr>
          <w:rFonts w:ascii="Times New Roman" w:hAnsi="Times New Roman" w:cs="Times New Roman"/>
        </w:rPr>
        <w:t xml:space="preserve">oir, également, </w:t>
      </w:r>
      <w:bookmarkStart w:id="26" w:name="_cl5458"/>
      <w:r w:rsidRPr="00432C3B">
        <w:rPr>
          <w:rFonts w:ascii="Times New Roman" w:hAnsi="Times New Roman" w:cs="Times New Roman"/>
          <w:i/>
          <w:iCs/>
        </w:rPr>
        <w:t>F. c. Suisse</w:t>
      </w:r>
      <w:bookmarkEnd w:id="26"/>
      <w:r w:rsidRPr="00432C3B">
        <w:rPr>
          <w:rFonts w:ascii="Times New Roman" w:hAnsi="Times New Roman" w:cs="Times New Roman"/>
        </w:rPr>
        <w:t>, 18 décembre 1987, § 38, série A n</w:t>
      </w:r>
      <w:r w:rsidRPr="00432C3B">
        <w:rPr>
          <w:rFonts w:ascii="Times New Roman" w:hAnsi="Times New Roman" w:cs="Times New Roman"/>
          <w:vertAlign w:val="superscript"/>
        </w:rPr>
        <w:t>o</w:t>
      </w:r>
      <w:r w:rsidRPr="00432C3B">
        <w:rPr>
          <w:rFonts w:ascii="Times New Roman" w:hAnsi="Times New Roman" w:cs="Times New Roman"/>
        </w:rPr>
        <w:t xml:space="preserve"> 128, et </w:t>
      </w:r>
      <w:proofErr w:type="spellStart"/>
      <w:r w:rsidRPr="00432C3B">
        <w:rPr>
          <w:rFonts w:ascii="Times New Roman" w:hAnsi="Times New Roman" w:cs="Times New Roman"/>
          <w:i/>
        </w:rPr>
        <w:t>Aresti</w:t>
      </w:r>
      <w:proofErr w:type="spellEnd"/>
      <w:r w:rsidRPr="00432C3B">
        <w:rPr>
          <w:rFonts w:ascii="Times New Roman" w:hAnsi="Times New Roman" w:cs="Times New Roman"/>
          <w:i/>
        </w:rPr>
        <w:t xml:space="preserve"> </w:t>
      </w:r>
      <w:proofErr w:type="spellStart"/>
      <w:r w:rsidRPr="00432C3B">
        <w:rPr>
          <w:rFonts w:ascii="Times New Roman" w:hAnsi="Times New Roman" w:cs="Times New Roman"/>
          <w:i/>
        </w:rPr>
        <w:t>Charalambous</w:t>
      </w:r>
      <w:proofErr w:type="spellEnd"/>
      <w:r w:rsidRPr="00432C3B">
        <w:rPr>
          <w:rFonts w:ascii="Times New Roman" w:hAnsi="Times New Roman" w:cs="Times New Roman"/>
          <w:i/>
        </w:rPr>
        <w:t xml:space="preserve"> c. Chypre</w:t>
      </w:r>
      <w:r w:rsidRPr="00432C3B">
        <w:rPr>
          <w:rFonts w:ascii="Times New Roman" w:hAnsi="Times New Roman" w:cs="Times New Roman"/>
        </w:rPr>
        <w:t xml:space="preserve"> (déc.), n</w:t>
      </w:r>
      <w:r w:rsidRPr="00432C3B">
        <w:rPr>
          <w:rFonts w:ascii="Times New Roman" w:hAnsi="Times New Roman" w:cs="Times New Roman"/>
          <w:vertAlign w:val="superscript"/>
        </w:rPr>
        <w:t>o</w:t>
      </w:r>
      <w:r w:rsidRPr="00432C3B">
        <w:rPr>
          <w:rFonts w:ascii="Times New Roman" w:hAnsi="Times New Roman" w:cs="Times New Roman"/>
        </w:rPr>
        <w:t> 43151/04, § 56, 19 juillet 2007).</w:t>
      </w:r>
    </w:p>
    <w:p w14:paraId="1F6704B7"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85</w:t>
      </w:r>
      <w:r w:rsidRPr="00432C3B">
        <w:rPr>
          <w:rFonts w:ascii="Times New Roman" w:hAnsi="Times New Roman" w:cs="Times New Roman"/>
          <w:noProof/>
        </w:rPr>
        <w:fldChar w:fldCharType="end"/>
      </w:r>
      <w:r w:rsidRPr="00432C3B">
        <w:rPr>
          <w:rFonts w:ascii="Times New Roman" w:hAnsi="Times New Roman" w:cs="Times New Roman"/>
        </w:rPr>
        <w:t>.  Dans la mesure où les ingérences en cause touchent à l’un des aspects les plus intimes de la vie privée de la requérante, la Cour estime que la marge d’appréciation laissée aux États contractants est étroite (</w:t>
      </w:r>
      <w:r w:rsidRPr="00432C3B">
        <w:rPr>
          <w:rFonts w:ascii="Times New Roman" w:hAnsi="Times New Roman" w:cs="Times New Roman"/>
          <w:i/>
          <w:iCs/>
        </w:rPr>
        <w:t>Dudgeon</w:t>
      </w:r>
      <w:r w:rsidRPr="00432C3B">
        <w:rPr>
          <w:rFonts w:ascii="Times New Roman" w:hAnsi="Times New Roman" w:cs="Times New Roman"/>
        </w:rPr>
        <w:t xml:space="preserve">, précité, § 52, et </w:t>
      </w:r>
      <w:bookmarkStart w:id="27" w:name="_cl15383"/>
      <w:r w:rsidRPr="00432C3B">
        <w:rPr>
          <w:rFonts w:ascii="Times New Roman" w:hAnsi="Times New Roman" w:cs="Times New Roman"/>
          <w:i/>
          <w:iCs/>
        </w:rPr>
        <w:t xml:space="preserve">S. et </w:t>
      </w:r>
      <w:proofErr w:type="spellStart"/>
      <w:r w:rsidRPr="00432C3B">
        <w:rPr>
          <w:rFonts w:ascii="Times New Roman" w:hAnsi="Times New Roman" w:cs="Times New Roman"/>
          <w:i/>
          <w:iCs/>
        </w:rPr>
        <w:t>Marper</w:t>
      </w:r>
      <w:proofErr w:type="spellEnd"/>
      <w:r w:rsidRPr="00432C3B">
        <w:rPr>
          <w:rFonts w:ascii="Times New Roman" w:hAnsi="Times New Roman" w:cs="Times New Roman"/>
          <w:i/>
          <w:iCs/>
        </w:rPr>
        <w:t xml:space="preserve"> c. Royaume-Uni</w:t>
      </w:r>
      <w:bookmarkEnd w:id="27"/>
      <w:r w:rsidRPr="00432C3B">
        <w:rPr>
          <w:rFonts w:ascii="Times New Roman" w:hAnsi="Times New Roman" w:cs="Times New Roman"/>
        </w:rPr>
        <w:t xml:space="preserve"> [GC], n</w:t>
      </w:r>
      <w:r w:rsidRPr="00432C3B">
        <w:rPr>
          <w:rFonts w:ascii="Times New Roman" w:hAnsi="Times New Roman" w:cs="Times New Roman"/>
          <w:vertAlign w:val="superscript"/>
        </w:rPr>
        <w:t>os</w:t>
      </w:r>
      <w:r w:rsidRPr="00432C3B">
        <w:rPr>
          <w:rFonts w:ascii="Times New Roman" w:hAnsi="Times New Roman" w:cs="Times New Roman"/>
        </w:rPr>
        <w:t xml:space="preserve"> 30562/04 et 30566/04, § 102, CEDH 2008). Elle rappelle que seules des raisons particulièrement graves peuvent justifier des ingérences des pouvoirs publics dans le domaine de la sexualité (</w:t>
      </w:r>
      <w:r w:rsidRPr="00432C3B">
        <w:rPr>
          <w:rFonts w:ascii="Times New Roman" w:hAnsi="Times New Roman" w:cs="Times New Roman"/>
          <w:i/>
          <w:iCs/>
        </w:rPr>
        <w:t>Dudgeon</w:t>
      </w:r>
      <w:r w:rsidRPr="00432C3B">
        <w:rPr>
          <w:rFonts w:ascii="Times New Roman" w:hAnsi="Times New Roman" w:cs="Times New Roman"/>
        </w:rPr>
        <w:t xml:space="preserve">, précité, § 52, </w:t>
      </w:r>
      <w:r w:rsidRPr="00432C3B">
        <w:rPr>
          <w:rFonts w:ascii="Times New Roman" w:hAnsi="Times New Roman" w:cs="Times New Roman"/>
          <w:i/>
          <w:iCs/>
        </w:rPr>
        <w:t>Smith et Grady</w:t>
      </w:r>
      <w:r w:rsidRPr="00432C3B">
        <w:rPr>
          <w:rFonts w:ascii="Times New Roman" w:hAnsi="Times New Roman" w:cs="Times New Roman"/>
        </w:rPr>
        <w:t xml:space="preserve">, précité, § 89, et </w:t>
      </w:r>
      <w:r w:rsidRPr="00432C3B">
        <w:rPr>
          <w:rFonts w:ascii="Times New Roman" w:hAnsi="Times New Roman" w:cs="Times New Roman"/>
          <w:i/>
          <w:iCs/>
        </w:rPr>
        <w:t>K.A. et A.D. c. Belgique</w:t>
      </w:r>
      <w:r w:rsidRPr="00432C3B">
        <w:rPr>
          <w:rFonts w:ascii="Times New Roman" w:hAnsi="Times New Roman" w:cs="Times New Roman"/>
        </w:rPr>
        <w:t xml:space="preserve">, précité, § 84). Sur ce point, l’espèce se différencie nettement de l’affaire </w:t>
      </w:r>
      <w:proofErr w:type="spellStart"/>
      <w:r w:rsidRPr="00432C3B">
        <w:rPr>
          <w:rFonts w:ascii="Times New Roman" w:hAnsi="Times New Roman" w:cs="Times New Roman"/>
          <w:i/>
          <w:iCs/>
        </w:rPr>
        <w:t>Babiarz</w:t>
      </w:r>
      <w:proofErr w:type="spellEnd"/>
      <w:r w:rsidRPr="00432C3B">
        <w:rPr>
          <w:rFonts w:ascii="Times New Roman" w:hAnsi="Times New Roman" w:cs="Times New Roman"/>
        </w:rPr>
        <w:t xml:space="preserve">, où aucun des droits invoqués par les époux dans le cadre de la procédure de divorce qui les opposait n’avait une telle nature ou une telle importance (comparer avec </w:t>
      </w:r>
      <w:proofErr w:type="spellStart"/>
      <w:r w:rsidRPr="00432C3B">
        <w:rPr>
          <w:rFonts w:ascii="Times New Roman" w:hAnsi="Times New Roman" w:cs="Times New Roman"/>
          <w:i/>
          <w:iCs/>
        </w:rPr>
        <w:t>Babiarz</w:t>
      </w:r>
      <w:proofErr w:type="spellEnd"/>
      <w:r w:rsidRPr="00432C3B">
        <w:rPr>
          <w:rFonts w:ascii="Times New Roman" w:hAnsi="Times New Roman" w:cs="Times New Roman"/>
        </w:rPr>
        <w:t>, précité, §§ 37 et 47).</w:t>
      </w:r>
    </w:p>
    <w:p w14:paraId="4E2C92E8" w14:textId="5F782FC1"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86</w:t>
      </w:r>
      <w:r w:rsidRPr="00432C3B">
        <w:rPr>
          <w:rFonts w:ascii="Times New Roman" w:hAnsi="Times New Roman" w:cs="Times New Roman"/>
          <w:noProof/>
        </w:rPr>
        <w:fldChar w:fldCharType="end"/>
      </w:r>
      <w:r w:rsidRPr="00432C3B">
        <w:rPr>
          <w:rFonts w:ascii="Times New Roman" w:hAnsi="Times New Roman" w:cs="Times New Roman"/>
        </w:rPr>
        <w:t>.  En l’espèce, la Cour constate que le devoir conjugal, tel qu’il est énoncé dans l’ordre juridique interne et qu’il a été réaffirmé dans la présente affaire (paragraphes </w:t>
      </w:r>
      <w:r w:rsidRPr="00432C3B">
        <w:rPr>
          <w:rFonts w:ascii="Times New Roman" w:hAnsi="Times New Roman" w:cs="Times New Roman"/>
        </w:rPr>
        <w:fldChar w:fldCharType="begin"/>
      </w:r>
      <w:r w:rsidRPr="00432C3B">
        <w:rPr>
          <w:rFonts w:ascii="Times New Roman" w:hAnsi="Times New Roman" w:cs="Times New Roman"/>
        </w:rPr>
        <w:instrText xml:space="preserve"> REF Faits_CA_motifs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hAnsi="Times New Roman" w:cs="Times New Roman"/>
          <w:noProof/>
        </w:rPr>
        <w:t>14</w:t>
      </w:r>
      <w:r w:rsidRPr="00432C3B">
        <w:rPr>
          <w:rFonts w:ascii="Times New Roman" w:hAnsi="Times New Roman" w:cs="Times New Roman"/>
        </w:rPr>
        <w:fldChar w:fldCharType="end"/>
      </w:r>
      <w:r w:rsidRPr="00432C3B">
        <w:rPr>
          <w:rFonts w:ascii="Times New Roman" w:hAnsi="Times New Roman" w:cs="Times New Roman"/>
        </w:rPr>
        <w:t xml:space="preserve"> et </w:t>
      </w:r>
      <w:r w:rsidRPr="00432C3B">
        <w:rPr>
          <w:rFonts w:ascii="Times New Roman" w:hAnsi="Times New Roman" w:cs="Times New Roman"/>
        </w:rPr>
        <w:fldChar w:fldCharType="begin"/>
      </w:r>
      <w:r w:rsidRPr="00432C3B">
        <w:rPr>
          <w:rFonts w:ascii="Times New Roman" w:hAnsi="Times New Roman" w:cs="Times New Roman"/>
        </w:rPr>
        <w:instrText xml:space="preserve"> REF Faits_Cour_de_Cass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hAnsi="Times New Roman" w:cs="Times New Roman"/>
          <w:noProof/>
        </w:rPr>
        <w:t>19</w:t>
      </w:r>
      <w:r w:rsidRPr="00432C3B">
        <w:rPr>
          <w:rFonts w:ascii="Times New Roman" w:hAnsi="Times New Roman" w:cs="Times New Roman"/>
        </w:rPr>
        <w:fldChar w:fldCharType="end"/>
      </w:r>
      <w:r w:rsidRPr="00432C3B">
        <w:rPr>
          <w:rFonts w:ascii="Times New Roman" w:hAnsi="Times New Roman" w:cs="Times New Roman"/>
        </w:rPr>
        <w:t xml:space="preserve"> ci-dessus), ne prend nullement en considération le consentement aux relations sexuelles, alors même que celui-ci constitue une limite fondamentale à l’exercice de la liberté sexuelle d’autrui.</w:t>
      </w:r>
    </w:p>
    <w:p w14:paraId="1F0CB17D" w14:textId="20CCFB46"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87</w:t>
      </w:r>
      <w:r w:rsidRPr="00432C3B">
        <w:rPr>
          <w:rFonts w:ascii="Times New Roman" w:hAnsi="Times New Roman" w:cs="Times New Roman"/>
          <w:noProof/>
        </w:rPr>
        <w:fldChar w:fldCharType="end"/>
      </w:r>
      <w:r w:rsidRPr="00432C3B">
        <w:rPr>
          <w:rFonts w:ascii="Times New Roman" w:hAnsi="Times New Roman" w:cs="Times New Roman"/>
        </w:rPr>
        <w:t xml:space="preserve">.  À cet égard, la Cour rappelle que tout acte sexuel non consenti est constitutif d’une forme de violence sexuelle (voir, sur ce point, </w:t>
      </w:r>
      <w:r w:rsidRPr="00432C3B">
        <w:rPr>
          <w:rFonts w:ascii="Times New Roman" w:hAnsi="Times New Roman" w:cs="Times New Roman"/>
          <w:i/>
          <w:iCs/>
        </w:rPr>
        <w:t>M.C. c. Bulgarie</w:t>
      </w:r>
      <w:r w:rsidRPr="00432C3B">
        <w:rPr>
          <w:rFonts w:ascii="Times New Roman" w:hAnsi="Times New Roman" w:cs="Times New Roman"/>
        </w:rPr>
        <w:t>, précité, § 163). Elle juge en outre de façon constante, sous l’angle de l’article 8 seul ou combiné à l’article 3, que les États contractants doivent instaurer et mettre en œuvre un cadre juridique adapté offrant une protection contre les actes de violence pouvant être commis par des particuliers (</w:t>
      </w:r>
      <w:proofErr w:type="spellStart"/>
      <w:r w:rsidRPr="00432C3B">
        <w:rPr>
          <w:rFonts w:ascii="Times New Roman" w:hAnsi="Times New Roman" w:cs="Times New Roman"/>
          <w:i/>
          <w:iCs/>
        </w:rPr>
        <w:t>Söderman</w:t>
      </w:r>
      <w:proofErr w:type="spellEnd"/>
      <w:r w:rsidRPr="00432C3B">
        <w:rPr>
          <w:rFonts w:ascii="Times New Roman" w:hAnsi="Times New Roman" w:cs="Times New Roman"/>
        </w:rPr>
        <w:t>, précité, § 80 et références citées). Des obligations relatives à la prévention des violences sexuelles et domestiques ont d’ailleurs été introduites aux articles 5 § 2 et 12 § 2 de la Convention d’Istanbul (paragraphe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CadreJur_ConventionIstanbul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hAnsi="Times New Roman" w:cs="Times New Roman"/>
          <w:noProof/>
        </w:rPr>
        <w:t>34</w:t>
      </w:r>
      <w:r w:rsidRPr="00432C3B">
        <w:rPr>
          <w:rFonts w:ascii="Times New Roman" w:hAnsi="Times New Roman" w:cs="Times New Roman"/>
        </w:rPr>
        <w:fldChar w:fldCharType="end"/>
      </w:r>
      <w:r w:rsidRPr="00432C3B">
        <w:rPr>
          <w:rFonts w:ascii="Times New Roman" w:hAnsi="Times New Roman" w:cs="Times New Roman"/>
        </w:rPr>
        <w:t xml:space="preserve"> ci-dessus).</w:t>
      </w:r>
    </w:p>
    <w:p w14:paraId="4501CEC5" w14:textId="09661BF0"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88</w:t>
      </w:r>
      <w:r w:rsidRPr="00432C3B">
        <w:rPr>
          <w:rFonts w:ascii="Times New Roman" w:hAnsi="Times New Roman" w:cs="Times New Roman"/>
          <w:noProof/>
        </w:rPr>
        <w:fldChar w:fldCharType="end"/>
      </w:r>
      <w:r w:rsidRPr="00432C3B">
        <w:rPr>
          <w:rFonts w:ascii="Times New Roman" w:hAnsi="Times New Roman" w:cs="Times New Roman"/>
        </w:rPr>
        <w:t>.  Or, la Cour constate que l’obligation litigieuse ne garantit pas le libre consentement aux relations sexuelles au sein du couple. Cette règle de droit a une dimension prescriptive à l’égard des époux, dans la conduite de leur vie sexuelle. En outre, sa méconnaissance n’est pas sans conséquence sur le plan juridique. D’une part, le refus de se soumettre au devoir conjugal peut, dans les conditions prévues à l’article 242 du code civil, être considéré comme une faute justifiant le prononcé du divorce, comme ce fût le cas en l’espèce (paragraphes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CadreJur_CodeCivil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eastAsia="Times New Roman" w:hAnsi="Times New Roman" w:cs="Times New Roman"/>
          <w:noProof/>
        </w:rPr>
        <w:t>20</w:t>
      </w:r>
      <w:r w:rsidRPr="00432C3B">
        <w:rPr>
          <w:rFonts w:ascii="Times New Roman" w:hAnsi="Times New Roman" w:cs="Times New Roman"/>
        </w:rPr>
        <w:fldChar w:fldCharType="end"/>
      </w:r>
      <w:r w:rsidRPr="00432C3B">
        <w:rPr>
          <w:rFonts w:ascii="Times New Roman" w:hAnsi="Times New Roman" w:cs="Times New Roman"/>
        </w:rPr>
        <w:t xml:space="preserve"> et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CadreJur_JpceDevoirConjugal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eastAsia="Times New Roman" w:hAnsi="Times New Roman" w:cs="Times New Roman"/>
          <w:noProof/>
        </w:rPr>
        <w:t>23</w:t>
      </w:r>
      <w:r w:rsidRPr="00432C3B">
        <w:rPr>
          <w:rFonts w:ascii="Times New Roman" w:hAnsi="Times New Roman" w:cs="Times New Roman"/>
        </w:rPr>
        <w:fldChar w:fldCharType="end"/>
      </w:r>
      <w:r w:rsidRPr="00432C3B">
        <w:rPr>
          <w:rFonts w:ascii="Times New Roman" w:hAnsi="Times New Roman" w:cs="Times New Roman"/>
        </w:rPr>
        <w:t>-</w:t>
      </w:r>
      <w:r w:rsidRPr="00432C3B">
        <w:rPr>
          <w:rFonts w:ascii="Times New Roman" w:hAnsi="Times New Roman" w:cs="Times New Roman"/>
        </w:rPr>
        <w:fldChar w:fldCharType="begin"/>
      </w:r>
      <w:r w:rsidRPr="00432C3B">
        <w:rPr>
          <w:rFonts w:ascii="Times New Roman" w:hAnsi="Times New Roman" w:cs="Times New Roman"/>
        </w:rPr>
        <w:instrText xml:space="preserve"> REF CadreJur_JpceDevoirConjugal_ApprécFaute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eastAsia="Times New Roman" w:hAnsi="Times New Roman" w:cs="Times New Roman"/>
          <w:noProof/>
        </w:rPr>
        <w:t>26</w:t>
      </w:r>
      <w:r w:rsidRPr="00432C3B">
        <w:rPr>
          <w:rFonts w:ascii="Times New Roman" w:hAnsi="Times New Roman" w:cs="Times New Roman"/>
        </w:rPr>
        <w:fldChar w:fldCharType="end"/>
      </w:r>
      <w:r w:rsidRPr="00432C3B">
        <w:rPr>
          <w:rFonts w:ascii="Times New Roman" w:hAnsi="Times New Roman" w:cs="Times New Roman"/>
        </w:rPr>
        <w:t xml:space="preserve"> ci-dessus). D’autre part, il peut entraîner des conséquences pécuniaires et fonder une action indemnitaire (paragraphes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CadreJur_L2004_439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hAnsi="Times New Roman" w:cs="Times New Roman"/>
          <w:noProof/>
        </w:rPr>
        <w:t>22</w:t>
      </w:r>
      <w:r w:rsidRPr="00432C3B">
        <w:rPr>
          <w:rFonts w:ascii="Times New Roman" w:hAnsi="Times New Roman" w:cs="Times New Roman"/>
        </w:rPr>
        <w:fldChar w:fldCharType="end"/>
      </w:r>
      <w:r w:rsidRPr="00432C3B">
        <w:rPr>
          <w:rFonts w:ascii="Times New Roman" w:hAnsi="Times New Roman" w:cs="Times New Roman"/>
        </w:rPr>
        <w:t xml:space="preserve"> et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CadreJur_JspceDevoirConjugal_RC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eastAsia="Times New Roman" w:hAnsi="Times New Roman" w:cs="Times New Roman"/>
          <w:noProof/>
        </w:rPr>
        <w:t>27</w:t>
      </w:r>
      <w:r w:rsidRPr="00432C3B">
        <w:rPr>
          <w:rFonts w:ascii="Times New Roman" w:hAnsi="Times New Roman" w:cs="Times New Roman"/>
        </w:rPr>
        <w:fldChar w:fldCharType="end"/>
      </w:r>
      <w:r w:rsidRPr="00432C3B">
        <w:rPr>
          <w:rFonts w:ascii="Times New Roman" w:hAnsi="Times New Roman" w:cs="Times New Roman"/>
        </w:rPr>
        <w:t xml:space="preserve"> ci-dessus).</w:t>
      </w:r>
    </w:p>
    <w:p w14:paraId="7166248B"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89</w:t>
      </w:r>
      <w:r w:rsidRPr="00432C3B">
        <w:rPr>
          <w:rFonts w:ascii="Times New Roman" w:hAnsi="Times New Roman" w:cs="Times New Roman"/>
          <w:noProof/>
        </w:rPr>
        <w:fldChar w:fldCharType="end"/>
      </w:r>
      <w:r w:rsidRPr="00432C3B">
        <w:rPr>
          <w:rFonts w:ascii="Times New Roman" w:hAnsi="Times New Roman" w:cs="Times New Roman"/>
        </w:rPr>
        <w:t>.  La Cour en déduit que l’existence même d’une telle obligation matrimoniale est à la fois contraire à la liberté sexuelle et au droit de disposer de son corps et à l’obligation positive de prévention qui pèse sur les États contractants en matière de lutte contre les violences domestiques et sexuelles.</w:t>
      </w:r>
    </w:p>
    <w:p w14:paraId="7694E58C" w14:textId="3D5A7831"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90</w:t>
      </w:r>
      <w:r w:rsidRPr="00432C3B">
        <w:rPr>
          <w:rFonts w:ascii="Times New Roman" w:hAnsi="Times New Roman" w:cs="Times New Roman"/>
          <w:noProof/>
        </w:rPr>
        <w:fldChar w:fldCharType="end"/>
      </w:r>
      <w:r w:rsidRPr="00432C3B">
        <w:rPr>
          <w:rFonts w:ascii="Times New Roman" w:hAnsi="Times New Roman" w:cs="Times New Roman"/>
        </w:rPr>
        <w:t>.  Si le Gouvernement fait valoir que l’incrimination des atteintes sexuelles commises au sein du couple suffit à assurer la protection de la liberté sexuelle de chacun, la Cour estime que cet interdit pénal ne suffit pas à priver d’effet l’obligation civile introduite par la jurisprudence. Elle observe que cette dernière s’inscrit à rebours des avancées opérées en matière pénale (paragraphes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CadreJur_ArrêtCrim1990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hAnsi="Times New Roman" w:cs="Times New Roman"/>
          <w:noProof/>
        </w:rPr>
        <w:t>30</w:t>
      </w:r>
      <w:r w:rsidRPr="00432C3B">
        <w:rPr>
          <w:rFonts w:ascii="Times New Roman" w:hAnsi="Times New Roman" w:cs="Times New Roman"/>
        </w:rPr>
        <w:fldChar w:fldCharType="end"/>
      </w:r>
      <w:r w:rsidRPr="00432C3B">
        <w:rPr>
          <w:rFonts w:ascii="Times New Roman" w:hAnsi="Times New Roman" w:cs="Times New Roman"/>
        </w:rPr>
        <w:t xml:space="preserve"> à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CadreJur_L2010_769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hAnsi="Times New Roman" w:cs="Times New Roman"/>
          <w:noProof/>
        </w:rPr>
        <w:t>33</w:t>
      </w:r>
      <w:r w:rsidRPr="00432C3B">
        <w:rPr>
          <w:rFonts w:ascii="Times New Roman" w:hAnsi="Times New Roman" w:cs="Times New Roman"/>
        </w:rPr>
        <w:fldChar w:fldCharType="end"/>
      </w:r>
      <w:r w:rsidRPr="00432C3B">
        <w:rPr>
          <w:rFonts w:ascii="Times New Roman" w:hAnsi="Times New Roman" w:cs="Times New Roman"/>
        </w:rPr>
        <w:t xml:space="preserve"> ci-dessus), ainsi que des engagements internationaux pris par la France pour lutter contre toute forme de violence domestique (paragraphe </w:t>
      </w:r>
      <w:r w:rsidRPr="00432C3B">
        <w:rPr>
          <w:rFonts w:ascii="Times New Roman" w:hAnsi="Times New Roman" w:cs="Times New Roman"/>
        </w:rPr>
        <w:fldChar w:fldCharType="begin"/>
      </w:r>
      <w:r w:rsidRPr="00432C3B">
        <w:rPr>
          <w:rFonts w:ascii="Times New Roman" w:hAnsi="Times New Roman" w:cs="Times New Roman"/>
        </w:rPr>
        <w:instrText xml:space="preserve"> REF CadreJur_ConventionIstanbul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hAnsi="Times New Roman" w:cs="Times New Roman"/>
          <w:noProof/>
        </w:rPr>
        <w:t>34</w:t>
      </w:r>
      <w:r w:rsidRPr="00432C3B">
        <w:rPr>
          <w:rFonts w:ascii="Times New Roman" w:hAnsi="Times New Roman" w:cs="Times New Roman"/>
        </w:rPr>
        <w:fldChar w:fldCharType="end"/>
      </w:r>
      <w:r w:rsidRPr="00432C3B">
        <w:rPr>
          <w:rFonts w:ascii="Times New Roman" w:hAnsi="Times New Roman" w:cs="Times New Roman"/>
        </w:rPr>
        <w:t xml:space="preserve"> ci-dessus).</w:t>
      </w:r>
    </w:p>
    <w:p w14:paraId="49373235"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91</w:t>
      </w:r>
      <w:r w:rsidRPr="00432C3B">
        <w:rPr>
          <w:rFonts w:ascii="Times New Roman" w:hAnsi="Times New Roman" w:cs="Times New Roman"/>
          <w:noProof/>
        </w:rPr>
        <w:fldChar w:fldCharType="end"/>
      </w:r>
      <w:r w:rsidRPr="00432C3B">
        <w:rPr>
          <w:rFonts w:ascii="Times New Roman" w:hAnsi="Times New Roman" w:cs="Times New Roman"/>
        </w:rPr>
        <w:t xml:space="preserve">.  La Cour ne saurait admettre, comme le suggère le Gouvernement, que le consentement au mariage emporte un consentement aux relations sexuelles futures. Une telle justification </w:t>
      </w:r>
      <w:r w:rsidRPr="00432C3B">
        <w:rPr>
          <w:rFonts w:ascii="Times New Roman" w:hAnsi="Times New Roman" w:cs="Times New Roman"/>
        </w:rPr>
        <w:lastRenderedPageBreak/>
        <w:t>serait de nature à ôter au viol conjugal son caractère répréhensible. Or, la Cour juge de longue date que l’idée qu’un mari ne puisse pas être poursuivi pour le viol de sa femme est inacceptable et qu’elle est contraire non seulement à une notion civilisée du mariage mais encore et surtout aux objectifs fondamentaux de la Convention dont l’essence même est le respect de la dignité et de la liberté humaines (</w:t>
      </w:r>
      <w:r w:rsidRPr="00432C3B">
        <w:rPr>
          <w:rFonts w:ascii="Times New Roman" w:hAnsi="Times New Roman" w:cs="Times New Roman"/>
          <w:i/>
          <w:iCs/>
        </w:rPr>
        <w:t>S.W. c. Royaume</w:t>
      </w:r>
      <w:r w:rsidRPr="00432C3B">
        <w:rPr>
          <w:rFonts w:ascii="Times New Roman" w:hAnsi="Times New Roman" w:cs="Times New Roman"/>
          <w:i/>
          <w:iCs/>
        </w:rPr>
        <w:noBreakHyphen/>
        <w:t>Uni</w:t>
      </w:r>
      <w:r w:rsidRPr="00432C3B">
        <w:rPr>
          <w:rFonts w:ascii="Times New Roman" w:hAnsi="Times New Roman" w:cs="Times New Roman"/>
        </w:rPr>
        <w:t xml:space="preserve">, précité, § 44, et </w:t>
      </w:r>
      <w:r w:rsidRPr="00432C3B">
        <w:rPr>
          <w:rFonts w:ascii="Times New Roman" w:hAnsi="Times New Roman" w:cs="Times New Roman"/>
          <w:i/>
          <w:iCs/>
        </w:rPr>
        <w:t>C.R. c. Royaume-Uni</w:t>
      </w:r>
      <w:r w:rsidRPr="00432C3B">
        <w:rPr>
          <w:rFonts w:ascii="Times New Roman" w:hAnsi="Times New Roman" w:cs="Times New Roman"/>
        </w:rPr>
        <w:t>, 22 novembre 1995, § 42, série A n</w:t>
      </w:r>
      <w:r w:rsidRPr="00432C3B">
        <w:rPr>
          <w:rFonts w:ascii="Times New Roman" w:hAnsi="Times New Roman" w:cs="Times New Roman"/>
          <w:vertAlign w:val="superscript"/>
        </w:rPr>
        <w:t>o</w:t>
      </w:r>
      <w:r w:rsidRPr="00432C3B">
        <w:rPr>
          <w:rFonts w:ascii="Times New Roman" w:hAnsi="Times New Roman" w:cs="Times New Roman"/>
        </w:rPr>
        <w:t> 335-C). Aux yeux de la Cour, le consentement doit traduire la libre volonté d’avoir une relation sexuelle déterminée, au moment où elle intervient et en tenant compte de ses circonstances.</w:t>
      </w:r>
    </w:p>
    <w:p w14:paraId="658DE8F4" w14:textId="52C1B5B5"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92</w:t>
      </w:r>
      <w:r w:rsidRPr="00432C3B">
        <w:rPr>
          <w:rFonts w:ascii="Times New Roman" w:hAnsi="Times New Roman" w:cs="Times New Roman"/>
          <w:noProof/>
        </w:rPr>
        <w:fldChar w:fldCharType="end"/>
      </w:r>
      <w:r w:rsidRPr="00432C3B">
        <w:rPr>
          <w:rFonts w:ascii="Times New Roman" w:hAnsi="Times New Roman" w:cs="Times New Roman"/>
        </w:rPr>
        <w:t>.  Au demeurant, la Cour ne discerne, dans la présente affaire, aucune raison d’une particulière gravité propre à justifier une ingérence dans le champ de la sexualité (</w:t>
      </w:r>
      <w:r w:rsidRPr="00432C3B">
        <w:rPr>
          <w:rFonts w:ascii="Times New Roman" w:hAnsi="Times New Roman" w:cs="Times New Roman"/>
          <w:i/>
          <w:iCs/>
        </w:rPr>
        <w:t>Dudgeon</w:t>
      </w:r>
      <w:r w:rsidRPr="00432C3B">
        <w:rPr>
          <w:rFonts w:ascii="Times New Roman" w:hAnsi="Times New Roman" w:cs="Times New Roman"/>
        </w:rPr>
        <w:t xml:space="preserve">, précité, § 52, </w:t>
      </w:r>
      <w:r w:rsidRPr="00432C3B">
        <w:rPr>
          <w:rFonts w:ascii="Times New Roman" w:hAnsi="Times New Roman" w:cs="Times New Roman"/>
          <w:i/>
          <w:iCs/>
        </w:rPr>
        <w:t>Smith et Grady</w:t>
      </w:r>
      <w:r w:rsidRPr="00432C3B">
        <w:rPr>
          <w:rFonts w:ascii="Times New Roman" w:hAnsi="Times New Roman" w:cs="Times New Roman"/>
        </w:rPr>
        <w:t xml:space="preserve">, précité, § 89, et </w:t>
      </w:r>
      <w:r w:rsidRPr="00432C3B">
        <w:rPr>
          <w:rFonts w:ascii="Times New Roman" w:hAnsi="Times New Roman" w:cs="Times New Roman"/>
          <w:i/>
          <w:iCs/>
        </w:rPr>
        <w:t>K.A. et A.D. c. Belgique</w:t>
      </w:r>
      <w:r w:rsidRPr="00432C3B">
        <w:rPr>
          <w:rFonts w:ascii="Times New Roman" w:hAnsi="Times New Roman" w:cs="Times New Roman"/>
        </w:rPr>
        <w:t>, précité, § 84). Elle relève que le conjoint de la requérante avait la possibilité de solliciter le divorce pour altération définitive du lien conjugal. Il lui incombait à cet égard de respecter les prescriptions de l’article 1077 du code de procédure civile, en présentant cette demande à titre principal et non à titre subsidiaire, comme il le fit en l’espèce (paragraphes </w:t>
      </w:r>
      <w:r w:rsidRPr="00432C3B">
        <w:rPr>
          <w:rFonts w:ascii="Times New Roman" w:hAnsi="Times New Roman" w:cs="Times New Roman"/>
        </w:rPr>
        <w:fldChar w:fldCharType="begin"/>
      </w:r>
      <w:r w:rsidRPr="00432C3B">
        <w:rPr>
          <w:rFonts w:ascii="Times New Roman" w:hAnsi="Times New Roman" w:cs="Times New Roman"/>
        </w:rPr>
        <w:instrText xml:space="preserve"> REF Faits_1077 \h </w:instrText>
      </w:r>
      <w:r w:rsidR="00432C3B" w:rsidRPr="00432C3B">
        <w:rPr>
          <w:rFonts w:ascii="Times New Roman" w:hAnsi="Times New Roman" w:cs="Times New Roman"/>
        </w:rPr>
        <w:instrText xml:space="preserve"> \* MERGEFORMAT </w:instrText>
      </w:r>
      <w:r w:rsidRPr="00432C3B">
        <w:rPr>
          <w:rFonts w:ascii="Times New Roman" w:hAnsi="Times New Roman" w:cs="Times New Roman"/>
        </w:rPr>
      </w:r>
      <w:r w:rsidRPr="00432C3B">
        <w:rPr>
          <w:rFonts w:ascii="Times New Roman" w:hAnsi="Times New Roman" w:cs="Times New Roman"/>
        </w:rPr>
        <w:fldChar w:fldCharType="separate"/>
      </w:r>
      <w:r w:rsidRPr="00432C3B">
        <w:rPr>
          <w:rFonts w:ascii="Times New Roman" w:hAnsi="Times New Roman" w:cs="Times New Roman"/>
          <w:noProof/>
        </w:rPr>
        <w:t>13</w:t>
      </w:r>
      <w:r w:rsidRPr="00432C3B">
        <w:rPr>
          <w:rFonts w:ascii="Times New Roman" w:hAnsi="Times New Roman" w:cs="Times New Roman"/>
        </w:rPr>
        <w:fldChar w:fldCharType="end"/>
      </w:r>
      <w:r w:rsidRPr="00432C3B">
        <w:rPr>
          <w:rFonts w:ascii="Times New Roman" w:hAnsi="Times New Roman" w:cs="Times New Roman"/>
        </w:rPr>
        <w:t xml:space="preserve"> et 60 ci-dessus). La défense de ses droits pouvait donc être assurée par d’autres moyens.</w:t>
      </w:r>
    </w:p>
    <w:p w14:paraId="102EC058" w14:textId="77777777" w:rsidR="00A045DF" w:rsidRPr="00432C3B" w:rsidRDefault="00A045DF" w:rsidP="00A045DF">
      <w:pPr>
        <w:pStyle w:val="JuPara"/>
        <w:rPr>
          <w:rFonts w:ascii="Times New Roman" w:hAnsi="Times New Roman" w:cs="Times New Roman"/>
        </w:rPr>
      </w:pPr>
      <w:r w:rsidRPr="00432C3B">
        <w:rPr>
          <w:rFonts w:ascii="Times New Roman" w:hAnsi="Times New Roman" w:cs="Times New Roman"/>
        </w:rPr>
        <w:fldChar w:fldCharType="begin"/>
      </w:r>
      <w:r w:rsidRPr="00432C3B">
        <w:rPr>
          <w:rFonts w:ascii="Times New Roman" w:hAnsi="Times New Roman" w:cs="Times New Roman"/>
        </w:rPr>
        <w:instrText xml:space="preserve"> SEQ level0 \*arabic \* MERGEFORMAT </w:instrText>
      </w:r>
      <w:r w:rsidRPr="00432C3B">
        <w:rPr>
          <w:rFonts w:ascii="Times New Roman" w:hAnsi="Times New Roman" w:cs="Times New Roman"/>
        </w:rPr>
        <w:fldChar w:fldCharType="separate"/>
      </w:r>
      <w:r w:rsidRPr="00432C3B">
        <w:rPr>
          <w:rFonts w:ascii="Times New Roman" w:hAnsi="Times New Roman" w:cs="Times New Roman"/>
          <w:noProof/>
        </w:rPr>
        <w:t>93</w:t>
      </w:r>
      <w:r w:rsidRPr="00432C3B">
        <w:rPr>
          <w:rFonts w:ascii="Times New Roman" w:hAnsi="Times New Roman" w:cs="Times New Roman"/>
          <w:noProof/>
        </w:rPr>
        <w:fldChar w:fldCharType="end"/>
      </w:r>
      <w:r w:rsidRPr="00432C3B">
        <w:rPr>
          <w:rFonts w:ascii="Times New Roman" w:hAnsi="Times New Roman" w:cs="Times New Roman"/>
        </w:rPr>
        <w:t>.  De l’ensemble des considérations qui précèdent, la Cour déduit que la réaffirmation du devoir conjugal et le prononcé du divorce aux torts exclusifs de la requérante ne reposaient pas sur des motifs pertinents et suffisants et que les juridictions internes n’ont pas ménagé un juste équilibre entre les intérêts concurrents en jeu. Les éléments qui précèdent suffisent à constater la violation de l’article 8 de la Convention.</w:t>
      </w:r>
    </w:p>
    <w:p w14:paraId="724D0689" w14:textId="7439BA76" w:rsidR="007A780A" w:rsidRDefault="007A780A">
      <w:pPr>
        <w:rPr>
          <w:rFonts w:ascii="Times New Roman" w:hAnsi="Times New Roman" w:cs="Times New Roman"/>
          <w:sz w:val="24"/>
          <w:szCs w:val="24"/>
        </w:rPr>
      </w:pPr>
      <w:r>
        <w:rPr>
          <w:rFonts w:ascii="Times New Roman" w:hAnsi="Times New Roman" w:cs="Times New Roman"/>
          <w:sz w:val="24"/>
          <w:szCs w:val="24"/>
        </w:rPr>
        <w:br w:type="page"/>
      </w:r>
    </w:p>
    <w:p w14:paraId="41A716E8" w14:textId="77777777" w:rsidR="007A780A" w:rsidRPr="00432C3B" w:rsidRDefault="007A780A" w:rsidP="007A780A">
      <w:pPr>
        <w:jc w:val="center"/>
        <w:rPr>
          <w:rFonts w:ascii="Times New Roman" w:hAnsi="Times New Roman" w:cs="Times New Roman"/>
          <w:b/>
          <w:bCs/>
          <w:sz w:val="24"/>
          <w:szCs w:val="24"/>
        </w:rPr>
      </w:pPr>
      <w:r w:rsidRPr="00432C3B">
        <w:rPr>
          <w:rFonts w:ascii="Times New Roman" w:hAnsi="Times New Roman" w:cs="Times New Roman"/>
          <w:b/>
          <w:bCs/>
          <w:sz w:val="24"/>
          <w:szCs w:val="24"/>
        </w:rPr>
        <w:lastRenderedPageBreak/>
        <w:t>Droit européen des droits de l’homme 2025</w:t>
      </w:r>
    </w:p>
    <w:p w14:paraId="42269FF1" w14:textId="77777777" w:rsidR="007A780A" w:rsidRDefault="007A780A" w:rsidP="007A780A">
      <w:pPr>
        <w:jc w:val="center"/>
        <w:rPr>
          <w:rFonts w:ascii="Times New Roman" w:hAnsi="Times New Roman" w:cs="Times New Roman"/>
          <w:b/>
          <w:bCs/>
          <w:sz w:val="24"/>
          <w:szCs w:val="24"/>
        </w:rPr>
      </w:pPr>
      <w:r w:rsidRPr="00432C3B">
        <w:rPr>
          <w:rFonts w:ascii="Times New Roman" w:hAnsi="Times New Roman" w:cs="Times New Roman"/>
          <w:b/>
          <w:bCs/>
          <w:sz w:val="24"/>
          <w:szCs w:val="24"/>
        </w:rPr>
        <w:t>Travaux dirigés</w:t>
      </w:r>
    </w:p>
    <w:p w14:paraId="5ED2BC56" w14:textId="77777777" w:rsidR="007A780A" w:rsidRPr="00432C3B" w:rsidRDefault="007A780A" w:rsidP="007A780A">
      <w:pPr>
        <w:jc w:val="center"/>
        <w:rPr>
          <w:rFonts w:ascii="Times New Roman" w:hAnsi="Times New Roman" w:cs="Times New Roman"/>
          <w:b/>
          <w:bCs/>
          <w:sz w:val="24"/>
          <w:szCs w:val="24"/>
        </w:rPr>
      </w:pPr>
    </w:p>
    <w:p w14:paraId="65B3300F" w14:textId="7B2E086D" w:rsidR="00A045DF" w:rsidRPr="007A780A" w:rsidRDefault="007A780A" w:rsidP="007A780A">
      <w:pPr>
        <w:rPr>
          <w:rFonts w:ascii="Times New Roman" w:hAnsi="Times New Roman" w:cs="Times New Roman"/>
          <w:b/>
          <w:bCs/>
          <w:sz w:val="24"/>
          <w:szCs w:val="24"/>
        </w:rPr>
      </w:pPr>
      <w:r w:rsidRPr="007A780A">
        <w:rPr>
          <w:rFonts w:ascii="Times New Roman" w:hAnsi="Times New Roman" w:cs="Times New Roman"/>
          <w:b/>
          <w:bCs/>
          <w:sz w:val="24"/>
          <w:szCs w:val="24"/>
        </w:rPr>
        <w:t>Séance n °8 : La notion de vie familiale</w:t>
      </w:r>
    </w:p>
    <w:p w14:paraId="30062C1E" w14:textId="77777777" w:rsidR="007A780A" w:rsidRPr="007A780A" w:rsidRDefault="007A780A" w:rsidP="007A780A">
      <w:pPr>
        <w:rPr>
          <w:rFonts w:ascii="Times New Roman" w:hAnsi="Times New Roman" w:cs="Times New Roman"/>
          <w:b/>
          <w:bCs/>
          <w:sz w:val="24"/>
          <w:szCs w:val="24"/>
        </w:rPr>
      </w:pPr>
    </w:p>
    <w:p w14:paraId="284D222F" w14:textId="4D4C60A5" w:rsidR="007A780A" w:rsidRDefault="007A780A" w:rsidP="007A780A">
      <w:pPr>
        <w:rPr>
          <w:rFonts w:ascii="Times New Roman" w:hAnsi="Times New Roman" w:cs="Times New Roman"/>
          <w:sz w:val="24"/>
          <w:szCs w:val="24"/>
        </w:rPr>
      </w:pPr>
      <w:r w:rsidRPr="007A780A">
        <w:rPr>
          <w:rFonts w:ascii="Times New Roman" w:hAnsi="Times New Roman" w:cs="Times New Roman"/>
          <w:b/>
          <w:bCs/>
          <w:sz w:val="24"/>
          <w:szCs w:val="24"/>
        </w:rPr>
        <w:t xml:space="preserve">Dissertation : </w:t>
      </w:r>
      <w:r w:rsidRPr="007A780A">
        <w:rPr>
          <w:rFonts w:ascii="Times New Roman" w:hAnsi="Times New Roman" w:cs="Times New Roman"/>
          <w:sz w:val="24"/>
          <w:szCs w:val="24"/>
        </w:rPr>
        <w:t xml:space="preserve">La </w:t>
      </w:r>
      <w:r w:rsidR="006C6DBA" w:rsidRPr="007A780A">
        <w:rPr>
          <w:rFonts w:ascii="Times New Roman" w:hAnsi="Times New Roman" w:cs="Times New Roman"/>
          <w:sz w:val="24"/>
          <w:szCs w:val="24"/>
        </w:rPr>
        <w:t>Cour européenne des droits de l’homme</w:t>
      </w:r>
      <w:r w:rsidR="006C6DBA">
        <w:rPr>
          <w:rFonts w:ascii="Times New Roman" w:hAnsi="Times New Roman" w:cs="Times New Roman"/>
          <w:sz w:val="24"/>
          <w:szCs w:val="24"/>
        </w:rPr>
        <w:t xml:space="preserve"> confrontée </w:t>
      </w:r>
      <w:r w:rsidR="002F5F3B">
        <w:rPr>
          <w:rFonts w:ascii="Times New Roman" w:hAnsi="Times New Roman" w:cs="Times New Roman"/>
          <w:sz w:val="24"/>
          <w:szCs w:val="24"/>
        </w:rPr>
        <w:t>aux nouvelles familles</w:t>
      </w:r>
    </w:p>
    <w:p w14:paraId="45884CBE" w14:textId="18F4FBC1" w:rsidR="006F462A" w:rsidRDefault="006F462A" w:rsidP="007A780A">
      <w:pPr>
        <w:rPr>
          <w:rFonts w:ascii="Times New Roman" w:hAnsi="Times New Roman" w:cs="Times New Roman"/>
          <w:sz w:val="24"/>
          <w:szCs w:val="24"/>
        </w:rPr>
      </w:pPr>
    </w:p>
    <w:p w14:paraId="096ACFB7" w14:textId="77777777" w:rsidR="006F462A" w:rsidRDefault="006F462A" w:rsidP="007A780A">
      <w:pPr>
        <w:rPr>
          <w:rFonts w:ascii="Times New Roman" w:hAnsi="Times New Roman" w:cs="Times New Roman"/>
          <w:sz w:val="24"/>
          <w:szCs w:val="24"/>
        </w:rPr>
      </w:pPr>
    </w:p>
    <w:p w14:paraId="40872395" w14:textId="69091DE2" w:rsidR="006F462A" w:rsidRPr="006F462A" w:rsidRDefault="006F462A" w:rsidP="007A780A">
      <w:pPr>
        <w:rPr>
          <w:rFonts w:ascii="Times New Roman" w:hAnsi="Times New Roman" w:cs="Times New Roman"/>
          <w:b/>
          <w:bCs/>
          <w:sz w:val="24"/>
          <w:szCs w:val="24"/>
        </w:rPr>
      </w:pPr>
      <w:r w:rsidRPr="006F462A">
        <w:rPr>
          <w:rFonts w:ascii="Times New Roman" w:hAnsi="Times New Roman" w:cs="Times New Roman"/>
          <w:b/>
          <w:bCs/>
          <w:sz w:val="24"/>
          <w:szCs w:val="24"/>
        </w:rPr>
        <w:t xml:space="preserve">Présentation orale : </w:t>
      </w:r>
    </w:p>
    <w:p w14:paraId="53AFD9EF" w14:textId="1CA643CB" w:rsidR="007D7C94" w:rsidRPr="006F462A" w:rsidRDefault="006F462A" w:rsidP="006F462A">
      <w:pPr>
        <w:rPr>
          <w:rFonts w:ascii="Times New Roman" w:hAnsi="Times New Roman" w:cs="Times New Roman"/>
          <w:sz w:val="24"/>
          <w:szCs w:val="24"/>
        </w:rPr>
      </w:pPr>
      <w:r>
        <w:rPr>
          <w:rFonts w:ascii="Times New Roman" w:hAnsi="Times New Roman" w:cs="Times New Roman"/>
          <w:sz w:val="24"/>
          <w:szCs w:val="24"/>
        </w:rPr>
        <w:t xml:space="preserve">1. </w:t>
      </w:r>
      <w:r w:rsidRPr="006F462A">
        <w:rPr>
          <w:rFonts w:ascii="Times New Roman" w:hAnsi="Times New Roman" w:cs="Times New Roman"/>
          <w:sz w:val="24"/>
          <w:szCs w:val="24"/>
        </w:rPr>
        <w:t>Défini</w:t>
      </w:r>
      <w:r>
        <w:rPr>
          <w:rFonts w:ascii="Times New Roman" w:hAnsi="Times New Roman" w:cs="Times New Roman"/>
          <w:sz w:val="24"/>
          <w:szCs w:val="24"/>
        </w:rPr>
        <w:t>tion des</w:t>
      </w:r>
      <w:r w:rsidR="007D7C94" w:rsidRPr="006F462A">
        <w:rPr>
          <w:rFonts w:ascii="Times New Roman" w:hAnsi="Times New Roman" w:cs="Times New Roman"/>
          <w:sz w:val="24"/>
          <w:szCs w:val="24"/>
        </w:rPr>
        <w:t xml:space="preserve"> termes du sujet et </w:t>
      </w:r>
      <w:r>
        <w:rPr>
          <w:rFonts w:ascii="Times New Roman" w:hAnsi="Times New Roman" w:cs="Times New Roman"/>
          <w:sz w:val="24"/>
          <w:szCs w:val="24"/>
        </w:rPr>
        <w:t>formulation</w:t>
      </w:r>
      <w:r w:rsidR="007D7C94" w:rsidRPr="006F462A">
        <w:rPr>
          <w:rFonts w:ascii="Times New Roman" w:hAnsi="Times New Roman" w:cs="Times New Roman"/>
          <w:sz w:val="24"/>
          <w:szCs w:val="24"/>
        </w:rPr>
        <w:t xml:space="preserve"> </w:t>
      </w:r>
      <w:r>
        <w:rPr>
          <w:rFonts w:ascii="Times New Roman" w:hAnsi="Times New Roman" w:cs="Times New Roman"/>
          <w:sz w:val="24"/>
          <w:szCs w:val="24"/>
        </w:rPr>
        <w:t>d’</w:t>
      </w:r>
      <w:r w:rsidR="007D7C94" w:rsidRPr="006F462A">
        <w:rPr>
          <w:rFonts w:ascii="Times New Roman" w:hAnsi="Times New Roman" w:cs="Times New Roman"/>
          <w:sz w:val="24"/>
          <w:szCs w:val="24"/>
        </w:rPr>
        <w:t>une problématique</w:t>
      </w:r>
    </w:p>
    <w:p w14:paraId="1C488ECD" w14:textId="751AB903" w:rsidR="007D7C94" w:rsidRDefault="006F462A" w:rsidP="006F462A">
      <w:pPr>
        <w:rPr>
          <w:rFonts w:ascii="Times New Roman" w:hAnsi="Times New Roman" w:cs="Times New Roman"/>
          <w:sz w:val="24"/>
          <w:szCs w:val="24"/>
        </w:rPr>
      </w:pPr>
      <w:r>
        <w:rPr>
          <w:rFonts w:ascii="Times New Roman" w:hAnsi="Times New Roman" w:cs="Times New Roman"/>
          <w:sz w:val="24"/>
          <w:szCs w:val="24"/>
        </w:rPr>
        <w:t xml:space="preserve">2. Organisation </w:t>
      </w:r>
      <w:r w:rsidR="007D7C94" w:rsidRPr="006F462A">
        <w:rPr>
          <w:rFonts w:ascii="Times New Roman" w:hAnsi="Times New Roman" w:cs="Times New Roman"/>
          <w:sz w:val="24"/>
          <w:szCs w:val="24"/>
        </w:rPr>
        <w:t>des hypothèses traitées par la Cour qui rentrent dans le sujet</w:t>
      </w:r>
      <w:r w:rsidR="00503FE7">
        <w:rPr>
          <w:rFonts w:ascii="Times New Roman" w:hAnsi="Times New Roman" w:cs="Times New Roman"/>
          <w:sz w:val="24"/>
          <w:szCs w:val="24"/>
        </w:rPr>
        <w:t xml:space="preserve"> </w:t>
      </w:r>
    </w:p>
    <w:p w14:paraId="1D389E1B" w14:textId="7E951563" w:rsidR="00503FE7" w:rsidRPr="006F462A" w:rsidRDefault="00503FE7" w:rsidP="006F462A">
      <w:pPr>
        <w:rPr>
          <w:rFonts w:ascii="Times New Roman" w:hAnsi="Times New Roman" w:cs="Times New Roman"/>
          <w:sz w:val="24"/>
          <w:szCs w:val="24"/>
        </w:rPr>
      </w:pPr>
      <w:r>
        <w:rPr>
          <w:rFonts w:ascii="Times New Roman" w:hAnsi="Times New Roman" w:cs="Times New Roman"/>
          <w:sz w:val="24"/>
          <w:szCs w:val="24"/>
        </w:rPr>
        <w:t>3. Plan détaillé avec introduction</w:t>
      </w:r>
    </w:p>
    <w:p w14:paraId="269B22B2" w14:textId="77777777" w:rsidR="007D7C94" w:rsidRPr="007D7C94" w:rsidRDefault="007D7C94" w:rsidP="007D7C94">
      <w:pPr>
        <w:rPr>
          <w:rFonts w:ascii="Times New Roman" w:hAnsi="Times New Roman" w:cs="Times New Roman"/>
          <w:sz w:val="24"/>
          <w:szCs w:val="24"/>
        </w:rPr>
      </w:pPr>
    </w:p>
    <w:p w14:paraId="0E064C9D" w14:textId="0A69718E" w:rsidR="007A780A" w:rsidRDefault="007A780A" w:rsidP="007A780A">
      <w:pPr>
        <w:rPr>
          <w:rFonts w:ascii="Times New Roman" w:hAnsi="Times New Roman" w:cs="Times New Roman"/>
          <w:sz w:val="24"/>
          <w:szCs w:val="24"/>
        </w:rPr>
      </w:pPr>
    </w:p>
    <w:p w14:paraId="0A35FD33" w14:textId="77777777" w:rsidR="007A780A" w:rsidRPr="007A780A" w:rsidRDefault="007A780A" w:rsidP="007A780A">
      <w:pPr>
        <w:rPr>
          <w:rFonts w:ascii="Times New Roman" w:hAnsi="Times New Roman" w:cs="Times New Roman"/>
          <w:sz w:val="24"/>
          <w:szCs w:val="24"/>
        </w:rPr>
      </w:pPr>
    </w:p>
    <w:p w14:paraId="754A59BC" w14:textId="77777777" w:rsidR="007A780A" w:rsidRPr="007A780A" w:rsidRDefault="007A780A" w:rsidP="007A780A">
      <w:pPr>
        <w:rPr>
          <w:rFonts w:ascii="Times New Roman" w:hAnsi="Times New Roman" w:cs="Times New Roman"/>
          <w:sz w:val="24"/>
          <w:szCs w:val="24"/>
        </w:rPr>
      </w:pPr>
    </w:p>
    <w:sectPr w:rsidR="007A780A" w:rsidRPr="007A78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 w15:restartNumberingAfterBreak="0">
    <w:nsid w:val="43FC5FBE"/>
    <w:multiLevelType w:val="hybridMultilevel"/>
    <w:tmpl w:val="B352FE6A"/>
    <w:lvl w:ilvl="0" w:tplc="FD86A74C">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B9429C"/>
    <w:multiLevelType w:val="multilevel"/>
    <w:tmpl w:val="DAC8E1BA"/>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pStyle w:val="Style1"/>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3" w15:restartNumberingAfterBreak="0">
    <w:nsid w:val="65095D72"/>
    <w:multiLevelType w:val="hybridMultilevel"/>
    <w:tmpl w:val="B6F202DC"/>
    <w:lvl w:ilvl="0" w:tplc="AA90DF0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DF"/>
    <w:rsid w:val="002F5F3B"/>
    <w:rsid w:val="003D3CEC"/>
    <w:rsid w:val="00432C3B"/>
    <w:rsid w:val="00503FE7"/>
    <w:rsid w:val="006C6DBA"/>
    <w:rsid w:val="006F462A"/>
    <w:rsid w:val="007A780A"/>
    <w:rsid w:val="007D7C94"/>
    <w:rsid w:val="00967371"/>
    <w:rsid w:val="00A045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E398"/>
  <w15:chartTrackingRefBased/>
  <w15:docId w15:val="{3AF94872-148B-4C89-ACA1-27A338CB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4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045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045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045D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A045DF"/>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A045DF"/>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A045D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A045D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045D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uQuot">
    <w:name w:val="Ju_Quot"/>
    <w:aliases w:val="ECHR_Para_Quote,_Quote"/>
    <w:basedOn w:val="Normal"/>
    <w:uiPriority w:val="20"/>
    <w:qFormat/>
    <w:rsid w:val="00A045DF"/>
    <w:pPr>
      <w:spacing w:before="120" w:after="120" w:line="240" w:lineRule="auto"/>
      <w:ind w:left="425" w:firstLine="142"/>
      <w:jc w:val="both"/>
    </w:pPr>
    <w:rPr>
      <w:sz w:val="20"/>
      <w:szCs w:val="24"/>
    </w:rPr>
  </w:style>
  <w:style w:type="paragraph" w:customStyle="1" w:styleId="DecHTitle">
    <w:name w:val="Dec_H_Title"/>
    <w:aliases w:val="_Title_1"/>
    <w:basedOn w:val="JuPara"/>
    <w:next w:val="JuPara"/>
    <w:uiPriority w:val="38"/>
    <w:qFormat/>
    <w:rsid w:val="00A045DF"/>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A045DF"/>
    <w:pPr>
      <w:keepNext/>
      <w:keepLines/>
      <w:tabs>
        <w:tab w:val="right" w:pos="7938"/>
      </w:tabs>
      <w:ind w:firstLine="0"/>
      <w:jc w:val="center"/>
    </w:pPr>
    <w:rPr>
      <w:i/>
    </w:rPr>
  </w:style>
  <w:style w:type="paragraph" w:customStyle="1" w:styleId="JuHHead">
    <w:name w:val="Ju_H_Head"/>
    <w:aliases w:val="_Head_1"/>
    <w:basedOn w:val="Titre1"/>
    <w:next w:val="JuPara"/>
    <w:uiPriority w:val="17"/>
    <w:qFormat/>
    <w:rsid w:val="00A045DF"/>
    <w:pPr>
      <w:numPr>
        <w:numId w:val="1"/>
      </w:numPr>
    </w:pPr>
  </w:style>
  <w:style w:type="paragraph" w:customStyle="1" w:styleId="JuHIRoman">
    <w:name w:val="Ju_H_I_Roman"/>
    <w:aliases w:val="ECHR_Heading_2,_Head_2"/>
    <w:basedOn w:val="Titre2"/>
    <w:next w:val="JuPara"/>
    <w:uiPriority w:val="17"/>
    <w:qFormat/>
    <w:rsid w:val="00A045DF"/>
    <w:pPr>
      <w:numPr>
        <w:ilvl w:val="1"/>
        <w:numId w:val="1"/>
      </w:numPr>
      <w:ind w:left="0" w:firstLine="0"/>
    </w:pPr>
  </w:style>
  <w:style w:type="paragraph" w:customStyle="1" w:styleId="JuHA">
    <w:name w:val="Ju_H_A"/>
    <w:aliases w:val="ECHR_Heading_3,_Head_3"/>
    <w:basedOn w:val="Titre3"/>
    <w:next w:val="JuPara"/>
    <w:uiPriority w:val="17"/>
    <w:qFormat/>
    <w:rsid w:val="00A045DF"/>
    <w:pPr>
      <w:numPr>
        <w:ilvl w:val="2"/>
        <w:numId w:val="1"/>
      </w:numPr>
      <w:ind w:left="720" w:hanging="432"/>
    </w:pPr>
  </w:style>
  <w:style w:type="paragraph" w:customStyle="1" w:styleId="JuH1">
    <w:name w:val="Ju_H_1."/>
    <w:aliases w:val="ECHR_Heading_4,_Head_4"/>
    <w:basedOn w:val="Titre4"/>
    <w:next w:val="JuPara"/>
    <w:link w:val="JuH1Char"/>
    <w:uiPriority w:val="17"/>
    <w:qFormat/>
    <w:rsid w:val="00A045DF"/>
    <w:pPr>
      <w:numPr>
        <w:ilvl w:val="3"/>
        <w:numId w:val="1"/>
      </w:numPr>
      <w:ind w:left="864" w:hanging="144"/>
    </w:pPr>
  </w:style>
  <w:style w:type="paragraph" w:customStyle="1" w:styleId="JuHa0">
    <w:name w:val="Ju_H_a"/>
    <w:aliases w:val="_Head_5"/>
    <w:basedOn w:val="Titre5"/>
    <w:next w:val="JuPara"/>
    <w:link w:val="JuHaChar1"/>
    <w:uiPriority w:val="17"/>
    <w:rsid w:val="00A045DF"/>
    <w:pPr>
      <w:numPr>
        <w:ilvl w:val="4"/>
        <w:numId w:val="1"/>
      </w:numPr>
      <w:ind w:left="1008" w:hanging="432"/>
    </w:pPr>
  </w:style>
  <w:style w:type="paragraph" w:customStyle="1" w:styleId="JuHi">
    <w:name w:val="Ju_H_i"/>
    <w:aliases w:val="_Head_6"/>
    <w:basedOn w:val="Titre6"/>
    <w:next w:val="JuPara"/>
    <w:uiPriority w:val="17"/>
    <w:rsid w:val="00A045DF"/>
    <w:pPr>
      <w:numPr>
        <w:ilvl w:val="5"/>
        <w:numId w:val="1"/>
      </w:numPr>
      <w:ind w:left="1152" w:hanging="432"/>
    </w:pPr>
  </w:style>
  <w:style w:type="paragraph" w:customStyle="1" w:styleId="JuHalpha">
    <w:name w:val="Ju_H_alpha"/>
    <w:aliases w:val="_Head_7"/>
    <w:basedOn w:val="Titre7"/>
    <w:next w:val="JuPara"/>
    <w:uiPriority w:val="17"/>
    <w:rsid w:val="00A045DF"/>
    <w:pPr>
      <w:numPr>
        <w:ilvl w:val="6"/>
        <w:numId w:val="1"/>
      </w:numPr>
      <w:ind w:left="1296" w:hanging="288"/>
    </w:pPr>
  </w:style>
  <w:style w:type="paragraph" w:customStyle="1" w:styleId="JuH">
    <w:name w:val="Ju_H_–"/>
    <w:aliases w:val="_Head_8"/>
    <w:basedOn w:val="Titre8"/>
    <w:next w:val="JuPara"/>
    <w:uiPriority w:val="17"/>
    <w:rsid w:val="00A045DF"/>
    <w:pPr>
      <w:numPr>
        <w:ilvl w:val="7"/>
        <w:numId w:val="1"/>
      </w:numPr>
      <w:ind w:left="1440" w:hanging="432"/>
    </w:pPr>
  </w:style>
  <w:style w:type="paragraph" w:customStyle="1" w:styleId="JuPara">
    <w:name w:val="Ju_Para"/>
    <w:aliases w:val="_Para"/>
    <w:basedOn w:val="Normal"/>
    <w:link w:val="JuParaChar"/>
    <w:uiPriority w:val="4"/>
    <w:qFormat/>
    <w:rsid w:val="00A045DF"/>
    <w:pPr>
      <w:spacing w:after="0" w:line="240" w:lineRule="auto"/>
      <w:ind w:firstLine="284"/>
      <w:jc w:val="both"/>
    </w:pPr>
    <w:rPr>
      <w:sz w:val="24"/>
      <w:szCs w:val="24"/>
    </w:rPr>
  </w:style>
  <w:style w:type="paragraph" w:customStyle="1" w:styleId="JuCase">
    <w:name w:val="Ju_Case"/>
    <w:aliases w:val="_Case_Name"/>
    <w:basedOn w:val="Normal"/>
    <w:next w:val="JuPara"/>
    <w:uiPriority w:val="32"/>
    <w:rsid w:val="00A045DF"/>
    <w:pPr>
      <w:spacing w:after="0" w:line="240" w:lineRule="auto"/>
      <w:ind w:firstLine="284"/>
      <w:jc w:val="both"/>
    </w:pPr>
    <w:rPr>
      <w:b/>
      <w:sz w:val="24"/>
      <w:szCs w:val="24"/>
    </w:rPr>
  </w:style>
  <w:style w:type="paragraph" w:customStyle="1" w:styleId="DecHCase">
    <w:name w:val="Dec_H_Case"/>
    <w:aliases w:val="_Title_3"/>
    <w:basedOn w:val="JuPara"/>
    <w:next w:val="JuPara"/>
    <w:uiPriority w:val="38"/>
    <w:qFormat/>
    <w:rsid w:val="00A045DF"/>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045DF"/>
    <w:pPr>
      <w:keepNext/>
      <w:keepLines/>
      <w:spacing w:before="1320" w:after="280" w:line="240" w:lineRule="auto"/>
      <w:contextualSpacing/>
      <w:jc w:val="center"/>
    </w:pPr>
    <w:rPr>
      <w:b/>
      <w:sz w:val="24"/>
      <w:szCs w:val="24"/>
    </w:rPr>
  </w:style>
  <w:style w:type="paragraph" w:customStyle="1" w:styleId="ECHRHeading9">
    <w:name w:val="ECHR_Heading_9"/>
    <w:aliases w:val="_Head_9"/>
    <w:basedOn w:val="Titre9"/>
    <w:uiPriority w:val="17"/>
    <w:semiHidden/>
    <w:rsid w:val="00A045DF"/>
    <w:pPr>
      <w:numPr>
        <w:ilvl w:val="8"/>
        <w:numId w:val="1"/>
      </w:numPr>
      <w:spacing w:before="100" w:beforeAutospacing="1" w:line="240" w:lineRule="auto"/>
      <w:contextualSpacing/>
      <w:jc w:val="both"/>
    </w:pPr>
    <w:rPr>
      <w:i w:val="0"/>
      <w:color w:val="auto"/>
      <w:spacing w:val="5"/>
      <w:sz w:val="18"/>
      <w:szCs w:val="20"/>
      <w:lang w:bidi="en-US"/>
    </w:rPr>
  </w:style>
  <w:style w:type="character" w:customStyle="1" w:styleId="JuParaChar">
    <w:name w:val="Ju_Para Char"/>
    <w:aliases w:val="_Para Char"/>
    <w:link w:val="JuPara"/>
    <w:uiPriority w:val="4"/>
    <w:rsid w:val="00A045DF"/>
    <w:rPr>
      <w:sz w:val="24"/>
      <w:szCs w:val="24"/>
    </w:rPr>
  </w:style>
  <w:style w:type="paragraph" w:customStyle="1" w:styleId="Style1">
    <w:name w:val="Style1"/>
    <w:basedOn w:val="JuH1"/>
    <w:qFormat/>
    <w:rsid w:val="00A045DF"/>
    <w:pPr>
      <w:numPr>
        <w:numId w:val="2"/>
      </w:numPr>
      <w:tabs>
        <w:tab w:val="num" w:pos="360"/>
      </w:tabs>
      <w:spacing w:before="100" w:beforeAutospacing="1" w:after="120" w:line="240" w:lineRule="auto"/>
      <w:ind w:left="680" w:hanging="340"/>
      <w:jc w:val="both"/>
    </w:pPr>
    <w:rPr>
      <w:bCs/>
      <w:color w:val="777777"/>
      <w:sz w:val="24"/>
    </w:rPr>
  </w:style>
  <w:style w:type="character" w:customStyle="1" w:styleId="JuH1Char">
    <w:name w:val="Ju_H_1. Char"/>
    <w:aliases w:val="_Head_4 Char"/>
    <w:basedOn w:val="Titre4Car"/>
    <w:link w:val="JuH1"/>
    <w:uiPriority w:val="17"/>
    <w:rsid w:val="00A045DF"/>
    <w:rPr>
      <w:rFonts w:asciiTheme="majorHAnsi" w:eastAsiaTheme="majorEastAsia" w:hAnsiTheme="majorHAnsi" w:cstheme="majorBidi"/>
      <w:i/>
      <w:iCs/>
      <w:color w:val="2F5496" w:themeColor="accent1" w:themeShade="BF"/>
    </w:rPr>
  </w:style>
  <w:style w:type="character" w:customStyle="1" w:styleId="JuHaChar1">
    <w:name w:val="Ju_H_a Char1"/>
    <w:aliases w:val="_Head_5 Char"/>
    <w:basedOn w:val="Titre5Car"/>
    <w:link w:val="JuHa0"/>
    <w:uiPriority w:val="17"/>
    <w:rsid w:val="00A045DF"/>
    <w:rPr>
      <w:rFonts w:asciiTheme="majorHAnsi" w:eastAsiaTheme="majorEastAsia" w:hAnsiTheme="majorHAnsi" w:cstheme="majorBidi"/>
      <w:color w:val="2F5496" w:themeColor="accent1" w:themeShade="BF"/>
    </w:rPr>
  </w:style>
  <w:style w:type="paragraph" w:customStyle="1" w:styleId="jucase0">
    <w:name w:val="jucase"/>
    <w:basedOn w:val="Normal"/>
    <w:rsid w:val="00A045DF"/>
    <w:pPr>
      <w:spacing w:after="0" w:line="240" w:lineRule="auto"/>
      <w:ind w:firstLine="284"/>
      <w:jc w:val="both"/>
    </w:pPr>
    <w:rPr>
      <w:rFonts w:ascii="Times New Roman" w:eastAsia="Times New Roman" w:hAnsi="Times New Roman" w:cs="Times New Roman"/>
      <w:b/>
      <w:bCs/>
      <w:sz w:val="24"/>
      <w:szCs w:val="24"/>
      <w:lang w:val="en-GB" w:eastAsia="en-GB"/>
    </w:rPr>
  </w:style>
  <w:style w:type="character" w:customStyle="1" w:styleId="Titre1Car">
    <w:name w:val="Titre 1 Car"/>
    <w:basedOn w:val="Policepardfaut"/>
    <w:link w:val="Titre1"/>
    <w:uiPriority w:val="9"/>
    <w:rsid w:val="00A045D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A045DF"/>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A045DF"/>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A045DF"/>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A045DF"/>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A045DF"/>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A045DF"/>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A045D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045DF"/>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432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3670</Words>
  <Characters>20186</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7</cp:revision>
  <dcterms:created xsi:type="dcterms:W3CDTF">2025-10-13T08:34:00Z</dcterms:created>
  <dcterms:modified xsi:type="dcterms:W3CDTF">2025-11-04T11:41:00Z</dcterms:modified>
</cp:coreProperties>
</file>