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B147" w14:textId="77777777" w:rsidR="00A75B32" w:rsidRPr="004035B0" w:rsidRDefault="00A75B32" w:rsidP="00A75B32">
      <w:pPr>
        <w:jc w:val="both"/>
        <w:rPr>
          <w:rFonts w:ascii="Times New Roman" w:hAnsi="Times New Roman" w:cs="Times New Roman"/>
          <w:b/>
          <w:bCs/>
          <w:iCs/>
          <w:sz w:val="24"/>
          <w:szCs w:val="24"/>
        </w:rPr>
      </w:pPr>
      <w:bookmarkStart w:id="0" w:name="_Hlk183356638"/>
      <w:r w:rsidRPr="004035B0">
        <w:rPr>
          <w:rFonts w:ascii="Times New Roman" w:hAnsi="Times New Roman" w:cs="Times New Roman"/>
          <w:b/>
          <w:bCs/>
          <w:iCs/>
          <w:sz w:val="24"/>
          <w:szCs w:val="24"/>
        </w:rPr>
        <w:t>Section II</w:t>
      </w:r>
      <w:r w:rsidRPr="004035B0">
        <w:rPr>
          <w:rFonts w:ascii="Times New Roman" w:hAnsi="Times New Roman" w:cs="Times New Roman"/>
          <w:b/>
          <w:bCs/>
          <w:iCs/>
          <w:sz w:val="24"/>
          <w:szCs w:val="24"/>
        </w:rPr>
        <w:t> </w:t>
      </w:r>
      <w:r w:rsidRPr="004035B0">
        <w:rPr>
          <w:rFonts w:ascii="Times New Roman" w:hAnsi="Times New Roman" w:cs="Times New Roman"/>
          <w:b/>
          <w:bCs/>
          <w:iCs/>
          <w:sz w:val="24"/>
          <w:szCs w:val="24"/>
        </w:rPr>
        <w:t> :</w:t>
      </w:r>
      <w:r w:rsidRPr="004035B0">
        <w:rPr>
          <w:rFonts w:ascii="Times New Roman" w:hAnsi="Times New Roman" w:cs="Times New Roman"/>
          <w:b/>
          <w:bCs/>
          <w:iCs/>
          <w:sz w:val="24"/>
          <w:szCs w:val="24"/>
        </w:rPr>
        <w:t> </w:t>
      </w:r>
      <w:r w:rsidRPr="004035B0">
        <w:rPr>
          <w:rFonts w:ascii="Times New Roman" w:hAnsi="Times New Roman" w:cs="Times New Roman"/>
          <w:b/>
          <w:bCs/>
          <w:iCs/>
          <w:sz w:val="24"/>
          <w:szCs w:val="24"/>
        </w:rPr>
        <w:t>La protection de la vie familiale</w:t>
      </w:r>
    </w:p>
    <w:p w14:paraId="5688A608" w14:textId="4B78E7A9" w:rsidR="004414ED" w:rsidRPr="00A75B32" w:rsidRDefault="00A75B32" w:rsidP="004414ED">
      <w:pPr>
        <w:jc w:val="both"/>
        <w:rPr>
          <w:rFonts w:ascii="Times New Roman" w:hAnsi="Times New Roman" w:cs="Times New Roman"/>
          <w:b/>
          <w:bCs/>
          <w:sz w:val="24"/>
          <w:szCs w:val="24"/>
        </w:rPr>
      </w:pPr>
      <w:r w:rsidRPr="004035B0">
        <w:rPr>
          <w:rFonts w:ascii="Times New Roman" w:hAnsi="Times New Roman" w:cs="Times New Roman"/>
          <w:b/>
          <w:bCs/>
          <w:iCs/>
          <w:sz w:val="24"/>
          <w:szCs w:val="24"/>
        </w:rPr>
        <w:t xml:space="preserve">§1 : </w:t>
      </w:r>
      <w:r w:rsidRPr="004035B0">
        <w:rPr>
          <w:rFonts w:ascii="Times New Roman" w:hAnsi="Times New Roman" w:cs="Times New Roman"/>
          <w:b/>
          <w:bCs/>
          <w:sz w:val="24"/>
          <w:szCs w:val="24"/>
        </w:rPr>
        <w:t xml:space="preserve">La limitation des droits parentaux </w:t>
      </w:r>
      <w:r w:rsidRPr="004035B0" w:rsidDel="005B6ABA">
        <w:rPr>
          <w:rFonts w:ascii="Times New Roman" w:hAnsi="Times New Roman" w:cs="Times New Roman"/>
          <w:b/>
          <w:bCs/>
          <w:sz w:val="24"/>
          <w:szCs w:val="24"/>
        </w:rPr>
        <w:t xml:space="preserve"> </w:t>
      </w:r>
      <w:r w:rsidRPr="004035B0">
        <w:rPr>
          <w:rFonts w:ascii="Times New Roman" w:hAnsi="Times New Roman" w:cs="Times New Roman"/>
          <w:b/>
          <w:bCs/>
          <w:sz w:val="24"/>
          <w:szCs w:val="24"/>
        </w:rPr>
        <w:t xml:space="preserve"> </w:t>
      </w:r>
    </w:p>
    <w:p w14:paraId="53566F20" w14:textId="10B6A3EC" w:rsidR="004414ED" w:rsidRPr="00245FDA" w:rsidRDefault="00245FDA" w:rsidP="00245FDA">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4414ED" w:rsidRPr="00245FDA">
        <w:rPr>
          <w:rFonts w:ascii="Times New Roman" w:hAnsi="Times New Roman" w:cs="Times New Roman"/>
          <w:b/>
          <w:bCs/>
          <w:sz w:val="24"/>
          <w:szCs w:val="24"/>
        </w:rPr>
        <w:t>Les limitations des droits des parents séparés</w:t>
      </w:r>
    </w:p>
    <w:p w14:paraId="18443EEA" w14:textId="77777777" w:rsidR="004414ED" w:rsidRPr="007021D8" w:rsidRDefault="004414ED" w:rsidP="004414ED">
      <w:pPr>
        <w:jc w:val="both"/>
        <w:rPr>
          <w:rFonts w:ascii="Times New Roman" w:hAnsi="Times New Roman" w:cs="Times New Roman"/>
          <w:b/>
          <w:bCs/>
          <w:iCs/>
          <w:sz w:val="24"/>
          <w:szCs w:val="24"/>
        </w:rPr>
      </w:pPr>
      <w:r w:rsidRPr="007021D8">
        <w:rPr>
          <w:rFonts w:ascii="Times New Roman" w:hAnsi="Times New Roman" w:cs="Times New Roman"/>
          <w:b/>
          <w:bCs/>
          <w:iCs/>
          <w:sz w:val="24"/>
          <w:szCs w:val="24"/>
        </w:rPr>
        <w:t xml:space="preserve">a. </w:t>
      </w:r>
      <w:r>
        <w:rPr>
          <w:rFonts w:ascii="Times New Roman" w:hAnsi="Times New Roman" w:cs="Times New Roman"/>
          <w:b/>
          <w:bCs/>
          <w:iCs/>
          <w:sz w:val="24"/>
          <w:szCs w:val="24"/>
        </w:rPr>
        <w:t>La d</w:t>
      </w:r>
      <w:r w:rsidRPr="007021D8">
        <w:rPr>
          <w:rFonts w:ascii="Times New Roman" w:hAnsi="Times New Roman" w:cs="Times New Roman"/>
          <w:b/>
          <w:bCs/>
          <w:iCs/>
          <w:sz w:val="24"/>
          <w:szCs w:val="24"/>
        </w:rPr>
        <w:t>étermination de la résidence de l’enfant de parents séparés</w:t>
      </w:r>
    </w:p>
    <w:p w14:paraId="0D2E4B29" w14:textId="77777777" w:rsidR="004414ED" w:rsidRPr="007021D8" w:rsidRDefault="004414ED" w:rsidP="004414ED">
      <w:pPr>
        <w:jc w:val="both"/>
        <w:rPr>
          <w:rFonts w:ascii="Times New Roman" w:hAnsi="Times New Roman" w:cs="Times New Roman"/>
          <w:iCs/>
          <w:sz w:val="24"/>
          <w:szCs w:val="24"/>
        </w:rPr>
      </w:pPr>
      <w:r w:rsidRPr="007021D8">
        <w:rPr>
          <w:rFonts w:ascii="Times New Roman" w:hAnsi="Times New Roman" w:cs="Times New Roman"/>
          <w:iCs/>
          <w:sz w:val="24"/>
          <w:szCs w:val="24"/>
        </w:rPr>
        <w:t>La Cour européenne analyse la fixation de la résidence des enfants de parents séparés chez un parent, comme une ingérence pour l’autre qui se voit priver d’un de ses droits parentaux.</w:t>
      </w:r>
    </w:p>
    <w:p w14:paraId="4406278E" w14:textId="77777777" w:rsidR="004414ED" w:rsidRPr="007021D8" w:rsidRDefault="004414ED" w:rsidP="004414ED">
      <w:pPr>
        <w:jc w:val="both"/>
        <w:rPr>
          <w:rFonts w:ascii="Times New Roman" w:hAnsi="Times New Roman" w:cs="Times New Roman"/>
          <w:iCs/>
          <w:sz w:val="24"/>
          <w:szCs w:val="24"/>
        </w:rPr>
      </w:pPr>
      <w:r w:rsidRPr="007021D8">
        <w:rPr>
          <w:rFonts w:ascii="Times New Roman" w:hAnsi="Times New Roman" w:cs="Times New Roman"/>
          <w:iCs/>
          <w:sz w:val="24"/>
          <w:szCs w:val="24"/>
        </w:rPr>
        <w:t xml:space="preserve">En la matière, les États se voient reconnaitre une large marge d’appréciation. </w:t>
      </w:r>
    </w:p>
    <w:p w14:paraId="3B284D40" w14:textId="77777777" w:rsidR="004414ED" w:rsidRPr="007021D8" w:rsidRDefault="004414ED" w:rsidP="004414ED">
      <w:pPr>
        <w:jc w:val="both"/>
        <w:rPr>
          <w:rFonts w:ascii="Times New Roman" w:hAnsi="Times New Roman" w:cs="Times New Roman"/>
          <w:iCs/>
          <w:sz w:val="24"/>
          <w:szCs w:val="24"/>
        </w:rPr>
      </w:pPr>
      <w:r w:rsidRPr="007021D8">
        <w:rPr>
          <w:rFonts w:ascii="Times New Roman" w:hAnsi="Times New Roman" w:cs="Times New Roman"/>
          <w:iCs/>
          <w:sz w:val="24"/>
          <w:szCs w:val="24"/>
        </w:rPr>
        <w:t>La Cour affirme que la décision relative à la résidence de l’enfant ne porte pas atteinte à l’exercice de l’autorité parentale par le parent non hébergeant et n’empêche pas les relations personnelles de celui</w:t>
      </w:r>
      <w:r w:rsidRPr="007021D8">
        <w:rPr>
          <w:rFonts w:ascii="Times New Roman" w:hAnsi="Times New Roman" w:cs="Times New Roman"/>
          <w:iCs/>
          <w:sz w:val="24"/>
          <w:szCs w:val="24"/>
        </w:rPr>
        <w:noBreakHyphen/>
        <w:t>ci avec l’enfant, ce qui rend limite la portée de l’ingérence.</w:t>
      </w:r>
    </w:p>
    <w:p w14:paraId="142861DA" w14:textId="77777777" w:rsidR="004414ED" w:rsidRPr="007021D8" w:rsidRDefault="004414ED" w:rsidP="004414ED">
      <w:pPr>
        <w:jc w:val="both"/>
        <w:rPr>
          <w:rFonts w:ascii="Times New Roman" w:hAnsi="Times New Roman" w:cs="Times New Roman"/>
          <w:bCs/>
          <w:iCs/>
          <w:sz w:val="24"/>
          <w:szCs w:val="24"/>
        </w:rPr>
      </w:pPr>
      <w:r w:rsidRPr="007021D8">
        <w:rPr>
          <w:rFonts w:ascii="Times New Roman" w:hAnsi="Times New Roman" w:cs="Times New Roman"/>
          <w:bCs/>
          <w:iCs/>
          <w:sz w:val="24"/>
          <w:szCs w:val="24"/>
        </w:rPr>
        <w:t>La cour met en avant l’importance de la détermination provisoire de la résidence de l’enfant pendant la procédure de divorce car elle peut difficilement être modifiée par la suite eu égard à l’importance accordée par les juges à la stabilité de l’enfant. (</w:t>
      </w:r>
      <w:bookmarkStart w:id="1" w:name="_Hlk77758313"/>
      <w:r w:rsidRPr="007021D8">
        <w:rPr>
          <w:rFonts w:ascii="Times New Roman" w:hAnsi="Times New Roman" w:cs="Times New Roman"/>
          <w:bCs/>
          <w:i/>
          <w:iCs/>
          <w:sz w:val="24"/>
          <w:szCs w:val="24"/>
        </w:rPr>
        <w:t>Širvinskas c/ Lituanie</w:t>
      </w:r>
      <w:r w:rsidRPr="007021D8">
        <w:rPr>
          <w:rFonts w:ascii="Times New Roman" w:hAnsi="Times New Roman" w:cs="Times New Roman"/>
          <w:bCs/>
          <w:iCs/>
          <w:sz w:val="24"/>
          <w:szCs w:val="24"/>
        </w:rPr>
        <w:t xml:space="preserve"> </w:t>
      </w:r>
      <w:r w:rsidRPr="007021D8">
        <w:rPr>
          <w:rFonts w:ascii="Times New Roman" w:hAnsi="Times New Roman" w:cs="Times New Roman"/>
          <w:bCs/>
          <w:i/>
          <w:iCs/>
          <w:sz w:val="24"/>
          <w:szCs w:val="24"/>
        </w:rPr>
        <w:t>du 23 juil. 2019</w:t>
      </w:r>
      <w:bookmarkEnd w:id="1"/>
      <w:r w:rsidRPr="007021D8">
        <w:rPr>
          <w:rFonts w:ascii="Times New Roman" w:hAnsi="Times New Roman" w:cs="Times New Roman"/>
          <w:bCs/>
          <w:i/>
          <w:iCs/>
          <w:sz w:val="24"/>
          <w:szCs w:val="24"/>
        </w:rPr>
        <w:t>)</w:t>
      </w:r>
    </w:p>
    <w:p w14:paraId="6C3E9440" w14:textId="77777777" w:rsidR="004414ED" w:rsidRDefault="004414ED" w:rsidP="004414ED">
      <w:pPr>
        <w:jc w:val="both"/>
        <w:rPr>
          <w:rFonts w:ascii="Times New Roman" w:hAnsi="Times New Roman" w:cs="Times New Roman"/>
          <w:i/>
          <w:iCs/>
          <w:color w:val="00B0F0"/>
          <w:sz w:val="24"/>
          <w:szCs w:val="24"/>
        </w:rPr>
      </w:pPr>
      <w:r w:rsidRPr="007021D8">
        <w:rPr>
          <w:rFonts w:ascii="Times New Roman" w:hAnsi="Times New Roman" w:cs="Times New Roman"/>
          <w:iCs/>
          <w:sz w:val="24"/>
          <w:szCs w:val="24"/>
        </w:rPr>
        <w:t xml:space="preserve">Le juge européen vérifie que la décision est motivée par l’intérêt supérieur de l’enfant, apprécié </w:t>
      </w:r>
      <w:r w:rsidRPr="007021D8">
        <w:rPr>
          <w:rFonts w:ascii="Times New Roman" w:hAnsi="Times New Roman" w:cs="Times New Roman"/>
          <w:i/>
          <w:iCs/>
          <w:sz w:val="24"/>
          <w:szCs w:val="24"/>
        </w:rPr>
        <w:t xml:space="preserve">in concreto, </w:t>
      </w:r>
      <w:r w:rsidRPr="007021D8">
        <w:rPr>
          <w:rFonts w:ascii="Times New Roman" w:hAnsi="Times New Roman" w:cs="Times New Roman"/>
          <w:sz w:val="24"/>
          <w:szCs w:val="24"/>
        </w:rPr>
        <w:t>notamment par le biais d’une expertise</w:t>
      </w:r>
      <w:r w:rsidRPr="007021D8">
        <w:rPr>
          <w:rFonts w:ascii="Times New Roman" w:hAnsi="Times New Roman" w:cs="Times New Roman"/>
          <w:i/>
          <w:iCs/>
          <w:color w:val="00B0F0"/>
          <w:sz w:val="24"/>
          <w:szCs w:val="24"/>
        </w:rPr>
        <w:t xml:space="preserve">. </w:t>
      </w:r>
    </w:p>
    <w:p w14:paraId="0C4CD3C8" w14:textId="77777777" w:rsidR="004414ED" w:rsidRPr="007021D8" w:rsidRDefault="004414ED" w:rsidP="004414ED">
      <w:pPr>
        <w:jc w:val="both"/>
        <w:rPr>
          <w:rFonts w:ascii="Times New Roman" w:hAnsi="Times New Roman" w:cs="Times New Roman"/>
          <w:b/>
          <w:iCs/>
          <w:sz w:val="24"/>
          <w:szCs w:val="24"/>
        </w:rPr>
      </w:pPr>
      <w:bookmarkStart w:id="2" w:name="_Hlk183356693"/>
      <w:bookmarkEnd w:id="0"/>
      <w:r>
        <w:rPr>
          <w:rFonts w:ascii="Times New Roman" w:hAnsi="Times New Roman" w:cs="Times New Roman"/>
          <w:b/>
          <w:iCs/>
          <w:sz w:val="24"/>
          <w:szCs w:val="24"/>
        </w:rPr>
        <w:t>b</w:t>
      </w:r>
      <w:r w:rsidRPr="007021D8">
        <w:rPr>
          <w:rFonts w:ascii="Times New Roman" w:hAnsi="Times New Roman" w:cs="Times New Roman"/>
          <w:b/>
          <w:iCs/>
          <w:sz w:val="24"/>
          <w:szCs w:val="24"/>
        </w:rPr>
        <w:t xml:space="preserve">. </w:t>
      </w:r>
      <w:r>
        <w:rPr>
          <w:rFonts w:ascii="Times New Roman" w:hAnsi="Times New Roman" w:cs="Times New Roman"/>
          <w:b/>
          <w:iCs/>
          <w:sz w:val="24"/>
          <w:szCs w:val="24"/>
        </w:rPr>
        <w:t>L</w:t>
      </w:r>
      <w:r w:rsidRPr="007021D8">
        <w:rPr>
          <w:rFonts w:ascii="Times New Roman" w:hAnsi="Times New Roman" w:cs="Times New Roman"/>
          <w:b/>
          <w:iCs/>
          <w:sz w:val="24"/>
          <w:szCs w:val="24"/>
        </w:rPr>
        <w:t>es restrictions au droit du parent non hébergeant</w:t>
      </w:r>
    </w:p>
    <w:bookmarkEnd w:id="2"/>
    <w:p w14:paraId="7A656410" w14:textId="77777777" w:rsidR="004414ED" w:rsidRPr="007021D8" w:rsidRDefault="004414ED" w:rsidP="004414ED">
      <w:pPr>
        <w:jc w:val="both"/>
        <w:rPr>
          <w:rFonts w:ascii="Times New Roman" w:hAnsi="Times New Roman" w:cs="Times New Roman"/>
          <w:bCs/>
          <w:i/>
          <w:iCs/>
          <w:sz w:val="24"/>
          <w:szCs w:val="24"/>
        </w:rPr>
      </w:pPr>
      <w:r w:rsidRPr="007021D8">
        <w:rPr>
          <w:rFonts w:ascii="Times New Roman" w:hAnsi="Times New Roman" w:cs="Times New Roman"/>
          <w:iCs/>
          <w:sz w:val="24"/>
          <w:szCs w:val="24"/>
        </w:rPr>
        <w:t xml:space="preserve">Depuis l’arrêt </w:t>
      </w:r>
      <w:r w:rsidRPr="007021D8">
        <w:rPr>
          <w:rFonts w:ascii="Times New Roman" w:hAnsi="Times New Roman" w:cs="Times New Roman"/>
          <w:i/>
          <w:iCs/>
          <w:sz w:val="24"/>
          <w:szCs w:val="24"/>
        </w:rPr>
        <w:t>Fourchon c/ France</w:t>
      </w:r>
      <w:r w:rsidRPr="007021D8">
        <w:rPr>
          <w:rFonts w:ascii="Times New Roman" w:hAnsi="Times New Roman" w:cs="Times New Roman"/>
          <w:iCs/>
          <w:sz w:val="24"/>
          <w:szCs w:val="24"/>
        </w:rPr>
        <w:t xml:space="preserve"> du 28 sept. 2005, la Cour européenne affirme que l’article 8 inclut le droit pour le parent divorcé non investi du droit de garde de rendre visite à son enfant ou d’avoir des contacts avec lui</w:t>
      </w:r>
      <w:r w:rsidRPr="007021D8">
        <w:rPr>
          <w:rFonts w:ascii="Times New Roman" w:hAnsi="Times New Roman" w:cs="Times New Roman"/>
          <w:iCs/>
          <w:sz w:val="24"/>
          <w:szCs w:val="24"/>
        </w:rPr>
        <w:fldChar w:fldCharType="begin"/>
      </w:r>
      <w:r w:rsidRPr="007021D8">
        <w:rPr>
          <w:rFonts w:ascii="Times New Roman" w:hAnsi="Times New Roman" w:cs="Times New Roman"/>
          <w:iCs/>
          <w:sz w:val="24"/>
          <w:szCs w:val="24"/>
        </w:rPr>
        <w:instrText xml:space="preserve"> XE "$$Fourchon (2005)" </w:instrText>
      </w:r>
      <w:r w:rsidRPr="007021D8">
        <w:rPr>
          <w:rFonts w:ascii="Times New Roman" w:hAnsi="Times New Roman" w:cs="Times New Roman"/>
          <w:iCs/>
          <w:sz w:val="24"/>
          <w:szCs w:val="24"/>
        </w:rPr>
        <w:fldChar w:fldCharType="end"/>
      </w:r>
      <w:r w:rsidRPr="007021D8">
        <w:rPr>
          <w:rFonts w:ascii="Times New Roman" w:hAnsi="Times New Roman" w:cs="Times New Roman"/>
          <w:i/>
          <w:iCs/>
          <w:sz w:val="24"/>
          <w:szCs w:val="24"/>
        </w:rPr>
        <w:t>.</w:t>
      </w:r>
      <w:r w:rsidRPr="007021D8">
        <w:rPr>
          <w:rFonts w:ascii="Times New Roman" w:hAnsi="Times New Roman" w:cs="Times New Roman"/>
          <w:iCs/>
          <w:sz w:val="24"/>
          <w:szCs w:val="24"/>
        </w:rPr>
        <w:t xml:space="preserve"> Dans l’arrêt </w:t>
      </w:r>
      <w:r w:rsidRPr="007021D8">
        <w:rPr>
          <w:rFonts w:ascii="Times New Roman" w:hAnsi="Times New Roman" w:cs="Times New Roman"/>
          <w:i/>
          <w:iCs/>
          <w:sz w:val="24"/>
          <w:szCs w:val="24"/>
        </w:rPr>
        <w:t>Cristian Cătălin Ungureanu c/ Roumanie</w:t>
      </w:r>
      <w:r w:rsidRPr="007021D8">
        <w:rPr>
          <w:rFonts w:ascii="Times New Roman" w:hAnsi="Times New Roman" w:cs="Times New Roman"/>
          <w:iCs/>
          <w:sz w:val="24"/>
          <w:szCs w:val="24"/>
        </w:rPr>
        <w:t xml:space="preserve"> du 4 sept. 2018, la Cour EDH condamne la législation qui ne permet pas à un tribunal de statuer, pendant la procédure de divorce, sur le droit de visite du parent qui ne s’est pas vu attribuer la garde de l’enfant, le privant de contacts avec son enfant pendant les 4 ans de procédure.</w:t>
      </w:r>
      <w:r w:rsidRPr="007021D8">
        <w:rPr>
          <w:rFonts w:ascii="Times New Roman" w:hAnsi="Times New Roman" w:cs="Times New Roman"/>
          <w:bCs/>
          <w:iCs/>
          <w:sz w:val="24"/>
          <w:szCs w:val="24"/>
        </w:rPr>
        <w:t xml:space="preserve"> Selon la Cour européenne, dans le cadre de la séparation parentale, l’intérêt de l’enfant réside dans la préservation et le développement de ses liens avec ses deux parents, dans la mesure du possible, sur un pied d’égalité, sauf limitations légales justifiées par des considérations relatives à son l’intérêt supérieur</w:t>
      </w:r>
      <w:r w:rsidRPr="007021D8">
        <w:rPr>
          <w:rFonts w:ascii="Times New Roman" w:hAnsi="Times New Roman" w:cs="Times New Roman"/>
          <w:bCs/>
          <w:iCs/>
          <w:sz w:val="24"/>
          <w:szCs w:val="24"/>
          <w:lang w:val="fr"/>
        </w:rPr>
        <w:t xml:space="preserve"> </w:t>
      </w:r>
      <w:r w:rsidRPr="007021D8">
        <w:rPr>
          <w:rFonts w:ascii="Times New Roman" w:hAnsi="Times New Roman" w:cs="Times New Roman"/>
          <w:bCs/>
          <w:sz w:val="24"/>
          <w:szCs w:val="24"/>
          <w:lang w:val="fr"/>
        </w:rPr>
        <w:t>(</w:t>
      </w:r>
      <w:r w:rsidRPr="007021D8">
        <w:rPr>
          <w:rFonts w:ascii="Times New Roman" w:hAnsi="Times New Roman" w:cs="Times New Roman"/>
          <w:bCs/>
          <w:sz w:val="24"/>
          <w:szCs w:val="24"/>
        </w:rPr>
        <w:t>CEDH, 25 mai 2021, n</w:t>
      </w:r>
      <w:r w:rsidRPr="007021D8">
        <w:rPr>
          <w:rFonts w:ascii="Times New Roman" w:hAnsi="Times New Roman" w:cs="Times New Roman"/>
          <w:bCs/>
          <w:sz w:val="24"/>
          <w:szCs w:val="24"/>
          <w:vertAlign w:val="superscript"/>
        </w:rPr>
        <w:t>o</w:t>
      </w:r>
      <w:r w:rsidRPr="007021D8">
        <w:rPr>
          <w:rFonts w:ascii="Times New Roman" w:hAnsi="Times New Roman" w:cs="Times New Roman"/>
          <w:bCs/>
          <w:sz w:val="24"/>
          <w:szCs w:val="24"/>
        </w:rPr>
        <w:t xml:space="preserve"> 40639/17, Nechay c/ Russie)</w:t>
      </w:r>
      <w:r w:rsidRPr="007021D8">
        <w:rPr>
          <w:rFonts w:ascii="Times New Roman" w:hAnsi="Times New Roman" w:cs="Times New Roman"/>
          <w:bCs/>
          <w:i/>
          <w:iCs/>
          <w:sz w:val="24"/>
          <w:szCs w:val="24"/>
        </w:rPr>
        <w:t xml:space="preserve">. </w:t>
      </w:r>
    </w:p>
    <w:p w14:paraId="1EBCB3CC" w14:textId="77777777" w:rsidR="004414ED" w:rsidRDefault="004414ED" w:rsidP="004414ED">
      <w:pPr>
        <w:jc w:val="both"/>
        <w:rPr>
          <w:rFonts w:ascii="Times New Roman" w:hAnsi="Times New Roman" w:cs="Times New Roman"/>
          <w:iCs/>
          <w:sz w:val="24"/>
          <w:szCs w:val="24"/>
        </w:rPr>
      </w:pPr>
      <w:r w:rsidRPr="007021D8">
        <w:rPr>
          <w:rFonts w:ascii="Times New Roman" w:hAnsi="Times New Roman" w:cs="Times New Roman"/>
          <w:iCs/>
          <w:sz w:val="24"/>
          <w:szCs w:val="24"/>
        </w:rPr>
        <w:t>La cour précise que si les autorités internes jouissent d’une large marge d’appréciation lorsqu’elles statuent sur des questions de garde, un contrôle plus strict s’impose en ce qui concerne toute autre limitation, telle que les restrictions imposées par ces autorités au droit de visite parental, de telles limitations comportant le risque que les relations familiales entre un enfant en bas âge et l’un ou les deux parents soient effectivement restreintes (Katsikeros c/ Grèce (CEDH, 20 juil. 2022).</w:t>
      </w:r>
    </w:p>
    <w:p w14:paraId="484A67DC" w14:textId="77777777" w:rsidR="004414ED" w:rsidRPr="00BB2308" w:rsidRDefault="004414ED" w:rsidP="004414ED">
      <w:pPr>
        <w:jc w:val="both"/>
        <w:rPr>
          <w:rFonts w:ascii="Times New Roman" w:hAnsi="Times New Roman" w:cs="Times New Roman"/>
          <w:iCs/>
          <w:sz w:val="24"/>
          <w:szCs w:val="24"/>
        </w:rPr>
      </w:pPr>
      <w:r w:rsidRPr="00BB2308">
        <w:rPr>
          <w:rFonts w:ascii="Times New Roman" w:hAnsi="Times New Roman" w:cs="Times New Roman"/>
          <w:iCs/>
          <w:sz w:val="24"/>
          <w:szCs w:val="24"/>
        </w:rPr>
        <w:t>La Cour contrôle les restrictions apportées au droit de visite du parent non hébergeant qui doivent reposer sur des motifs pertinents et suffisants. Ainsi a-t</w:t>
      </w:r>
      <w:r w:rsidRPr="00BB2308">
        <w:rPr>
          <w:rFonts w:ascii="Times New Roman" w:hAnsi="Times New Roman" w:cs="Times New Roman"/>
          <w:iCs/>
          <w:sz w:val="24"/>
          <w:szCs w:val="24"/>
        </w:rPr>
        <w:noBreakHyphen/>
        <w:t xml:space="preserve">elle critiqué dans l’arrêt </w:t>
      </w:r>
      <w:r w:rsidRPr="00BB2308">
        <w:rPr>
          <w:rFonts w:ascii="Times New Roman" w:hAnsi="Times New Roman" w:cs="Times New Roman"/>
          <w:i/>
          <w:iCs/>
          <w:sz w:val="24"/>
          <w:szCs w:val="24"/>
        </w:rPr>
        <w:t>Improta c/ Italie</w:t>
      </w:r>
      <w:r w:rsidRPr="00BB2308">
        <w:rPr>
          <w:rFonts w:ascii="Times New Roman" w:hAnsi="Times New Roman" w:cs="Times New Roman"/>
          <w:iCs/>
          <w:sz w:val="24"/>
          <w:szCs w:val="24"/>
        </w:rPr>
        <w:t xml:space="preserve"> du 4 mai 2017, le fait que le requérant se soit vu imposer pendant quatre mois des visites en milieu protégé alors que l’enfant ne courait aucun risque et que les services sociaux ont autorisé des rencontres libres à l’issue de ce délai (</w:t>
      </w:r>
      <w:r w:rsidRPr="00BB2308">
        <w:rPr>
          <w:rFonts w:ascii="Times New Roman" w:hAnsi="Times New Roman" w:cs="Times New Roman"/>
          <w:i/>
          <w:iCs/>
          <w:sz w:val="24"/>
          <w:szCs w:val="24"/>
        </w:rPr>
        <w:t>Kacper Nowakpwski c/ Pologne</w:t>
      </w:r>
      <w:r w:rsidRPr="00BB2308">
        <w:rPr>
          <w:rFonts w:ascii="Times New Roman" w:hAnsi="Times New Roman" w:cs="Times New Roman"/>
          <w:iCs/>
          <w:sz w:val="24"/>
          <w:szCs w:val="24"/>
        </w:rPr>
        <w:t xml:space="preserve">, 10 janv. 2017 ; </w:t>
      </w:r>
      <w:r w:rsidRPr="00BB2308">
        <w:rPr>
          <w:rFonts w:ascii="Times New Roman" w:hAnsi="Times New Roman" w:cs="Times New Roman"/>
          <w:i/>
          <w:iCs/>
          <w:sz w:val="24"/>
          <w:szCs w:val="24"/>
        </w:rPr>
        <w:t>Nechay c/ Russie</w:t>
      </w:r>
      <w:r w:rsidRPr="00BB2308">
        <w:rPr>
          <w:rFonts w:ascii="Times New Roman" w:hAnsi="Times New Roman" w:cs="Times New Roman"/>
          <w:iCs/>
          <w:sz w:val="24"/>
          <w:szCs w:val="24"/>
        </w:rPr>
        <w:t xml:space="preserve">, 25 mai 2021). La Cour exige, en outre, que les éléments permettant de justifier la restriction d’un droit de visite dans son étendue ou sa nature soient </w:t>
      </w:r>
      <w:r w:rsidRPr="00BB2308">
        <w:rPr>
          <w:rFonts w:ascii="Times New Roman" w:hAnsi="Times New Roman" w:cs="Times New Roman"/>
          <w:iCs/>
          <w:sz w:val="24"/>
          <w:szCs w:val="24"/>
        </w:rPr>
        <w:lastRenderedPageBreak/>
        <w:t>récents et tiennent compte de l’évolution de la situation et particulièrement de l’amélioration des relations entre le requérant et son enfant (</w:t>
      </w:r>
      <w:r w:rsidRPr="00BB2308">
        <w:rPr>
          <w:rFonts w:ascii="Times New Roman" w:hAnsi="Times New Roman" w:cs="Times New Roman"/>
          <w:i/>
          <w:iCs/>
          <w:sz w:val="24"/>
          <w:szCs w:val="24"/>
        </w:rPr>
        <w:t>Improta</w:t>
      </w:r>
      <w:r w:rsidRPr="00BB2308">
        <w:rPr>
          <w:rFonts w:ascii="Times New Roman" w:hAnsi="Times New Roman" w:cs="Times New Roman"/>
          <w:iCs/>
          <w:sz w:val="24"/>
          <w:szCs w:val="24"/>
        </w:rPr>
        <w:t xml:space="preserve">). Elle condamne dans l’arrêt </w:t>
      </w:r>
      <w:r w:rsidRPr="00BB2308">
        <w:rPr>
          <w:rFonts w:ascii="Times New Roman" w:hAnsi="Times New Roman" w:cs="Times New Roman"/>
          <w:i/>
          <w:iCs/>
          <w:sz w:val="24"/>
          <w:szCs w:val="24"/>
        </w:rPr>
        <w:t>Cînta c/ Roumanie</w:t>
      </w:r>
      <w:r w:rsidRPr="00BB2308">
        <w:rPr>
          <w:rFonts w:ascii="Times New Roman" w:hAnsi="Times New Roman" w:cs="Times New Roman"/>
          <w:iCs/>
          <w:sz w:val="24"/>
          <w:szCs w:val="24"/>
        </w:rPr>
        <w:t xml:space="preserve"> du 18 févr. 2020 (</w:t>
      </w:r>
      <w:r w:rsidRPr="00BB2308">
        <w:rPr>
          <w:rFonts w:ascii="Times New Roman" w:hAnsi="Times New Roman" w:cs="Times New Roman"/>
          <w:i/>
          <w:iCs/>
          <w:sz w:val="24"/>
          <w:szCs w:val="24"/>
        </w:rPr>
        <w:t>JCP G</w:t>
      </w:r>
      <w:r w:rsidRPr="00BB2308">
        <w:rPr>
          <w:rFonts w:ascii="Times New Roman" w:hAnsi="Times New Roman" w:cs="Times New Roman"/>
          <w:iCs/>
          <w:sz w:val="24"/>
          <w:szCs w:val="24"/>
        </w:rPr>
        <w:t xml:space="preserve"> 2020, 313, H. Surrel) les restrictions apportées au droit de visite d’un père en raison de son état de santé mentale et exige qu’il soit procédé à un examen concret et complet de l’impact de son handicap sur sa capacité à s’occuper de son enfant. Il en va de même d’un un droit de visite de deux heures tous les deux mois, accordé au père d’un enfant, </w:t>
      </w:r>
      <w:r w:rsidRPr="00BB2308">
        <w:rPr>
          <w:rFonts w:ascii="Times New Roman" w:hAnsi="Times New Roman" w:cs="Times New Roman"/>
          <w:iCs/>
          <w:sz w:val="24"/>
          <w:szCs w:val="24"/>
          <w:lang w:val="fr"/>
        </w:rPr>
        <w:t>avec accord préalable et en présence de la mère,</w:t>
      </w:r>
      <w:r w:rsidRPr="00BB2308">
        <w:rPr>
          <w:rFonts w:ascii="Times New Roman" w:hAnsi="Times New Roman" w:cs="Times New Roman"/>
          <w:iCs/>
          <w:sz w:val="24"/>
          <w:szCs w:val="24"/>
        </w:rPr>
        <w:t xml:space="preserve"> qui était fondée sur des motifs pertinents – l’absence de relations de l’enfant avec son père pendant une longue période - mais pas suffisants - plusieurs éléments favorables à la reprise des relations du père avec sa fille n’ont pas été prises en compte - </w:t>
      </w:r>
      <w:r w:rsidRPr="00BB2308">
        <w:rPr>
          <w:rFonts w:ascii="Times New Roman" w:hAnsi="Times New Roman" w:cs="Times New Roman"/>
          <w:i/>
          <w:iCs/>
          <w:sz w:val="24"/>
          <w:szCs w:val="24"/>
          <w:lang w:val="fr"/>
        </w:rPr>
        <w:t>(</w:t>
      </w:r>
      <w:r w:rsidRPr="00BB2308">
        <w:rPr>
          <w:rFonts w:ascii="Times New Roman" w:hAnsi="Times New Roman" w:cs="Times New Roman"/>
          <w:bCs/>
          <w:i/>
          <w:iCs/>
          <w:sz w:val="24"/>
          <w:szCs w:val="24"/>
        </w:rPr>
        <w:t>Nechay c/ Russie 25 mai 2021). Une</w:t>
      </w:r>
      <w:r w:rsidRPr="00BB2308">
        <w:rPr>
          <w:rFonts w:ascii="Times New Roman" w:hAnsi="Times New Roman" w:cs="Times New Roman"/>
          <w:b/>
          <w:i/>
          <w:iCs/>
          <w:sz w:val="24"/>
          <w:szCs w:val="24"/>
        </w:rPr>
        <w:t xml:space="preserve"> </w:t>
      </w:r>
      <w:r w:rsidRPr="00BB2308">
        <w:rPr>
          <w:rFonts w:ascii="Times New Roman" w:hAnsi="Times New Roman" w:cs="Times New Roman"/>
          <w:bCs/>
          <w:iCs/>
          <w:sz w:val="24"/>
          <w:szCs w:val="24"/>
        </w:rPr>
        <w:t>restriction similaire</w:t>
      </w:r>
      <w:r w:rsidRPr="00BB2308">
        <w:rPr>
          <w:rFonts w:ascii="Times New Roman" w:hAnsi="Times New Roman" w:cs="Times New Roman"/>
          <w:b/>
          <w:i/>
          <w:iCs/>
          <w:sz w:val="24"/>
          <w:szCs w:val="24"/>
        </w:rPr>
        <w:t xml:space="preserve"> </w:t>
      </w:r>
      <w:r w:rsidRPr="00BB2308">
        <w:rPr>
          <w:rFonts w:ascii="Times New Roman" w:hAnsi="Times New Roman" w:cs="Times New Roman"/>
          <w:bCs/>
          <w:iCs/>
          <w:sz w:val="24"/>
          <w:szCs w:val="24"/>
        </w:rPr>
        <w:t>peut en revanche être justifiée au nom de l’intérêt supérieur de l’enfant</w:t>
      </w:r>
      <w:r w:rsidRPr="00BB2308">
        <w:rPr>
          <w:rFonts w:ascii="Times New Roman" w:hAnsi="Times New Roman" w:cs="Times New Roman"/>
          <w:bCs/>
          <w:i/>
          <w:iCs/>
          <w:sz w:val="24"/>
          <w:szCs w:val="24"/>
        </w:rPr>
        <w:t xml:space="preserve"> (</w:t>
      </w:r>
      <w:r w:rsidRPr="00BB2308">
        <w:rPr>
          <w:rFonts w:ascii="Times New Roman" w:hAnsi="Times New Roman" w:cs="Times New Roman"/>
          <w:i/>
          <w:iCs/>
          <w:sz w:val="24"/>
          <w:szCs w:val="24"/>
        </w:rPr>
        <w:t>Chizhov c/ Russie, 6 juil. 2021</w:t>
      </w:r>
      <w:r w:rsidRPr="00BB2308">
        <w:rPr>
          <w:rFonts w:ascii="Times New Roman" w:hAnsi="Times New Roman" w:cs="Times New Roman"/>
          <w:iCs/>
          <w:sz w:val="24"/>
          <w:szCs w:val="24"/>
        </w:rPr>
        <w:t xml:space="preserve">). L’arrêt </w:t>
      </w:r>
      <w:r w:rsidRPr="00BB2308">
        <w:rPr>
          <w:rFonts w:ascii="Times New Roman" w:hAnsi="Times New Roman" w:cs="Times New Roman"/>
          <w:i/>
          <w:iCs/>
          <w:sz w:val="24"/>
          <w:szCs w:val="24"/>
        </w:rPr>
        <w:t>Popadic</w:t>
      </w:r>
      <w:r w:rsidRPr="00BB2308">
        <w:rPr>
          <w:rFonts w:ascii="Times New Roman" w:hAnsi="Times New Roman" w:cs="Times New Roman"/>
          <w:iCs/>
          <w:sz w:val="24"/>
          <w:szCs w:val="24"/>
        </w:rPr>
        <w:t xml:space="preserve"> précise que les relations de l’enfant impliquent un hébergement la nuit.</w:t>
      </w:r>
      <w:r>
        <w:rPr>
          <w:rFonts w:ascii="Times New Roman" w:hAnsi="Times New Roman" w:cs="Times New Roman"/>
          <w:iCs/>
          <w:sz w:val="24"/>
          <w:szCs w:val="24"/>
        </w:rPr>
        <w:t xml:space="preserve"> </w:t>
      </w:r>
      <w:r w:rsidRPr="00BB2308">
        <w:rPr>
          <w:rFonts w:ascii="Times New Roman" w:hAnsi="Times New Roman" w:cs="Times New Roman"/>
          <w:iCs/>
          <w:sz w:val="24"/>
          <w:szCs w:val="24"/>
        </w:rPr>
        <w:t xml:space="preserve">Le fait pour le parent hébergeant d’emmener l’enfant à l’étranger constitue une limitation des droits de l’autre qui par hypothèse aura des liens plus distendus avec lui. La Cour exige sur ce point également que soit procédé à une appréciation </w:t>
      </w:r>
      <w:r w:rsidRPr="00BB2308">
        <w:rPr>
          <w:rFonts w:ascii="Times New Roman" w:hAnsi="Times New Roman" w:cs="Times New Roman"/>
          <w:i/>
          <w:iCs/>
          <w:sz w:val="24"/>
          <w:szCs w:val="24"/>
        </w:rPr>
        <w:t>in concreto</w:t>
      </w:r>
      <w:r w:rsidRPr="00BB2308">
        <w:rPr>
          <w:rFonts w:ascii="Times New Roman" w:hAnsi="Times New Roman" w:cs="Times New Roman"/>
          <w:iCs/>
          <w:sz w:val="24"/>
          <w:szCs w:val="24"/>
        </w:rPr>
        <w:t xml:space="preserve"> de l’intérêt de l’enfant (</w:t>
      </w:r>
      <w:r w:rsidRPr="00BB2308">
        <w:rPr>
          <w:rFonts w:ascii="Times New Roman" w:hAnsi="Times New Roman" w:cs="Times New Roman"/>
          <w:i/>
          <w:iCs/>
          <w:sz w:val="24"/>
          <w:szCs w:val="24"/>
        </w:rPr>
        <w:t>Penchevi c/ Bulgarie</w:t>
      </w:r>
      <w:r w:rsidRPr="00BB2308">
        <w:rPr>
          <w:rFonts w:ascii="Times New Roman" w:hAnsi="Times New Roman" w:cs="Times New Roman"/>
          <w:iCs/>
          <w:sz w:val="24"/>
          <w:szCs w:val="24"/>
        </w:rPr>
        <w:t xml:space="preserve">, 10 févr. 2015, </w:t>
      </w:r>
      <w:r w:rsidRPr="00BB2308">
        <w:rPr>
          <w:rFonts w:ascii="Times New Roman" w:hAnsi="Times New Roman" w:cs="Times New Roman"/>
          <w:i/>
          <w:iCs/>
          <w:sz w:val="24"/>
          <w:szCs w:val="24"/>
        </w:rPr>
        <w:t>Dimova et Peeva c/ Bulgarie</w:t>
      </w:r>
      <w:r w:rsidRPr="00BB2308">
        <w:rPr>
          <w:rFonts w:ascii="Times New Roman" w:hAnsi="Times New Roman" w:cs="Times New Roman"/>
          <w:iCs/>
          <w:sz w:val="24"/>
          <w:szCs w:val="24"/>
        </w:rPr>
        <w:t xml:space="preserve"> 19 janv. 2017).</w:t>
      </w:r>
    </w:p>
    <w:p w14:paraId="697F3916" w14:textId="77777777" w:rsidR="004414ED" w:rsidRDefault="004414ED" w:rsidP="004414ED">
      <w:pPr>
        <w:jc w:val="both"/>
        <w:rPr>
          <w:rFonts w:ascii="Times New Roman" w:hAnsi="Times New Roman" w:cs="Times New Roman"/>
          <w:iCs/>
          <w:sz w:val="24"/>
          <w:szCs w:val="24"/>
        </w:rPr>
      </w:pPr>
      <w:r w:rsidRPr="00BB2308">
        <w:rPr>
          <w:rFonts w:ascii="Times New Roman" w:hAnsi="Times New Roman" w:cs="Times New Roman"/>
          <w:iCs/>
          <w:sz w:val="24"/>
          <w:szCs w:val="24"/>
        </w:rPr>
        <w:t xml:space="preserve">La cour admet dans l’arrêt </w:t>
      </w:r>
      <w:r w:rsidRPr="00BB2308">
        <w:rPr>
          <w:rFonts w:ascii="Times New Roman" w:hAnsi="Times New Roman" w:cs="Times New Roman"/>
          <w:bCs/>
          <w:i/>
          <w:iCs/>
          <w:sz w:val="24"/>
          <w:szCs w:val="24"/>
        </w:rPr>
        <w:t xml:space="preserve">T.C. c/ </w:t>
      </w:r>
      <w:proofErr w:type="gramStart"/>
      <w:r w:rsidRPr="00BB2308">
        <w:rPr>
          <w:rFonts w:ascii="Times New Roman" w:hAnsi="Times New Roman" w:cs="Times New Roman"/>
          <w:bCs/>
          <w:i/>
          <w:iCs/>
          <w:sz w:val="24"/>
          <w:szCs w:val="24"/>
        </w:rPr>
        <w:t>l’Italie</w:t>
      </w:r>
      <w:r w:rsidRPr="00BB2308">
        <w:rPr>
          <w:rFonts w:ascii="Times New Roman" w:hAnsi="Times New Roman" w:cs="Times New Roman"/>
          <w:bCs/>
          <w:iCs/>
          <w:sz w:val="24"/>
          <w:szCs w:val="24"/>
        </w:rPr>
        <w:t xml:space="preserve">  du</w:t>
      </w:r>
      <w:proofErr w:type="gramEnd"/>
      <w:r w:rsidRPr="00BB2308">
        <w:rPr>
          <w:rFonts w:ascii="Times New Roman" w:hAnsi="Times New Roman" w:cs="Times New Roman"/>
          <w:bCs/>
          <w:iCs/>
          <w:sz w:val="24"/>
          <w:szCs w:val="24"/>
        </w:rPr>
        <w:t xml:space="preserve"> </w:t>
      </w:r>
      <w:r w:rsidRPr="00BB2308">
        <w:rPr>
          <w:rFonts w:ascii="Times New Roman" w:hAnsi="Times New Roman" w:cs="Times New Roman"/>
          <w:bCs/>
          <w:i/>
          <w:iCs/>
          <w:sz w:val="24"/>
          <w:szCs w:val="24"/>
        </w:rPr>
        <w:t>19 mai 2022</w:t>
      </w:r>
      <w:r w:rsidRPr="00BB2308">
        <w:rPr>
          <w:rFonts w:ascii="Times New Roman" w:hAnsi="Times New Roman" w:cs="Times New Roman"/>
          <w:b/>
          <w:i/>
          <w:iCs/>
          <w:sz w:val="24"/>
          <w:szCs w:val="24"/>
        </w:rPr>
        <w:t xml:space="preserve"> </w:t>
      </w:r>
      <w:r w:rsidRPr="00BB2308">
        <w:rPr>
          <w:rFonts w:ascii="Times New Roman" w:hAnsi="Times New Roman" w:cs="Times New Roman"/>
          <w:bCs/>
          <w:i/>
          <w:iCs/>
          <w:sz w:val="24"/>
          <w:szCs w:val="24"/>
        </w:rPr>
        <w:t>que</w:t>
      </w:r>
      <w:r w:rsidRPr="00BB2308">
        <w:rPr>
          <w:rFonts w:ascii="Times New Roman" w:hAnsi="Times New Roman" w:cs="Times New Roman"/>
          <w:iCs/>
          <w:sz w:val="24"/>
          <w:szCs w:val="24"/>
        </w:rPr>
        <w:t xml:space="preserve"> les juridictions italiennes demandent à un père, adepte des témoins de Jéhovah, de s’abstenir d’impliquer activement sa fille sans ses activités religieuses.</w:t>
      </w:r>
    </w:p>
    <w:p w14:paraId="14693D00" w14:textId="77777777" w:rsidR="004414ED" w:rsidRPr="00AE2210" w:rsidRDefault="004414ED" w:rsidP="004414ED">
      <w:pPr>
        <w:jc w:val="both"/>
        <w:rPr>
          <w:rFonts w:ascii="Times New Roman" w:hAnsi="Times New Roman" w:cs="Times New Roman"/>
          <w:iCs/>
          <w:sz w:val="24"/>
          <w:szCs w:val="24"/>
        </w:rPr>
      </w:pPr>
      <w:bookmarkStart w:id="3" w:name="_Hlk183356715"/>
      <w:bookmarkStart w:id="4" w:name="_Hlk55389906"/>
      <w:r>
        <w:rPr>
          <w:rFonts w:ascii="Times New Roman" w:hAnsi="Times New Roman" w:cs="Times New Roman"/>
          <w:b/>
          <w:bCs/>
          <w:iCs/>
          <w:sz w:val="24"/>
          <w:szCs w:val="24"/>
        </w:rPr>
        <w:t>3</w:t>
      </w:r>
      <w:r w:rsidRPr="00AE2210">
        <w:rPr>
          <w:rFonts w:ascii="Times New Roman" w:hAnsi="Times New Roman" w:cs="Times New Roman"/>
          <w:b/>
          <w:bCs/>
          <w:iCs/>
          <w:sz w:val="24"/>
          <w:szCs w:val="24"/>
        </w:rPr>
        <w:t>. L’ingérence dans la vie familiale des étrangers : l’éloignement du territoire</w:t>
      </w:r>
    </w:p>
    <w:bookmarkEnd w:id="3"/>
    <w:p w14:paraId="2455E10C" w14:textId="77777777" w:rsidR="004414ED" w:rsidRPr="006A15E4" w:rsidRDefault="004414ED" w:rsidP="004414ED">
      <w:pPr>
        <w:jc w:val="both"/>
        <w:rPr>
          <w:rFonts w:ascii="Times New Roman" w:hAnsi="Times New Roman" w:cs="Times New Roman"/>
          <w:iCs/>
          <w:sz w:val="24"/>
          <w:szCs w:val="24"/>
        </w:rPr>
      </w:pPr>
      <w:r w:rsidRPr="006A15E4">
        <w:rPr>
          <w:rFonts w:ascii="Times New Roman" w:hAnsi="Times New Roman" w:cs="Times New Roman"/>
          <w:iCs/>
          <w:sz w:val="24"/>
          <w:szCs w:val="24"/>
        </w:rPr>
        <w:t>Si, selon un principe de droit international bien établi, les États ont le droit de contrôler l’entrée et le séjour des étrangers sur leur territoire, ils ne peuvent faire abstraction de leurs droits fondamentaux</w:t>
      </w:r>
      <w:r>
        <w:rPr>
          <w:rFonts w:ascii="Times New Roman" w:hAnsi="Times New Roman" w:cs="Times New Roman"/>
          <w:iCs/>
          <w:sz w:val="24"/>
          <w:szCs w:val="24"/>
        </w:rPr>
        <w:t xml:space="preserve"> et particulièrement de leur droit au respect de la vie familiale</w:t>
      </w:r>
      <w:r w:rsidRPr="006A15E4">
        <w:rPr>
          <w:rFonts w:ascii="Times New Roman" w:hAnsi="Times New Roman" w:cs="Times New Roman"/>
          <w:iCs/>
          <w:sz w:val="24"/>
          <w:szCs w:val="24"/>
        </w:rPr>
        <w:t xml:space="preserve">. La décision d’éloigner un étranger implique de mettre en balance avec soin les différents intérêts en jeu – y compris, le cas échéant, l'intérêt supérieur des enfants – et de procéder à une analyse approfondie de sa proportionnalité et de son impact sur la vie familiale des personnes concernées (CEDH, Gde ch., 18 oct. 2006, 46410/99, Üner c/ Pays-Bas). </w:t>
      </w:r>
    </w:p>
    <w:p w14:paraId="0DA75E1B" w14:textId="77777777" w:rsidR="004414ED" w:rsidRPr="00AE2210" w:rsidRDefault="004414ED" w:rsidP="004414ED">
      <w:pPr>
        <w:jc w:val="both"/>
        <w:rPr>
          <w:rFonts w:ascii="Times New Roman" w:hAnsi="Times New Roman" w:cs="Times New Roman"/>
          <w:iCs/>
          <w:sz w:val="24"/>
          <w:szCs w:val="24"/>
        </w:rPr>
      </w:pPr>
      <w:r>
        <w:rPr>
          <w:rFonts w:ascii="Times New Roman" w:hAnsi="Times New Roman" w:cs="Times New Roman"/>
          <w:iCs/>
          <w:sz w:val="24"/>
          <w:szCs w:val="24"/>
        </w:rPr>
        <w:t>Le contrôle des ingérences dans la vie familiale des étrangers implique de vérifier que l’éloignement de l’étranger dont la famille réside dans l’Etat est fondée sur un but légitime et est proportionnée.</w:t>
      </w:r>
    </w:p>
    <w:bookmarkEnd w:id="4"/>
    <w:p w14:paraId="68D1F5FE" w14:textId="77777777" w:rsidR="004414ED" w:rsidRPr="00AE2210" w:rsidRDefault="004414ED" w:rsidP="004414ED">
      <w:pPr>
        <w:jc w:val="both"/>
        <w:rPr>
          <w:rFonts w:ascii="Times New Roman" w:hAnsi="Times New Roman" w:cs="Times New Roman"/>
          <w:iCs/>
          <w:sz w:val="24"/>
          <w:szCs w:val="24"/>
        </w:rPr>
      </w:pPr>
      <w:r>
        <w:rPr>
          <w:rFonts w:ascii="Times New Roman" w:hAnsi="Times New Roman" w:cs="Times New Roman"/>
          <w:iCs/>
          <w:sz w:val="24"/>
          <w:szCs w:val="24"/>
        </w:rPr>
        <w:t>La Cour admet que l</w:t>
      </w:r>
      <w:r w:rsidRPr="00AE2210">
        <w:rPr>
          <w:rFonts w:ascii="Times New Roman" w:hAnsi="Times New Roman" w:cs="Times New Roman"/>
          <w:iCs/>
          <w:sz w:val="24"/>
          <w:szCs w:val="24"/>
        </w:rPr>
        <w:t xml:space="preserve">’éloignement </w:t>
      </w:r>
      <w:r>
        <w:rPr>
          <w:rFonts w:ascii="Times New Roman" w:hAnsi="Times New Roman" w:cs="Times New Roman"/>
          <w:iCs/>
          <w:sz w:val="24"/>
          <w:szCs w:val="24"/>
        </w:rPr>
        <w:t xml:space="preserve">de l’étranger </w:t>
      </w:r>
      <w:r w:rsidRPr="00AE2210">
        <w:rPr>
          <w:rFonts w:ascii="Times New Roman" w:hAnsi="Times New Roman" w:cs="Times New Roman"/>
          <w:iCs/>
          <w:sz w:val="24"/>
          <w:szCs w:val="24"/>
        </w:rPr>
        <w:t>peut être justifié par le souci de l’État de maîtriser sa politique d’immigration, notamment au regard du caractère irrégulier du séjour</w:t>
      </w:r>
      <w:r>
        <w:rPr>
          <w:rFonts w:ascii="Times New Roman" w:hAnsi="Times New Roman" w:cs="Times New Roman"/>
          <w:iCs/>
          <w:sz w:val="24"/>
          <w:szCs w:val="24"/>
        </w:rPr>
        <w:t xml:space="preserve">. </w:t>
      </w:r>
      <w:r w:rsidRPr="00AE2210">
        <w:rPr>
          <w:rFonts w:ascii="Times New Roman" w:hAnsi="Times New Roman" w:cs="Times New Roman"/>
          <w:iCs/>
          <w:sz w:val="24"/>
          <w:szCs w:val="24"/>
        </w:rPr>
        <w:t>Plus généralement, le but légitime poursuivi par toute mesure d’éloignement d’un étranger en situation irrégulière est celui de « la lutte contre l’immigration clandestine et du contrôle de l’entrée et du séjour des étrangers sur le territoire »</w:t>
      </w:r>
      <w:r>
        <w:rPr>
          <w:rFonts w:ascii="Times New Roman" w:hAnsi="Times New Roman" w:cs="Times New Roman"/>
          <w:iCs/>
          <w:sz w:val="24"/>
          <w:szCs w:val="24"/>
        </w:rPr>
        <w:t xml:space="preserve">. </w:t>
      </w:r>
      <w:r w:rsidRPr="00AE2210">
        <w:rPr>
          <w:rFonts w:ascii="Times New Roman" w:hAnsi="Times New Roman" w:cs="Times New Roman"/>
          <w:iCs/>
          <w:sz w:val="24"/>
          <w:szCs w:val="24"/>
        </w:rPr>
        <w:t>Le principe selon lequel « les personnes qui, sans se conformer aux règlements en vigueur, mettent par leur présence sur le territoire d’un État contractant les autorités de ce pays devant un fait accompli, ne peuvent d’une manière générale invoquer une espérance légitime qu’un droit de séjour leur sera accordé</w:t>
      </w:r>
      <w:r>
        <w:rPr>
          <w:rFonts w:ascii="Times New Roman" w:hAnsi="Times New Roman" w:cs="Times New Roman"/>
          <w:iCs/>
          <w:sz w:val="24"/>
          <w:szCs w:val="24"/>
        </w:rPr>
        <w:t>.</w:t>
      </w:r>
      <w:r w:rsidRPr="002A38DA">
        <w:rPr>
          <w:rFonts w:ascii="Times New Roman" w:hAnsi="Times New Roman" w:cs="Times New Roman"/>
          <w:iCs/>
          <w:sz w:val="24"/>
          <w:szCs w:val="24"/>
        </w:rPr>
        <w:t xml:space="preserve"> </w:t>
      </w:r>
      <w:r>
        <w:rPr>
          <w:rFonts w:ascii="Times New Roman" w:hAnsi="Times New Roman" w:cs="Times New Roman"/>
          <w:iCs/>
          <w:sz w:val="24"/>
          <w:szCs w:val="24"/>
        </w:rPr>
        <w:t>Autre but légitime : l’ordre et la sécurité publique</w:t>
      </w:r>
      <w:r w:rsidRPr="00AE2210">
        <w:rPr>
          <w:rFonts w:ascii="Times New Roman" w:hAnsi="Times New Roman" w:cs="Times New Roman"/>
          <w:iCs/>
          <w:sz w:val="24"/>
          <w:szCs w:val="24"/>
        </w:rPr>
        <w:t xml:space="preserve"> troublé par l’étranger délinquant. Ainsi les États contractants « lorsqu’ils assument leur mission de maintien de l’ordre public… ont la faculté d’expulser un étranger délinquant, entré et résidant légalement sur leur territoire » (</w:t>
      </w:r>
      <w:r w:rsidRPr="00C3326F">
        <w:rPr>
          <w:rFonts w:ascii="Times New Roman" w:hAnsi="Times New Roman" w:cs="Times New Roman"/>
          <w:iCs/>
          <w:sz w:val="24"/>
          <w:szCs w:val="24"/>
        </w:rPr>
        <w:t>Üner c. Pays-Bas, 18 octobre 2006</w:t>
      </w:r>
      <w:r>
        <w:rPr>
          <w:rFonts w:ascii="Times New Roman" w:hAnsi="Times New Roman" w:cs="Times New Roman"/>
          <w:iCs/>
          <w:sz w:val="24"/>
          <w:szCs w:val="24"/>
        </w:rPr>
        <w:t xml:space="preserve"> ; </w:t>
      </w:r>
      <w:r w:rsidRPr="00AE2210">
        <w:rPr>
          <w:rFonts w:ascii="Times New Roman" w:hAnsi="Times New Roman" w:cs="Times New Roman"/>
          <w:iCs/>
          <w:sz w:val="24"/>
          <w:szCs w:val="24"/>
        </w:rPr>
        <w:t>Emre c. Suisse, 22 mai 2008</w:t>
      </w:r>
      <w:r>
        <w:rPr>
          <w:rFonts w:ascii="Times New Roman" w:hAnsi="Times New Roman" w:cs="Times New Roman"/>
          <w:iCs/>
          <w:sz w:val="24"/>
          <w:szCs w:val="24"/>
        </w:rPr>
        <w:t>).</w:t>
      </w:r>
    </w:p>
    <w:p w14:paraId="59D6F65A"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lastRenderedPageBreak/>
        <w:t>La Cour a établi des</w:t>
      </w:r>
      <w:r w:rsidRPr="00AE2210">
        <w:rPr>
          <w:rFonts w:ascii="Times New Roman" w:hAnsi="Times New Roman" w:cs="Times New Roman"/>
          <w:iCs/>
          <w:sz w:val="24"/>
          <w:szCs w:val="24"/>
        </w:rPr>
        <w:t xml:space="preserve"> critères d’appréciation de la nécessité et de la proportionnalité de la mesure d’expulsion </w:t>
      </w:r>
      <w:r>
        <w:rPr>
          <w:rFonts w:ascii="Times New Roman" w:hAnsi="Times New Roman" w:cs="Times New Roman"/>
          <w:iCs/>
          <w:sz w:val="24"/>
          <w:szCs w:val="24"/>
        </w:rPr>
        <w:t>concernant un étranger ayant commis une infraction (</w:t>
      </w:r>
      <w:r w:rsidRPr="00AE2210">
        <w:rPr>
          <w:rFonts w:ascii="Times New Roman" w:hAnsi="Times New Roman" w:cs="Times New Roman"/>
          <w:iCs/>
          <w:sz w:val="24"/>
          <w:szCs w:val="24"/>
        </w:rPr>
        <w:t>Üner</w:t>
      </w:r>
      <w:r>
        <w:rPr>
          <w:rFonts w:ascii="Times New Roman" w:hAnsi="Times New Roman" w:cs="Times New Roman"/>
          <w:iCs/>
          <w:sz w:val="24"/>
          <w:szCs w:val="24"/>
        </w:rPr>
        <w:t>)</w:t>
      </w:r>
      <w:r w:rsidRPr="00AE2210">
        <w:rPr>
          <w:rFonts w:ascii="Times New Roman" w:hAnsi="Times New Roman" w:cs="Times New Roman"/>
          <w:iCs/>
          <w:sz w:val="24"/>
          <w:szCs w:val="24"/>
        </w:rPr>
        <w:t xml:space="preserve"> </w:t>
      </w:r>
    </w:p>
    <w:p w14:paraId="26B5B5CF"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AE2210">
        <w:rPr>
          <w:rFonts w:ascii="Times New Roman" w:hAnsi="Times New Roman" w:cs="Times New Roman"/>
          <w:iCs/>
          <w:sz w:val="24"/>
          <w:szCs w:val="24"/>
        </w:rPr>
        <w:t>durée du séjour</w:t>
      </w:r>
      <w:r>
        <w:rPr>
          <w:rFonts w:ascii="Times New Roman" w:hAnsi="Times New Roman" w:cs="Times New Roman"/>
          <w:iCs/>
          <w:sz w:val="24"/>
          <w:szCs w:val="24"/>
        </w:rPr>
        <w:t xml:space="preserve"> dans le pays d’accueil</w:t>
      </w:r>
    </w:p>
    <w:p w14:paraId="240C9B3F"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nationalité des différentes personnes concernées</w:t>
      </w:r>
    </w:p>
    <w:p w14:paraId="12AC7996"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AE2210">
        <w:rPr>
          <w:rFonts w:ascii="Times New Roman" w:hAnsi="Times New Roman" w:cs="Times New Roman"/>
          <w:iCs/>
          <w:sz w:val="24"/>
          <w:szCs w:val="24"/>
        </w:rPr>
        <w:t>solidité des liens sociaux</w:t>
      </w:r>
      <w:r>
        <w:rPr>
          <w:rFonts w:ascii="Times New Roman" w:hAnsi="Times New Roman" w:cs="Times New Roman"/>
          <w:iCs/>
          <w:sz w:val="24"/>
          <w:szCs w:val="24"/>
        </w:rPr>
        <w:t xml:space="preserve">, culturels et familiaux avec le pays d’accueil </w:t>
      </w:r>
    </w:p>
    <w:p w14:paraId="7DC11DB8"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liens avec le pays de destination</w:t>
      </w:r>
    </w:p>
    <w:p w14:paraId="749E1ED1"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situation familiale du requérant et notamment tous facteurs témoignant de l’effectivité de la vie familiale, l’existence d’enfants et leur âge, l’état des difficultés que les autres membres de la famille risquent de rencontrer dans le pays de destination.</w:t>
      </w:r>
    </w:p>
    <w:p w14:paraId="7111253E" w14:textId="77777777" w:rsidR="004414ED" w:rsidRDefault="004414ED" w:rsidP="004414ED">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 l’intérêt et le bien-être des enfants impactés par la mesure </w:t>
      </w:r>
    </w:p>
    <w:p w14:paraId="39CEBC53" w14:textId="77777777" w:rsidR="004414ED" w:rsidRDefault="004414ED" w:rsidP="004414ED">
      <w:pPr>
        <w:spacing w:after="0"/>
        <w:jc w:val="both"/>
        <w:rPr>
          <w:rFonts w:ascii="Times New Roman" w:hAnsi="Times New Roman" w:cs="Times New Roman"/>
          <w:iCs/>
          <w:sz w:val="24"/>
          <w:szCs w:val="24"/>
        </w:rPr>
      </w:pPr>
    </w:p>
    <w:p w14:paraId="4B1B9F48" w14:textId="2A533E4C" w:rsidR="004414ED" w:rsidRPr="002A38DA" w:rsidRDefault="004414ED" w:rsidP="004414ED">
      <w:pPr>
        <w:spacing w:after="0"/>
        <w:jc w:val="both"/>
        <w:rPr>
          <w:rFonts w:ascii="Times New Roman" w:hAnsi="Times New Roman" w:cs="Times New Roman"/>
          <w:iCs/>
          <w:sz w:val="24"/>
          <w:szCs w:val="24"/>
        </w:rPr>
      </w:pPr>
      <w:bookmarkStart w:id="5" w:name="_Hlk183356766"/>
      <w:r w:rsidRPr="006005BE">
        <w:rPr>
          <w:rFonts w:ascii="Times New Roman" w:hAnsi="Times New Roman" w:cs="Times New Roman"/>
          <w:iCs/>
          <w:sz w:val="24"/>
          <w:szCs w:val="24"/>
        </w:rPr>
        <w:t>La Cour considère dans l’arrêt Jeunesse c/ Pays-Bas du 3 octobre 2014 que « pour accorder à l’intérêt supérieur des enfants qui sont directement concernés une protection effective et un poids suffisant, les organes décisionnels nationaux doivent en principe examiner et apprécier les éléments touchant à la commodité, à la faisabilité et à la proportionnalité.</w:t>
      </w:r>
      <w:r w:rsidRPr="002A38DA">
        <w:rPr>
          <w:rFonts w:ascii="Times New Roman" w:hAnsi="Times New Roman" w:cs="Times New Roman"/>
          <w:iCs/>
          <w:sz w:val="24"/>
          <w:szCs w:val="24"/>
        </w:rPr>
        <w:t xml:space="preserve"> </w:t>
      </w:r>
      <w:r>
        <w:rPr>
          <w:rFonts w:ascii="Times New Roman" w:hAnsi="Times New Roman" w:cs="Times New Roman"/>
          <w:iCs/>
          <w:sz w:val="24"/>
          <w:szCs w:val="24"/>
        </w:rPr>
        <w:t>L</w:t>
      </w:r>
      <w:r w:rsidRPr="002A38DA">
        <w:rPr>
          <w:rFonts w:ascii="Times New Roman" w:hAnsi="Times New Roman" w:cs="Times New Roman"/>
          <w:iCs/>
          <w:sz w:val="24"/>
          <w:szCs w:val="24"/>
        </w:rPr>
        <w:t>e critère de la nature et de la gravité de l’infraction peut plier lorsqu’il est avéré que l’expulsion aboutit à une séparation radicale du délinquant et de ses enfants mineurs (Mehemi c. France, 26 sept. 1997 ; Nunez) voire majeurs s’ils sont en situation dépendance (Nguyen c. Danemark, 9 avr. 2024</w:t>
      </w:r>
      <w:r>
        <w:rPr>
          <w:rFonts w:ascii="Times New Roman" w:hAnsi="Times New Roman" w:cs="Times New Roman"/>
          <w:iCs/>
          <w:sz w:val="24"/>
          <w:szCs w:val="24"/>
        </w:rPr>
        <w:t>).</w:t>
      </w:r>
    </w:p>
    <w:p w14:paraId="7DBA72E8" w14:textId="77777777" w:rsidR="004414ED" w:rsidRPr="006005BE" w:rsidRDefault="004414ED" w:rsidP="004414ED">
      <w:pPr>
        <w:jc w:val="both"/>
        <w:rPr>
          <w:rFonts w:ascii="Times New Roman" w:hAnsi="Times New Roman" w:cs="Times New Roman"/>
          <w:iCs/>
          <w:sz w:val="24"/>
          <w:szCs w:val="24"/>
        </w:rPr>
      </w:pPr>
    </w:p>
    <w:p w14:paraId="74D721BE" w14:textId="77777777" w:rsidR="004414ED" w:rsidRPr="006005BE" w:rsidRDefault="004414ED" w:rsidP="004414ED">
      <w:pPr>
        <w:jc w:val="both"/>
        <w:rPr>
          <w:rFonts w:ascii="Times New Roman" w:hAnsi="Times New Roman" w:cs="Times New Roman"/>
          <w:b/>
          <w:bCs/>
          <w:iCs/>
          <w:sz w:val="24"/>
          <w:szCs w:val="24"/>
        </w:rPr>
      </w:pPr>
      <w:r w:rsidRPr="006005BE">
        <w:rPr>
          <w:rFonts w:ascii="Times New Roman" w:hAnsi="Times New Roman" w:cs="Times New Roman"/>
          <w:b/>
          <w:bCs/>
          <w:iCs/>
          <w:sz w:val="24"/>
          <w:szCs w:val="24"/>
        </w:rPr>
        <w:t>4. La détention d’un membre de la famille</w:t>
      </w:r>
    </w:p>
    <w:p w14:paraId="7C3672C7"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La détention, comme toute autre mesure privative de liberté, entraîne par nature une restriction à la vie privée et familiale de l’intéressé mais il est essentiel selon la cour européenne que l’administration pénitentiaire autorise le détenu et l’aide au besoin à maintenir le contact avec sa famille proche (</w:t>
      </w:r>
      <w:r w:rsidRPr="006005BE">
        <w:rPr>
          <w:rFonts w:ascii="Times New Roman" w:hAnsi="Times New Roman" w:cs="Times New Roman"/>
          <w:i/>
          <w:iCs/>
          <w:sz w:val="24"/>
          <w:szCs w:val="24"/>
        </w:rPr>
        <w:t>Messina c/ Italie</w:t>
      </w:r>
      <w:r w:rsidRPr="006005BE">
        <w:rPr>
          <w:rFonts w:ascii="Times New Roman" w:hAnsi="Times New Roman" w:cs="Times New Roman"/>
          <w:iCs/>
          <w:sz w:val="24"/>
          <w:szCs w:val="24"/>
        </w:rPr>
        <w:t>, 28 sept. 2000</w:t>
      </w:r>
      <w:r w:rsidRPr="006005BE">
        <w:rPr>
          <w:rFonts w:ascii="Times New Roman" w:hAnsi="Times New Roman" w:cs="Times New Roman"/>
          <w:i/>
          <w:iCs/>
          <w:sz w:val="24"/>
          <w:szCs w:val="24"/>
        </w:rPr>
        <w:t xml:space="preserve">). </w:t>
      </w:r>
      <w:r w:rsidRPr="006005BE">
        <w:rPr>
          <w:rFonts w:ascii="Times New Roman" w:hAnsi="Times New Roman" w:cs="Times New Roman"/>
          <w:iCs/>
          <w:sz w:val="24"/>
          <w:szCs w:val="24"/>
        </w:rPr>
        <w:t>La politique pénitentiaire européenne met en effet de plus en plus l’accent sur la réinsertion, et les liens familiaux constituent un facteur important qui facilite la réintégration dans la société. Lorsqu'une personne est arrêtée, le fait de pouvoir communiquer avec sa famille revêt une importance capitale (</w:t>
      </w:r>
      <w:r w:rsidRPr="006005BE">
        <w:rPr>
          <w:rFonts w:ascii="Times New Roman" w:hAnsi="Times New Roman" w:cs="Times New Roman"/>
          <w:i/>
          <w:iCs/>
          <w:sz w:val="24"/>
          <w:szCs w:val="24"/>
        </w:rPr>
        <w:t>Uçar</w:t>
      </w:r>
      <w:r w:rsidRPr="006005BE">
        <w:rPr>
          <w:rFonts w:ascii="Times New Roman" w:hAnsi="Times New Roman" w:cs="Times New Roman"/>
          <w:i/>
          <w:iCs/>
          <w:sz w:val="24"/>
          <w:szCs w:val="24"/>
        </w:rPr>
        <w:fldChar w:fldCharType="begin"/>
      </w:r>
      <w:r w:rsidRPr="006005BE">
        <w:rPr>
          <w:rFonts w:ascii="Times New Roman" w:hAnsi="Times New Roman" w:cs="Times New Roman"/>
          <w:i/>
          <w:iCs/>
          <w:sz w:val="24"/>
          <w:szCs w:val="24"/>
        </w:rPr>
        <w:instrText>xe "$$Uçar (2006)"</w:instrText>
      </w:r>
      <w:r w:rsidRPr="006005BE">
        <w:rPr>
          <w:rFonts w:ascii="Times New Roman" w:hAnsi="Times New Roman" w:cs="Times New Roman"/>
          <w:i/>
          <w:iCs/>
          <w:sz w:val="24"/>
          <w:szCs w:val="24"/>
        </w:rPr>
        <w:fldChar w:fldCharType="end"/>
      </w:r>
      <w:r w:rsidRPr="006005BE">
        <w:rPr>
          <w:rFonts w:ascii="Times New Roman" w:hAnsi="Times New Roman" w:cs="Times New Roman"/>
          <w:i/>
          <w:iCs/>
          <w:sz w:val="24"/>
          <w:szCs w:val="24"/>
        </w:rPr>
        <w:t xml:space="preserve"> c/ Turquie</w:t>
      </w:r>
      <w:r w:rsidRPr="006005BE">
        <w:rPr>
          <w:rFonts w:ascii="Times New Roman" w:hAnsi="Times New Roman" w:cs="Times New Roman"/>
          <w:iCs/>
          <w:sz w:val="24"/>
          <w:szCs w:val="24"/>
        </w:rPr>
        <w:t xml:space="preserve">, 4 avr. 2006). La Cour apprécie </w:t>
      </w:r>
      <w:proofErr w:type="gramStart"/>
      <w:r w:rsidRPr="006005BE">
        <w:rPr>
          <w:rFonts w:ascii="Times New Roman" w:hAnsi="Times New Roman" w:cs="Times New Roman"/>
          <w:iCs/>
          <w:sz w:val="24"/>
          <w:szCs w:val="24"/>
        </w:rPr>
        <w:t>les restriction</w:t>
      </w:r>
      <w:proofErr w:type="gramEnd"/>
      <w:r w:rsidRPr="006005BE">
        <w:rPr>
          <w:rFonts w:ascii="Times New Roman" w:hAnsi="Times New Roman" w:cs="Times New Roman"/>
          <w:iCs/>
          <w:sz w:val="24"/>
          <w:szCs w:val="24"/>
        </w:rPr>
        <w:t xml:space="preserve"> à la vie familiale sous l’angle des ingérences, en effet ces atteintes sont constituées d’un refus de l’autorité pénitentiaires.</w:t>
      </w:r>
    </w:p>
    <w:p w14:paraId="4FDE26C4"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 xml:space="preserve">Le droit au respect de la vie familiale implique la possibilité de bénéficier de la visite de proches parents et de rencontres intimes avec son conjoint mais également la possibilité de sortir pour assister à un évènement familial et particulièrement les funérailles d’un proche. Pour des raisons sécuritaires et logistiques, les États gardent la maîtrise de la concrétisation de ces mesures (conditions matérielles, périodicité). </w:t>
      </w:r>
    </w:p>
    <w:p w14:paraId="18820B64" w14:textId="77777777" w:rsidR="004414ED" w:rsidRPr="006005BE" w:rsidRDefault="004414ED" w:rsidP="004414ED">
      <w:pPr>
        <w:jc w:val="both"/>
        <w:rPr>
          <w:rFonts w:ascii="Times New Roman" w:hAnsi="Times New Roman" w:cs="Times New Roman"/>
          <w:b/>
          <w:bCs/>
          <w:iCs/>
          <w:sz w:val="24"/>
          <w:szCs w:val="24"/>
        </w:rPr>
      </w:pPr>
      <w:r w:rsidRPr="006005BE">
        <w:rPr>
          <w:rFonts w:ascii="Times New Roman" w:hAnsi="Times New Roman" w:cs="Times New Roman"/>
          <w:b/>
          <w:bCs/>
          <w:iCs/>
          <w:sz w:val="24"/>
          <w:szCs w:val="24"/>
        </w:rPr>
        <w:t>a. Les visites des proches</w:t>
      </w:r>
    </w:p>
    <w:p w14:paraId="4FFBBB2B" w14:textId="77777777" w:rsidR="004414ED" w:rsidRPr="006005BE" w:rsidRDefault="004414ED" w:rsidP="004414ED">
      <w:pPr>
        <w:jc w:val="both"/>
        <w:rPr>
          <w:rFonts w:ascii="Times New Roman" w:hAnsi="Times New Roman" w:cs="Times New Roman"/>
          <w:iCs/>
          <w:sz w:val="24"/>
          <w:szCs w:val="24"/>
        </w:rPr>
      </w:pPr>
      <w:bookmarkStart w:id="6" w:name="_Hlk55389273"/>
      <w:r w:rsidRPr="006005BE">
        <w:rPr>
          <w:rFonts w:ascii="Times New Roman" w:hAnsi="Times New Roman" w:cs="Times New Roman"/>
          <w:iCs/>
          <w:sz w:val="24"/>
          <w:szCs w:val="24"/>
        </w:rPr>
        <w:t>La suppression ou la limitation très importante des visites des enfants et du conjoint d'un détenu</w:t>
      </w:r>
      <w:r w:rsidRPr="006005BE">
        <w:rPr>
          <w:rFonts w:ascii="Times New Roman" w:hAnsi="Times New Roman" w:cs="Times New Roman"/>
          <w:iCs/>
          <w:sz w:val="24"/>
          <w:szCs w:val="24"/>
        </w:rPr>
        <w:fldChar w:fldCharType="begin"/>
      </w:r>
      <w:r w:rsidRPr="006005BE">
        <w:rPr>
          <w:rFonts w:ascii="Times New Roman" w:hAnsi="Times New Roman" w:cs="Times New Roman"/>
          <w:iCs/>
          <w:sz w:val="24"/>
          <w:szCs w:val="24"/>
        </w:rPr>
        <w:instrText>xe "Détenu"</w:instrText>
      </w:r>
      <w:r w:rsidRPr="006005BE">
        <w:rPr>
          <w:rFonts w:ascii="Times New Roman" w:hAnsi="Times New Roman" w:cs="Times New Roman"/>
          <w:iCs/>
          <w:sz w:val="24"/>
          <w:szCs w:val="24"/>
        </w:rPr>
        <w:fldChar w:fldCharType="end"/>
      </w:r>
      <w:r w:rsidRPr="006005BE">
        <w:rPr>
          <w:rFonts w:ascii="Times New Roman" w:hAnsi="Times New Roman" w:cs="Times New Roman"/>
          <w:iCs/>
          <w:sz w:val="24"/>
          <w:szCs w:val="24"/>
        </w:rPr>
        <w:t>, est constitutive d'une atteinte au droit de ce dernier à la vie familiale</w:t>
      </w:r>
      <w:r w:rsidRPr="006005BE">
        <w:rPr>
          <w:rFonts w:ascii="Times New Roman" w:hAnsi="Times New Roman" w:cs="Times New Roman"/>
          <w:iCs/>
          <w:sz w:val="24"/>
          <w:szCs w:val="24"/>
        </w:rPr>
        <w:fldChar w:fldCharType="begin"/>
      </w:r>
      <w:r w:rsidRPr="006005BE">
        <w:rPr>
          <w:rFonts w:ascii="Times New Roman" w:hAnsi="Times New Roman" w:cs="Times New Roman"/>
          <w:iCs/>
          <w:sz w:val="24"/>
          <w:szCs w:val="24"/>
        </w:rPr>
        <w:instrText>xe "Vie familiale"</w:instrText>
      </w:r>
      <w:r w:rsidRPr="006005BE">
        <w:rPr>
          <w:rFonts w:ascii="Times New Roman" w:hAnsi="Times New Roman" w:cs="Times New Roman"/>
          <w:iCs/>
          <w:sz w:val="24"/>
          <w:szCs w:val="24"/>
        </w:rPr>
        <w:fldChar w:fldCharType="end"/>
      </w:r>
      <w:r w:rsidRPr="006005BE">
        <w:rPr>
          <w:rFonts w:ascii="Times New Roman" w:hAnsi="Times New Roman" w:cs="Times New Roman"/>
          <w:iCs/>
          <w:sz w:val="24"/>
          <w:szCs w:val="24"/>
        </w:rPr>
        <w:t>, et ne peut se justifier que dans des circonstances exceptionnelles</w:t>
      </w:r>
      <w:r w:rsidRPr="006005BE">
        <w:rPr>
          <w:rFonts w:ascii="Times New Roman" w:hAnsi="Times New Roman" w:cs="Times New Roman"/>
          <w:iCs/>
          <w:sz w:val="24"/>
          <w:szCs w:val="24"/>
        </w:rPr>
        <w:fldChar w:fldCharType="begin"/>
      </w:r>
      <w:r w:rsidRPr="006005BE">
        <w:rPr>
          <w:rFonts w:ascii="Times New Roman" w:hAnsi="Times New Roman" w:cs="Times New Roman"/>
          <w:iCs/>
          <w:sz w:val="24"/>
          <w:szCs w:val="24"/>
        </w:rPr>
        <w:instrText>xe "Circonstances exceptionnelles"</w:instrText>
      </w:r>
      <w:r w:rsidRPr="006005BE">
        <w:rPr>
          <w:rFonts w:ascii="Times New Roman" w:hAnsi="Times New Roman" w:cs="Times New Roman"/>
          <w:iCs/>
          <w:sz w:val="24"/>
          <w:szCs w:val="24"/>
        </w:rPr>
        <w:fldChar w:fldCharType="end"/>
      </w:r>
      <w:r w:rsidRPr="006005BE">
        <w:rPr>
          <w:rFonts w:ascii="Times New Roman" w:hAnsi="Times New Roman" w:cs="Times New Roman"/>
          <w:iCs/>
          <w:sz w:val="24"/>
          <w:szCs w:val="24"/>
        </w:rPr>
        <w:t xml:space="preserve"> (</w:t>
      </w:r>
      <w:r w:rsidRPr="006005BE">
        <w:rPr>
          <w:rFonts w:ascii="Times New Roman" w:hAnsi="Times New Roman" w:cs="Times New Roman"/>
          <w:i/>
          <w:iCs/>
          <w:sz w:val="24"/>
          <w:szCs w:val="24"/>
        </w:rPr>
        <w:t>Messina c/ Italie</w:t>
      </w:r>
      <w:r w:rsidRPr="006005BE">
        <w:rPr>
          <w:rFonts w:ascii="Times New Roman" w:hAnsi="Times New Roman" w:cs="Times New Roman"/>
          <w:iCs/>
          <w:sz w:val="24"/>
          <w:szCs w:val="24"/>
        </w:rPr>
        <w:t>, 28 sept. 2000</w:t>
      </w:r>
      <w:r w:rsidRPr="006005BE">
        <w:rPr>
          <w:rFonts w:ascii="Times New Roman" w:hAnsi="Times New Roman" w:cs="Times New Roman"/>
          <w:i/>
          <w:iCs/>
          <w:sz w:val="24"/>
          <w:szCs w:val="24"/>
        </w:rPr>
        <w:fldChar w:fldCharType="begin"/>
      </w:r>
      <w:r w:rsidRPr="006005BE">
        <w:rPr>
          <w:rFonts w:ascii="Times New Roman" w:hAnsi="Times New Roman" w:cs="Times New Roman"/>
          <w:i/>
          <w:iCs/>
          <w:sz w:val="24"/>
          <w:szCs w:val="24"/>
        </w:rPr>
        <w:instrText>xe "$$Messina (2000)"</w:instrText>
      </w:r>
      <w:r w:rsidRPr="006005BE">
        <w:rPr>
          <w:rFonts w:ascii="Times New Roman" w:hAnsi="Times New Roman" w:cs="Times New Roman"/>
          <w:i/>
          <w:iCs/>
          <w:sz w:val="24"/>
          <w:szCs w:val="24"/>
        </w:rPr>
        <w:fldChar w:fldCharType="end"/>
      </w:r>
      <w:r w:rsidRPr="006005BE">
        <w:rPr>
          <w:rFonts w:ascii="Times New Roman" w:hAnsi="Times New Roman" w:cs="Times New Roman"/>
          <w:iCs/>
          <w:sz w:val="24"/>
          <w:szCs w:val="24"/>
        </w:rPr>
        <w:t>, Lavents</w:t>
      </w:r>
      <w:r w:rsidRPr="006005BE">
        <w:rPr>
          <w:rFonts w:ascii="Times New Roman" w:hAnsi="Times New Roman" w:cs="Times New Roman"/>
          <w:i/>
          <w:iCs/>
          <w:sz w:val="24"/>
          <w:szCs w:val="24"/>
        </w:rPr>
        <w:fldChar w:fldCharType="begin"/>
      </w:r>
      <w:r w:rsidRPr="006005BE">
        <w:rPr>
          <w:rFonts w:ascii="Times New Roman" w:hAnsi="Times New Roman" w:cs="Times New Roman"/>
          <w:i/>
          <w:iCs/>
          <w:sz w:val="24"/>
          <w:szCs w:val="24"/>
        </w:rPr>
        <w:instrText>xe "$$Lavents (2002)"</w:instrText>
      </w:r>
      <w:r w:rsidRPr="006005BE">
        <w:rPr>
          <w:rFonts w:ascii="Times New Roman" w:hAnsi="Times New Roman" w:cs="Times New Roman"/>
          <w:i/>
          <w:iCs/>
          <w:sz w:val="24"/>
          <w:szCs w:val="24"/>
        </w:rPr>
        <w:fldChar w:fldCharType="end"/>
      </w:r>
      <w:r w:rsidRPr="006005BE">
        <w:rPr>
          <w:rFonts w:ascii="Times New Roman" w:hAnsi="Times New Roman" w:cs="Times New Roman"/>
          <w:i/>
          <w:iCs/>
          <w:sz w:val="24"/>
          <w:szCs w:val="24"/>
        </w:rPr>
        <w:t xml:space="preserve"> c/ </w:t>
      </w:r>
      <w:proofErr w:type="gramStart"/>
      <w:r w:rsidRPr="006005BE">
        <w:rPr>
          <w:rFonts w:ascii="Times New Roman" w:hAnsi="Times New Roman" w:cs="Times New Roman"/>
          <w:i/>
          <w:iCs/>
          <w:sz w:val="24"/>
          <w:szCs w:val="24"/>
        </w:rPr>
        <w:t>Lettonie</w:t>
      </w:r>
      <w:r w:rsidRPr="006005BE">
        <w:rPr>
          <w:rFonts w:ascii="Times New Roman" w:hAnsi="Times New Roman" w:cs="Times New Roman"/>
          <w:iCs/>
          <w:sz w:val="24"/>
          <w:szCs w:val="24"/>
        </w:rPr>
        <w:t xml:space="preserve">  ;</w:t>
      </w:r>
      <w:proofErr w:type="gramEnd"/>
      <w:r w:rsidRPr="006005BE">
        <w:rPr>
          <w:rFonts w:ascii="Times New Roman" w:hAnsi="Times New Roman" w:cs="Times New Roman"/>
          <w:iCs/>
          <w:sz w:val="24"/>
          <w:szCs w:val="24"/>
        </w:rPr>
        <w:t xml:space="preserve"> </w:t>
      </w:r>
      <w:r w:rsidRPr="006005BE">
        <w:rPr>
          <w:rFonts w:ascii="Times New Roman" w:hAnsi="Times New Roman" w:cs="Times New Roman"/>
          <w:i/>
          <w:iCs/>
          <w:sz w:val="24"/>
          <w:szCs w:val="24"/>
        </w:rPr>
        <w:t>Nowicka c/ Pologne,</w:t>
      </w:r>
      <w:r w:rsidRPr="006005BE">
        <w:rPr>
          <w:rFonts w:ascii="Times New Roman" w:hAnsi="Times New Roman" w:cs="Times New Roman"/>
          <w:iCs/>
          <w:sz w:val="24"/>
          <w:szCs w:val="24"/>
        </w:rPr>
        <w:t xml:space="preserve"> 3 déc. 2002). </w:t>
      </w:r>
    </w:p>
    <w:p w14:paraId="0748312C"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Si l’article 8 n’accorde pas le droit de choisir le lieu de sa détention, l’autorité compétente, pour fixer le lieu de détention, doit tenir de la situation de la famille des détenus : éloignement géographique, fréquence des visites en dépit de l’éloignement, âge, santé et situation financière (</w:t>
      </w:r>
      <w:r w:rsidRPr="006005BE">
        <w:rPr>
          <w:rFonts w:ascii="Times New Roman" w:hAnsi="Times New Roman" w:cs="Times New Roman"/>
          <w:i/>
          <w:iCs/>
          <w:sz w:val="24"/>
          <w:szCs w:val="24"/>
        </w:rPr>
        <w:t xml:space="preserve">Avşar et Tekin c/ la Turquie, </w:t>
      </w:r>
      <w:r w:rsidRPr="006005BE">
        <w:rPr>
          <w:rFonts w:ascii="Times New Roman" w:hAnsi="Times New Roman" w:cs="Times New Roman"/>
          <w:iCs/>
          <w:sz w:val="24"/>
          <w:szCs w:val="24"/>
        </w:rPr>
        <w:t>17 sept. 2019</w:t>
      </w:r>
      <w:r w:rsidRPr="006005BE">
        <w:rPr>
          <w:rFonts w:ascii="Times New Roman" w:hAnsi="Times New Roman" w:cs="Times New Roman"/>
          <w:i/>
          <w:iCs/>
          <w:sz w:val="24"/>
          <w:szCs w:val="24"/>
        </w:rPr>
        <w:t>,</w:t>
      </w:r>
      <w:r w:rsidRPr="006005BE">
        <w:rPr>
          <w:rFonts w:ascii="Times New Roman" w:hAnsi="Times New Roman" w:cs="Times New Roman"/>
          <w:b/>
          <w:bCs/>
          <w:i/>
          <w:iCs/>
          <w:sz w:val="24"/>
          <w:szCs w:val="24"/>
        </w:rPr>
        <w:t>)</w:t>
      </w:r>
      <w:r w:rsidRPr="006005BE">
        <w:rPr>
          <w:rFonts w:ascii="Times New Roman" w:hAnsi="Times New Roman" w:cs="Times New Roman"/>
          <w:iCs/>
          <w:sz w:val="24"/>
          <w:szCs w:val="24"/>
        </w:rPr>
        <w:t xml:space="preserve">. </w:t>
      </w:r>
    </w:p>
    <w:p w14:paraId="77932293"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lastRenderedPageBreak/>
        <w:t>La Cour condamne les restrictions non justifiées lors des visites (</w:t>
      </w:r>
      <w:r w:rsidRPr="006005BE">
        <w:rPr>
          <w:rFonts w:ascii="Times New Roman" w:hAnsi="Times New Roman" w:cs="Times New Roman"/>
          <w:i/>
          <w:iCs/>
          <w:sz w:val="24"/>
          <w:szCs w:val="24"/>
        </w:rPr>
        <w:t>Chaldayev c/ Russie</w:t>
      </w:r>
      <w:r w:rsidRPr="006005BE">
        <w:rPr>
          <w:rFonts w:ascii="Times New Roman" w:hAnsi="Times New Roman" w:cs="Times New Roman"/>
          <w:iCs/>
          <w:sz w:val="24"/>
          <w:szCs w:val="24"/>
        </w:rPr>
        <w:t>,</w:t>
      </w:r>
      <w:r w:rsidRPr="006005BE" w:rsidDel="00215D8A">
        <w:rPr>
          <w:rFonts w:ascii="Times New Roman" w:hAnsi="Times New Roman" w:cs="Times New Roman"/>
          <w:iCs/>
          <w:sz w:val="24"/>
          <w:szCs w:val="24"/>
        </w:rPr>
        <w:t xml:space="preserve"> </w:t>
      </w:r>
      <w:r w:rsidRPr="006005BE">
        <w:rPr>
          <w:rFonts w:ascii="Times New Roman" w:hAnsi="Times New Roman" w:cs="Times New Roman"/>
          <w:iCs/>
          <w:sz w:val="24"/>
          <w:szCs w:val="24"/>
        </w:rPr>
        <w:t>28 mai 2019), comme la vitre séparant le détenu de ses visiteurs, et la limitation du nombre de proches autorisés (</w:t>
      </w:r>
      <w:r w:rsidRPr="006005BE">
        <w:rPr>
          <w:rFonts w:ascii="Times New Roman" w:hAnsi="Times New Roman" w:cs="Times New Roman"/>
          <w:i/>
          <w:iCs/>
          <w:sz w:val="24"/>
          <w:szCs w:val="24"/>
        </w:rPr>
        <w:t>Trosin c/ Ukraine</w:t>
      </w:r>
      <w:r w:rsidRPr="006005BE">
        <w:rPr>
          <w:rFonts w:ascii="Times New Roman" w:hAnsi="Times New Roman" w:cs="Times New Roman"/>
          <w:iCs/>
          <w:sz w:val="24"/>
          <w:szCs w:val="24"/>
        </w:rPr>
        <w:t>, 23 févr. 2012)</w:t>
      </w:r>
      <w:r w:rsidRPr="006005BE">
        <w:rPr>
          <w:rFonts w:ascii="Times New Roman" w:hAnsi="Times New Roman" w:cs="Times New Roman"/>
          <w:iCs/>
          <w:sz w:val="24"/>
          <w:szCs w:val="24"/>
        </w:rPr>
        <w:fldChar w:fldCharType="begin"/>
      </w:r>
      <w:r w:rsidRPr="006005BE">
        <w:rPr>
          <w:rFonts w:ascii="Times New Roman" w:hAnsi="Times New Roman" w:cs="Times New Roman"/>
          <w:iCs/>
          <w:sz w:val="24"/>
          <w:szCs w:val="24"/>
        </w:rPr>
        <w:instrText xml:space="preserve"> XE "Conversations" </w:instrText>
      </w:r>
      <w:r w:rsidRPr="006005BE">
        <w:rPr>
          <w:rFonts w:ascii="Times New Roman" w:hAnsi="Times New Roman" w:cs="Times New Roman"/>
          <w:iCs/>
          <w:sz w:val="24"/>
          <w:szCs w:val="24"/>
        </w:rPr>
        <w:fldChar w:fldCharType="end"/>
      </w:r>
      <w:r w:rsidRPr="006005BE">
        <w:rPr>
          <w:rFonts w:ascii="Times New Roman" w:hAnsi="Times New Roman" w:cs="Times New Roman"/>
          <w:iCs/>
          <w:sz w:val="24"/>
          <w:szCs w:val="24"/>
        </w:rPr>
        <w:t>. De même l’interdiction des visites de longue durée doit être justifiées (</w:t>
      </w:r>
      <w:r w:rsidRPr="006005BE">
        <w:rPr>
          <w:rFonts w:ascii="Times New Roman" w:hAnsi="Times New Roman" w:cs="Times New Roman"/>
          <w:i/>
          <w:iCs/>
          <w:sz w:val="24"/>
          <w:szCs w:val="24"/>
        </w:rPr>
        <w:t xml:space="preserve">, </w:t>
      </w:r>
      <w:bookmarkStart w:id="7" w:name="_Hlk77757573"/>
      <w:r w:rsidRPr="006005BE">
        <w:rPr>
          <w:rFonts w:ascii="Times New Roman" w:hAnsi="Times New Roman" w:cs="Times New Roman"/>
          <w:i/>
          <w:iCs/>
          <w:sz w:val="24"/>
          <w:szCs w:val="24"/>
        </w:rPr>
        <w:t>Kosenko c/ Russie</w:t>
      </w:r>
      <w:r w:rsidRPr="006005BE" w:rsidDel="00215D8A">
        <w:rPr>
          <w:rFonts w:ascii="Times New Roman" w:hAnsi="Times New Roman" w:cs="Times New Roman"/>
          <w:i/>
          <w:iCs/>
          <w:sz w:val="24"/>
          <w:szCs w:val="24"/>
        </w:rPr>
        <w:t xml:space="preserve"> </w:t>
      </w:r>
      <w:r w:rsidRPr="006005BE">
        <w:rPr>
          <w:rFonts w:ascii="Times New Roman" w:hAnsi="Times New Roman" w:cs="Times New Roman"/>
          <w:iCs/>
          <w:sz w:val="24"/>
          <w:szCs w:val="24"/>
        </w:rPr>
        <w:t>17 mars 2020</w:t>
      </w:r>
      <w:bookmarkEnd w:id="7"/>
      <w:r w:rsidRPr="006005BE">
        <w:rPr>
          <w:rFonts w:ascii="Times New Roman" w:hAnsi="Times New Roman" w:cs="Times New Roman"/>
          <w:iCs/>
          <w:sz w:val="24"/>
          <w:szCs w:val="24"/>
        </w:rPr>
        <w:t>). La Cour condamne en outre le traitement discriminatoire dont font l’objet les personnes placées en détention provisoire, dont les visites sont soumises à un régime plus sévère (</w:t>
      </w:r>
      <w:bookmarkStart w:id="8" w:name="_Hlk77757606"/>
      <w:r w:rsidRPr="006005BE">
        <w:rPr>
          <w:rFonts w:ascii="Times New Roman" w:hAnsi="Times New Roman" w:cs="Times New Roman"/>
          <w:iCs/>
          <w:sz w:val="24"/>
          <w:szCs w:val="24"/>
        </w:rPr>
        <w:t>Resin c/ Russie, 18 déc. 2018</w:t>
      </w:r>
      <w:bookmarkEnd w:id="8"/>
      <w:r w:rsidRPr="006005BE">
        <w:rPr>
          <w:rFonts w:ascii="Times New Roman" w:hAnsi="Times New Roman" w:cs="Times New Roman"/>
          <w:iCs/>
          <w:sz w:val="24"/>
          <w:szCs w:val="24"/>
        </w:rPr>
        <w:t xml:space="preserve">). </w:t>
      </w:r>
    </w:p>
    <w:p w14:paraId="62A24714" w14:textId="77777777" w:rsidR="004414ED" w:rsidRPr="006005BE" w:rsidRDefault="004414ED" w:rsidP="004414ED">
      <w:pPr>
        <w:jc w:val="both"/>
        <w:rPr>
          <w:rFonts w:ascii="Times New Roman" w:hAnsi="Times New Roman" w:cs="Times New Roman"/>
          <w:bCs/>
          <w:iCs/>
          <w:sz w:val="24"/>
          <w:szCs w:val="24"/>
        </w:rPr>
      </w:pPr>
      <w:r w:rsidRPr="006005BE">
        <w:rPr>
          <w:rFonts w:ascii="Times New Roman" w:hAnsi="Times New Roman" w:cs="Times New Roman"/>
          <w:iCs/>
          <w:sz w:val="24"/>
          <w:szCs w:val="24"/>
        </w:rPr>
        <w:t>La Cour admet en revanche que la durée des communications téléphoniques puisse être limitée si elle se justifie par la nécessité de partager les postes entre l’ensemble des détenus (</w:t>
      </w:r>
      <w:bookmarkStart w:id="9" w:name="_Hlk77757644"/>
      <w:r w:rsidRPr="006005BE">
        <w:rPr>
          <w:rFonts w:ascii="Times New Roman" w:hAnsi="Times New Roman" w:cs="Times New Roman"/>
          <w:bCs/>
          <w:i/>
          <w:iCs/>
          <w:sz w:val="24"/>
          <w:szCs w:val="24"/>
        </w:rPr>
        <w:t>Bădulescu c/ Portugal,</w:t>
      </w:r>
      <w:r w:rsidRPr="006005BE">
        <w:rPr>
          <w:rFonts w:ascii="Times New Roman" w:hAnsi="Times New Roman" w:cs="Times New Roman"/>
          <w:bCs/>
          <w:iCs/>
          <w:sz w:val="24"/>
          <w:szCs w:val="24"/>
        </w:rPr>
        <w:t xml:space="preserve"> 20 oct. 2020</w:t>
      </w:r>
      <w:bookmarkEnd w:id="9"/>
      <w:r w:rsidRPr="006005BE">
        <w:rPr>
          <w:rFonts w:ascii="Times New Roman" w:hAnsi="Times New Roman" w:cs="Times New Roman"/>
          <w:bCs/>
          <w:iCs/>
          <w:sz w:val="24"/>
          <w:szCs w:val="24"/>
        </w:rPr>
        <w:t>).</w:t>
      </w:r>
    </w:p>
    <w:bookmarkEnd w:id="6"/>
    <w:p w14:paraId="068DB6D7"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Le juge européen a admis que l'article 12 ne constitue pas un obstacle à une réglementation des visites du conjoint à son époux incarcéré, le refus de telles visites dans un but de procréation devant être considéré comme justifié à des fins de défense de l'ordre et de prévention du crime, même si la Cour approuve cependant, la tendance actuelle de plusieurs pays européens à favoriser les visites conjugales, ce qui permet d'envisager une évolution de sa jurisprudence (</w:t>
      </w:r>
      <w:r w:rsidRPr="006005BE">
        <w:rPr>
          <w:rFonts w:ascii="Times New Roman" w:hAnsi="Times New Roman" w:cs="Times New Roman"/>
          <w:i/>
          <w:iCs/>
          <w:sz w:val="24"/>
          <w:szCs w:val="24"/>
        </w:rPr>
        <w:t>Aliev c/ Ukraine</w:t>
      </w:r>
      <w:r w:rsidRPr="006005BE">
        <w:rPr>
          <w:rFonts w:ascii="Times New Roman" w:hAnsi="Times New Roman" w:cs="Times New Roman"/>
          <w:iCs/>
          <w:sz w:val="24"/>
          <w:szCs w:val="24"/>
        </w:rPr>
        <w:t xml:space="preserve">, 29 avr. 2003). S’appuyant sur l'Ensemble de règles minima pour le traitement des détenus </w:t>
      </w:r>
      <w:r w:rsidRPr="006005BE">
        <w:rPr>
          <w:rFonts w:ascii="Times New Roman" w:hAnsi="Times New Roman" w:cs="Times New Roman"/>
          <w:i/>
          <w:iCs/>
          <w:sz w:val="24"/>
          <w:szCs w:val="24"/>
        </w:rPr>
        <w:t>(Nations Unies)</w:t>
      </w:r>
      <w:r w:rsidRPr="006005BE">
        <w:rPr>
          <w:rFonts w:ascii="Times New Roman" w:hAnsi="Times New Roman" w:cs="Times New Roman"/>
          <w:iCs/>
          <w:sz w:val="24"/>
          <w:szCs w:val="24"/>
        </w:rPr>
        <w:t xml:space="preserve"> et les travaux du Comité européen pour la prévention de la torture et des peines ou traitements inhumains ou dégradants, la Cour estime que la Pologne n’a pas excédé sa marge nationale d’appréciation en classant les visites conjugales parmi les avantages ou les privilèges supplémentaires qui peuvent être accordés de façon discrétionnaire pour récompenser le bon comportement d'un détenu ou pour le motiver à améliorer son comportement (</w:t>
      </w:r>
      <w:r w:rsidRPr="006005BE">
        <w:rPr>
          <w:rFonts w:ascii="Times New Roman" w:hAnsi="Times New Roman" w:cs="Times New Roman"/>
          <w:bCs/>
          <w:iCs/>
          <w:sz w:val="24"/>
          <w:szCs w:val="24"/>
        </w:rPr>
        <w:t>Lesław Wójcik c/ Pologne du 1</w:t>
      </w:r>
      <w:r w:rsidRPr="006005BE">
        <w:rPr>
          <w:rFonts w:ascii="Times New Roman" w:hAnsi="Times New Roman" w:cs="Times New Roman"/>
          <w:bCs/>
          <w:iCs/>
          <w:sz w:val="24"/>
          <w:szCs w:val="24"/>
          <w:vertAlign w:val="superscript"/>
        </w:rPr>
        <w:t>er</w:t>
      </w:r>
      <w:r w:rsidRPr="006005BE">
        <w:rPr>
          <w:rFonts w:ascii="Times New Roman" w:hAnsi="Times New Roman" w:cs="Times New Roman"/>
          <w:bCs/>
          <w:iCs/>
          <w:sz w:val="24"/>
          <w:szCs w:val="24"/>
        </w:rPr>
        <w:t xml:space="preserve"> juill. 2021). </w:t>
      </w:r>
      <w:r w:rsidRPr="006005BE">
        <w:rPr>
          <w:rFonts w:ascii="Times New Roman" w:hAnsi="Times New Roman" w:cs="Times New Roman"/>
          <w:iCs/>
          <w:sz w:val="24"/>
          <w:szCs w:val="24"/>
        </w:rPr>
        <w:t xml:space="preserve">La Cour réalise tant un contrôle abstrait de la loi qu’un contrôle concret du résultat de son application. En l’espèce, les refus opposés au requérant à ses demandes de visite conjugale s’appuyaient sur son comportement et les nombreuses sanctions disciplinaires dont il avait fait l’objet. En outre, des visites supervisées, une correspondance et des appels téléphoniques lui ont permis d’éviter le délitement de ses liens familiaux et conjugaux. </w:t>
      </w:r>
    </w:p>
    <w:p w14:paraId="05AC1127"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 xml:space="preserve">La nature de l’infraction (par exemple, criminalité organisée ou terrorisme) et l’état d’avancement de l’enquête (par exemple, toutes les personnes impliquées n’ont pas encore été identifiées) peut justifier l’absence de contacts notamment lorsque les rencontres avec la famille sont l’occasions de transmettre des ordres et des instructions vers l’extérieur. </w:t>
      </w:r>
      <w:proofErr w:type="gramStart"/>
      <w:r w:rsidRPr="006005BE">
        <w:rPr>
          <w:rFonts w:ascii="Times New Roman" w:hAnsi="Times New Roman" w:cs="Times New Roman"/>
          <w:iCs/>
          <w:sz w:val="24"/>
          <w:szCs w:val="24"/>
        </w:rPr>
        <w:t>ces</w:t>
      </w:r>
      <w:proofErr w:type="gramEnd"/>
      <w:r w:rsidRPr="006005BE">
        <w:rPr>
          <w:rFonts w:ascii="Times New Roman" w:hAnsi="Times New Roman" w:cs="Times New Roman"/>
          <w:iCs/>
          <w:sz w:val="24"/>
          <w:szCs w:val="24"/>
        </w:rPr>
        <w:t xml:space="preserve"> mesures ne doivent pas reposer sur des motifs abstraits et stéréotypés, mais sur une analyse circonstanciée de chaque situation (Deltuva c/ Lituanie 21 mars 2023</w:t>
      </w:r>
      <w:r w:rsidRPr="006005BE">
        <w:rPr>
          <w:rFonts w:ascii="Times New Roman" w:hAnsi="Times New Roman" w:cs="Times New Roman"/>
          <w:b/>
          <w:bCs/>
          <w:i/>
          <w:iCs/>
          <w:sz w:val="24"/>
          <w:szCs w:val="24"/>
        </w:rPr>
        <w:t>).</w:t>
      </w:r>
    </w:p>
    <w:p w14:paraId="351ABDBD" w14:textId="77777777" w:rsidR="004414ED" w:rsidRPr="006005BE" w:rsidRDefault="004414ED" w:rsidP="004414ED">
      <w:pPr>
        <w:jc w:val="both"/>
        <w:rPr>
          <w:rFonts w:ascii="Times New Roman" w:hAnsi="Times New Roman" w:cs="Times New Roman"/>
          <w:sz w:val="24"/>
          <w:szCs w:val="24"/>
        </w:rPr>
      </w:pPr>
      <w:r w:rsidRPr="006005BE">
        <w:rPr>
          <w:rFonts w:ascii="Times New Roman" w:hAnsi="Times New Roman" w:cs="Times New Roman"/>
          <w:sz w:val="24"/>
          <w:szCs w:val="24"/>
        </w:rPr>
        <w:t xml:space="preserve">La distance menace le maintien de la vie familiale si elle crée des contraintes particulières (raréfaction des visites en raison de l’état de santé de la famille, du coût du voyage et de sa durée). La sécurité et la surpopulation sont incontestablement des motifs pertinents pour expliquer la présence d’un détenu dans tel établissement plutôt que tel autre. Ils apparaissent cependant insuffisants dès lors que les autorités pénitentiaires s’en contentent et n’envisagent aucun palliatif (İlerde et autres c. Türkiye déc. 2023). </w:t>
      </w:r>
    </w:p>
    <w:p w14:paraId="5DEDDAD1" w14:textId="364C9930" w:rsidR="004414ED" w:rsidRPr="006005BE" w:rsidRDefault="004414ED" w:rsidP="004414ED">
      <w:pPr>
        <w:jc w:val="both"/>
        <w:rPr>
          <w:rFonts w:ascii="Times New Roman" w:hAnsi="Times New Roman" w:cs="Times New Roman"/>
          <w:b/>
          <w:bCs/>
          <w:iCs/>
          <w:sz w:val="24"/>
          <w:szCs w:val="24"/>
        </w:rPr>
      </w:pPr>
      <w:r w:rsidRPr="006005BE">
        <w:rPr>
          <w:rFonts w:ascii="Times New Roman" w:hAnsi="Times New Roman" w:cs="Times New Roman"/>
          <w:b/>
          <w:bCs/>
          <w:iCs/>
          <w:sz w:val="24"/>
          <w:szCs w:val="24"/>
        </w:rPr>
        <w:t xml:space="preserve">b. </w:t>
      </w:r>
      <w:r w:rsidR="00A75B32">
        <w:rPr>
          <w:rFonts w:ascii="Times New Roman" w:hAnsi="Times New Roman" w:cs="Times New Roman"/>
          <w:b/>
          <w:bCs/>
          <w:iCs/>
          <w:sz w:val="24"/>
          <w:szCs w:val="24"/>
        </w:rPr>
        <w:t>La participation du détenu aux f</w:t>
      </w:r>
      <w:r w:rsidRPr="006005BE">
        <w:rPr>
          <w:rFonts w:ascii="Times New Roman" w:hAnsi="Times New Roman" w:cs="Times New Roman"/>
          <w:b/>
          <w:bCs/>
          <w:iCs/>
          <w:sz w:val="24"/>
          <w:szCs w:val="24"/>
        </w:rPr>
        <w:t xml:space="preserve">unérailles d’un membre de la famille </w:t>
      </w:r>
    </w:p>
    <w:p w14:paraId="08F077FE" w14:textId="77777777" w:rsidR="004414ED" w:rsidRPr="006005BE"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Le refus opposé à un détenu d’assister aux funérailles d’un parent constitue une ingérence dans le droit au respect de la vie familiale qui ne peut être justifiée que si des raisons majeures, impérieuses s’y opposent (</w:t>
      </w:r>
      <w:r w:rsidRPr="006005BE">
        <w:rPr>
          <w:rFonts w:ascii="Times New Roman" w:hAnsi="Times New Roman" w:cs="Times New Roman"/>
          <w:i/>
          <w:iCs/>
          <w:sz w:val="24"/>
          <w:szCs w:val="24"/>
        </w:rPr>
        <w:t>Kanalas c/ Roumanie,</w:t>
      </w:r>
      <w:r w:rsidRPr="006005BE">
        <w:rPr>
          <w:rFonts w:ascii="Times New Roman" w:hAnsi="Times New Roman" w:cs="Times New Roman"/>
          <w:iCs/>
          <w:sz w:val="24"/>
          <w:szCs w:val="24"/>
        </w:rPr>
        <w:t xml:space="preserve"> 6 déc. 2016, </w:t>
      </w:r>
      <w:bookmarkStart w:id="10" w:name="_Hlk77757680"/>
      <w:r w:rsidRPr="006005BE">
        <w:rPr>
          <w:rFonts w:ascii="Times New Roman" w:hAnsi="Times New Roman" w:cs="Times New Roman"/>
          <w:i/>
          <w:iCs/>
          <w:sz w:val="24"/>
          <w:szCs w:val="24"/>
        </w:rPr>
        <w:t>Manolache et a. c/ Roumanie</w:t>
      </w:r>
      <w:r w:rsidRPr="006005BE">
        <w:rPr>
          <w:rFonts w:ascii="Times New Roman" w:hAnsi="Times New Roman" w:cs="Times New Roman"/>
          <w:iCs/>
          <w:sz w:val="24"/>
          <w:szCs w:val="24"/>
        </w:rPr>
        <w:t xml:space="preserve">, 26 </w:t>
      </w:r>
      <w:r w:rsidRPr="006005BE">
        <w:rPr>
          <w:rFonts w:ascii="Times New Roman" w:hAnsi="Times New Roman" w:cs="Times New Roman"/>
          <w:iCs/>
          <w:sz w:val="24"/>
          <w:szCs w:val="24"/>
        </w:rPr>
        <w:lastRenderedPageBreak/>
        <w:t>mars 2020</w:t>
      </w:r>
      <w:bookmarkEnd w:id="10"/>
      <w:r w:rsidRPr="006005BE">
        <w:rPr>
          <w:rFonts w:ascii="Times New Roman" w:hAnsi="Times New Roman" w:cs="Times New Roman"/>
          <w:iCs/>
          <w:sz w:val="24"/>
          <w:szCs w:val="24"/>
        </w:rPr>
        <w:t>). La cour exige que les autorités procèdent à une évaluation individualisée et circonstanciée de la demande (</w:t>
      </w:r>
      <w:r w:rsidRPr="006005BE">
        <w:rPr>
          <w:rFonts w:ascii="Times New Roman" w:hAnsi="Times New Roman" w:cs="Times New Roman"/>
          <w:i/>
          <w:iCs/>
          <w:sz w:val="24"/>
          <w:szCs w:val="24"/>
        </w:rPr>
        <w:t>Vetsev c/ Bulgarie</w:t>
      </w:r>
      <w:r w:rsidRPr="006005BE">
        <w:rPr>
          <w:rFonts w:ascii="Times New Roman" w:hAnsi="Times New Roman" w:cs="Times New Roman"/>
          <w:iCs/>
          <w:sz w:val="24"/>
          <w:szCs w:val="24"/>
        </w:rPr>
        <w:t xml:space="preserve">, 2 mai 2019). </w:t>
      </w:r>
    </w:p>
    <w:p w14:paraId="0C380C9D" w14:textId="77777777" w:rsidR="004414ED" w:rsidRPr="00AE2210" w:rsidRDefault="004414ED" w:rsidP="004414ED">
      <w:pPr>
        <w:jc w:val="both"/>
        <w:rPr>
          <w:rFonts w:ascii="Times New Roman" w:hAnsi="Times New Roman" w:cs="Times New Roman"/>
          <w:iCs/>
          <w:sz w:val="24"/>
          <w:szCs w:val="24"/>
        </w:rPr>
      </w:pPr>
      <w:r w:rsidRPr="006005BE">
        <w:rPr>
          <w:rFonts w:ascii="Times New Roman" w:hAnsi="Times New Roman" w:cs="Times New Roman"/>
          <w:iCs/>
          <w:sz w:val="24"/>
          <w:szCs w:val="24"/>
        </w:rPr>
        <w:t xml:space="preserve">Les autorités ne sont cependant pas tenues de déployer tous les moyens pour organiser une sortie temporaire au regard des impératifs liés à la défense de l’ordre et à la prévention des infractions pénales. Ainsi, dans l’arrêt </w:t>
      </w:r>
      <w:r w:rsidRPr="006005BE">
        <w:rPr>
          <w:rFonts w:ascii="Times New Roman" w:hAnsi="Times New Roman" w:cs="Times New Roman"/>
          <w:i/>
          <w:iCs/>
          <w:sz w:val="24"/>
          <w:szCs w:val="24"/>
        </w:rPr>
        <w:t>Guimon c/ France</w:t>
      </w:r>
      <w:r w:rsidRPr="006005BE">
        <w:rPr>
          <w:rFonts w:ascii="Times New Roman" w:hAnsi="Times New Roman" w:cs="Times New Roman"/>
          <w:iCs/>
          <w:sz w:val="24"/>
          <w:szCs w:val="24"/>
        </w:rPr>
        <w:t xml:space="preserve"> du 11 avril 2019, la cour constate que les autorités nationales ont dûment examiné le profil de la requérante, la gravité des crimes commis, le contexte de la sortie à organiser, les éléments factuels, notamment la distance géographique, pour considérer que l’escorte devait être particulièrement renforcée et que le délai imparti, pour l’organiser était trop court. Le sexe – masculin – du détenu ne saurait être un élément pertinent pour refuser une sortie dans le même but (Ēcis c/ Lettonie, 10 janv. 2019).</w:t>
      </w:r>
      <w:bookmarkEnd w:id="5"/>
    </w:p>
    <w:p w14:paraId="5D48A57F" w14:textId="77777777" w:rsidR="004414ED" w:rsidRPr="00801A0F" w:rsidRDefault="004414ED" w:rsidP="004414ED">
      <w:pPr>
        <w:jc w:val="both"/>
        <w:rPr>
          <w:rFonts w:ascii="Times New Roman" w:hAnsi="Times New Roman" w:cs="Times New Roman"/>
          <w:b/>
          <w:bCs/>
          <w:iCs/>
          <w:sz w:val="24"/>
          <w:szCs w:val="24"/>
        </w:rPr>
      </w:pPr>
      <w:r>
        <w:rPr>
          <w:rFonts w:ascii="Times New Roman" w:hAnsi="Times New Roman" w:cs="Times New Roman"/>
          <w:b/>
          <w:bCs/>
          <w:iCs/>
          <w:sz w:val="24"/>
          <w:szCs w:val="24"/>
        </w:rPr>
        <w:t>§2</w:t>
      </w:r>
      <w:r w:rsidRPr="00801A0F">
        <w:rPr>
          <w:rFonts w:ascii="Times New Roman" w:hAnsi="Times New Roman" w:cs="Times New Roman"/>
          <w:b/>
          <w:bCs/>
          <w:iCs/>
          <w:sz w:val="24"/>
          <w:szCs w:val="24"/>
        </w:rPr>
        <w:t>. Les déplacements illicites d’enfant : entre obligation positive et ingérence</w:t>
      </w:r>
    </w:p>
    <w:p w14:paraId="4701D765" w14:textId="77777777" w:rsidR="004414ED" w:rsidRPr="00801A0F" w:rsidRDefault="004414ED" w:rsidP="004414ED">
      <w:pPr>
        <w:pStyle w:val="Paragraphedeliste"/>
        <w:numPr>
          <w:ilvl w:val="0"/>
          <w:numId w:val="2"/>
        </w:numPr>
        <w:jc w:val="both"/>
        <w:rPr>
          <w:rFonts w:ascii="Times New Roman" w:hAnsi="Times New Roman" w:cs="Times New Roman"/>
          <w:b/>
          <w:bCs/>
          <w:iCs/>
          <w:sz w:val="24"/>
          <w:szCs w:val="24"/>
        </w:rPr>
      </w:pPr>
      <w:r w:rsidRPr="00801A0F">
        <w:rPr>
          <w:rFonts w:ascii="Times New Roman" w:hAnsi="Times New Roman" w:cs="Times New Roman"/>
          <w:b/>
          <w:bCs/>
          <w:iCs/>
          <w:sz w:val="24"/>
          <w:szCs w:val="24"/>
        </w:rPr>
        <w:t>Du point de vue de la victime du déplacement illicite : l’obligation positive de réunir la famille </w:t>
      </w:r>
    </w:p>
    <w:p w14:paraId="2CB12ADD" w14:textId="77777777" w:rsidR="004414ED" w:rsidRPr="00801A0F"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À partir de l’arrêt</w:t>
      </w:r>
      <w:r w:rsidRPr="00801A0F">
        <w:rPr>
          <w:rFonts w:ascii="Times New Roman" w:hAnsi="Times New Roman" w:cs="Times New Roman"/>
          <w:i/>
          <w:iCs/>
          <w:sz w:val="24"/>
          <w:szCs w:val="24"/>
        </w:rPr>
        <w:t xml:space="preserve"> Ignacollo-Zenide</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"$$Ignaccolo-Zenide (2000)" </w:instrText>
      </w:r>
      <w:r w:rsidRPr="00801A0F">
        <w:rPr>
          <w:rFonts w:ascii="Times New Roman" w:hAnsi="Times New Roman" w:cs="Times New Roman"/>
          <w:iCs/>
          <w:sz w:val="24"/>
          <w:szCs w:val="24"/>
        </w:rPr>
        <w:fldChar w:fldCharType="end"/>
      </w:r>
      <w:r w:rsidRPr="00801A0F">
        <w:rPr>
          <w:rFonts w:ascii="Times New Roman" w:hAnsi="Times New Roman" w:cs="Times New Roman"/>
          <w:i/>
          <w:iCs/>
          <w:sz w:val="24"/>
          <w:szCs w:val="24"/>
        </w:rPr>
        <w:t>c/ Roumanie</w:t>
      </w:r>
      <w:r w:rsidRPr="00801A0F">
        <w:rPr>
          <w:rFonts w:ascii="Times New Roman" w:hAnsi="Times New Roman" w:cs="Times New Roman"/>
          <w:iCs/>
          <w:sz w:val="24"/>
          <w:szCs w:val="24"/>
        </w:rPr>
        <w:t xml:space="preserve"> du 25 janv. 2000, la Cour EDH a consacré l’obligation positive des États de prendre les mesures nécessaires au retour de l’enfant ayant fait l’objet d’un déplacement illicite à la lumière de la Convention de La Haye, affirmant que la jouissance de la présence réciproque de chacun (parent/enfant) constitue un élément fondamental de la vie familiale au sens de l’article 8 de la Convention. Selon la Cour, « il s’agit donc, une fois les conditions d’application de la Convention de La Haye réunies, de revenir au plus vite au </w:t>
      </w:r>
      <w:r w:rsidRPr="00801A0F">
        <w:rPr>
          <w:rFonts w:ascii="Times New Roman" w:hAnsi="Times New Roman" w:cs="Times New Roman"/>
          <w:i/>
          <w:iCs/>
          <w:sz w:val="24"/>
          <w:szCs w:val="24"/>
        </w:rPr>
        <w:t>statu quo ante</w:t>
      </w:r>
      <w:r w:rsidRPr="00801A0F">
        <w:rPr>
          <w:rFonts w:ascii="Times New Roman" w:hAnsi="Times New Roman" w:cs="Times New Roman"/>
          <w:iCs/>
          <w:sz w:val="24"/>
          <w:szCs w:val="24"/>
        </w:rPr>
        <w:t xml:space="preserve"> en vue d’éviter la consolidation juridique de situations de fait initialement illicites » (</w:t>
      </w:r>
      <w:r w:rsidRPr="00801A0F">
        <w:rPr>
          <w:rFonts w:ascii="Times New Roman" w:hAnsi="Times New Roman" w:cs="Times New Roman"/>
          <w:i/>
          <w:iCs/>
          <w:sz w:val="24"/>
          <w:szCs w:val="24"/>
        </w:rPr>
        <w:t>Maumousseau et Washington c/ France</w:t>
      </w:r>
      <w:r w:rsidRPr="00801A0F">
        <w:rPr>
          <w:rFonts w:ascii="Times New Roman" w:hAnsi="Times New Roman" w:cs="Times New Roman"/>
          <w:iCs/>
          <w:sz w:val="24"/>
          <w:szCs w:val="24"/>
        </w:rPr>
        <w:t>, 6 déc. 2007</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"$$Maumousseau et Washington (2007)££"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Au fur et à mesure des arrêts rendus en matière d’enlèvements internationaux d’enfant, la Cour européenne a incorporé l’ensemble des dispositions de la Convention de La Haye à l’article 8 dans sa juriprudence. La Cour se déclare compétente pour examiner « si et dans quelle mesure la manière dont celles</w:t>
      </w:r>
      <w:r w:rsidRPr="00801A0F">
        <w:rPr>
          <w:rFonts w:ascii="Times New Roman" w:hAnsi="Times New Roman" w:cs="Times New Roman"/>
          <w:iCs/>
          <w:sz w:val="24"/>
          <w:szCs w:val="24"/>
        </w:rPr>
        <w:noBreakHyphen/>
        <w:t>ci ont procédé cadre avec l’objet et le but de la Convention de La Haye » (</w:t>
      </w:r>
      <w:r w:rsidRPr="00801A0F">
        <w:rPr>
          <w:rFonts w:ascii="Times New Roman" w:hAnsi="Times New Roman" w:cs="Times New Roman"/>
          <w:i/>
          <w:iCs/>
          <w:sz w:val="24"/>
          <w:szCs w:val="24"/>
        </w:rPr>
        <w:t>Carlson c/ Suisse</w:t>
      </w:r>
      <w:r w:rsidRPr="00801A0F">
        <w:rPr>
          <w:rFonts w:ascii="Times New Roman" w:hAnsi="Times New Roman" w:cs="Times New Roman"/>
          <w:iCs/>
          <w:sz w:val="24"/>
          <w:szCs w:val="24"/>
        </w:rPr>
        <w:t>, 6 nov. 2008).</w:t>
      </w:r>
    </w:p>
    <w:p w14:paraId="23C62CB7" w14:textId="77777777" w:rsidR="004414ED" w:rsidRPr="00801A0F"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 xml:space="preserve">La Cour s’assure tout d’abord que les conditions d’application de la Convention de La Haye sont réunies. Il faut en effet que l’enlèvement soit illicite (déc. 2 sept. 2003, </w:t>
      </w:r>
      <w:r w:rsidRPr="00801A0F">
        <w:rPr>
          <w:rFonts w:ascii="Times New Roman" w:hAnsi="Times New Roman" w:cs="Times New Roman"/>
          <w:i/>
          <w:iCs/>
          <w:sz w:val="24"/>
          <w:szCs w:val="24"/>
        </w:rPr>
        <w:t>Guichard c/ France ; Michnea c/ Roumanie, 7 juil. 2020</w:t>
      </w:r>
      <w:r w:rsidRPr="00801A0F">
        <w:rPr>
          <w:rFonts w:ascii="Times New Roman" w:hAnsi="Times New Roman" w:cs="Times New Roman"/>
          <w:iCs/>
          <w:sz w:val="24"/>
          <w:szCs w:val="24"/>
        </w:rPr>
        <w:t>), ce qui peut être le cas en cas de partage de l’autorité parentale</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"Autorité parentale"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xml:space="preserve"> (</w:t>
      </w:r>
      <w:r w:rsidRPr="00801A0F">
        <w:rPr>
          <w:rFonts w:ascii="Times New Roman" w:hAnsi="Times New Roman" w:cs="Times New Roman"/>
          <w:i/>
          <w:iCs/>
          <w:sz w:val="24"/>
          <w:szCs w:val="24"/>
        </w:rPr>
        <w:t>Monory c/ Roumanie et Hongrie</w:t>
      </w:r>
      <w:r w:rsidRPr="00801A0F">
        <w:rPr>
          <w:rFonts w:ascii="Times New Roman" w:hAnsi="Times New Roman" w:cs="Times New Roman"/>
          <w:iCs/>
          <w:sz w:val="24"/>
          <w:szCs w:val="24"/>
        </w:rPr>
        <w:t>, 5 avr. 2005). La Cour considère que certaines des dispositions de la Convention de la Haye visent également à protéger le droit de visite</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"Droit de visite"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xml:space="preserve"> (</w:t>
      </w:r>
      <w:r w:rsidRPr="00801A0F">
        <w:rPr>
          <w:rFonts w:ascii="Times New Roman" w:hAnsi="Times New Roman" w:cs="Times New Roman"/>
          <w:i/>
          <w:iCs/>
          <w:sz w:val="24"/>
          <w:szCs w:val="24"/>
        </w:rPr>
        <w:t>Neulinger et Shuruk</w:t>
      </w:r>
      <w:r w:rsidRPr="00801A0F">
        <w:rPr>
          <w:rFonts w:ascii="Times New Roman" w:hAnsi="Times New Roman" w:cs="Times New Roman"/>
          <w:iCs/>
          <w:sz w:val="24"/>
          <w:szCs w:val="24"/>
        </w:rPr>
        <w:t>, 6 juill. 2010</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"$$Neulinger et Shuruk (2010)"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Elle admet ainsi que constitue un enlèvement le déplacement de l’enfant qui rendait en pratique le droit de visite</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"Droit de visite"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xml:space="preserve"> du père illusoire. </w:t>
      </w:r>
    </w:p>
    <w:p w14:paraId="04AE2673" w14:textId="77777777" w:rsidR="004414ED" w:rsidRPr="00801A0F"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L’obligation positive de réunir l’enfant et son parent pèse sur tous les États concernés par l’enlèvement, qu’il s’agisse du pays dans lequel l’enfant réside ou de celui dans lequel il a été déplacé. La Cour examine, à la demande du parent qui a subi l’enlèvement si l’État a pris toutes les mesures nécessaires pour permettre le retour de l’enfant. Dans la plupart des arrêts, la Cour reproche aux autorités d’avoir tardé à prendre une décision ordonnant le retour de l’enfant (</w:t>
      </w:r>
      <w:r w:rsidRPr="00801A0F">
        <w:rPr>
          <w:rFonts w:ascii="Times New Roman" w:hAnsi="Times New Roman" w:cs="Times New Roman"/>
          <w:i/>
          <w:iCs/>
          <w:sz w:val="24"/>
          <w:szCs w:val="24"/>
        </w:rPr>
        <w:t>Maire c/ Portugal</w:t>
      </w:r>
      <w:r w:rsidRPr="00801A0F">
        <w:rPr>
          <w:rFonts w:ascii="Times New Roman" w:hAnsi="Times New Roman" w:cs="Times New Roman"/>
          <w:iCs/>
          <w:sz w:val="24"/>
          <w:szCs w:val="24"/>
        </w:rPr>
        <w:t xml:space="preserve">, 26 juin 2003 ; </w:t>
      </w:r>
      <w:r w:rsidRPr="00801A0F">
        <w:rPr>
          <w:rFonts w:ascii="Times New Roman" w:hAnsi="Times New Roman" w:cs="Times New Roman"/>
          <w:i/>
          <w:iCs/>
          <w:sz w:val="24"/>
          <w:szCs w:val="24"/>
        </w:rPr>
        <w:t xml:space="preserve">Dore </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"$$Dore (2011)" </w:instrText>
      </w:r>
      <w:r w:rsidRPr="00801A0F">
        <w:rPr>
          <w:rFonts w:ascii="Times New Roman" w:hAnsi="Times New Roman" w:cs="Times New Roman"/>
          <w:iCs/>
          <w:sz w:val="24"/>
          <w:szCs w:val="24"/>
        </w:rPr>
        <w:fldChar w:fldCharType="end"/>
      </w:r>
      <w:r w:rsidRPr="00801A0F">
        <w:rPr>
          <w:rFonts w:ascii="Times New Roman" w:hAnsi="Times New Roman" w:cs="Times New Roman"/>
          <w:i/>
          <w:iCs/>
          <w:sz w:val="24"/>
          <w:szCs w:val="24"/>
        </w:rPr>
        <w:t>c/ Portugal</w:t>
      </w:r>
      <w:r w:rsidRPr="00801A0F">
        <w:rPr>
          <w:rFonts w:ascii="Times New Roman" w:hAnsi="Times New Roman" w:cs="Times New Roman"/>
          <w:iCs/>
          <w:sz w:val="24"/>
          <w:szCs w:val="24"/>
        </w:rPr>
        <w:t xml:space="preserve"> et </w:t>
      </w:r>
      <w:r w:rsidRPr="00801A0F">
        <w:rPr>
          <w:rFonts w:ascii="Times New Roman" w:hAnsi="Times New Roman" w:cs="Times New Roman"/>
          <w:i/>
          <w:iCs/>
          <w:sz w:val="24"/>
          <w:szCs w:val="24"/>
        </w:rPr>
        <w:t>Karoussiotis c/ Portugal</w:t>
      </w:r>
      <w:r w:rsidRPr="00801A0F">
        <w:rPr>
          <w:rFonts w:ascii="Times New Roman" w:hAnsi="Times New Roman" w:cs="Times New Roman"/>
          <w:iCs/>
          <w:sz w:val="24"/>
          <w:szCs w:val="24"/>
        </w:rPr>
        <w:t>, 1</w:t>
      </w:r>
      <w:r w:rsidRPr="00801A0F">
        <w:rPr>
          <w:rFonts w:ascii="Times New Roman" w:hAnsi="Times New Roman" w:cs="Times New Roman"/>
          <w:iCs/>
          <w:sz w:val="24"/>
          <w:szCs w:val="24"/>
          <w:vertAlign w:val="superscript"/>
        </w:rPr>
        <w:t>er</w:t>
      </w:r>
      <w:r w:rsidRPr="00801A0F">
        <w:rPr>
          <w:rFonts w:ascii="Times New Roman" w:hAnsi="Times New Roman" w:cs="Times New Roman"/>
          <w:iCs/>
          <w:sz w:val="24"/>
          <w:szCs w:val="24"/>
        </w:rPr>
        <w:t xml:space="preserve"> févr. 2011 ; </w:t>
      </w:r>
      <w:r w:rsidRPr="00801A0F">
        <w:rPr>
          <w:rFonts w:ascii="Times New Roman" w:hAnsi="Times New Roman" w:cs="Times New Roman"/>
          <w:i/>
          <w:iCs/>
          <w:sz w:val="24"/>
          <w:szCs w:val="24"/>
        </w:rPr>
        <w:t>Özmen</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"$$Özmen (2012)" </w:instrText>
      </w:r>
      <w:r w:rsidRPr="00801A0F">
        <w:rPr>
          <w:rFonts w:ascii="Times New Roman" w:hAnsi="Times New Roman" w:cs="Times New Roman"/>
          <w:iCs/>
          <w:sz w:val="24"/>
          <w:szCs w:val="24"/>
        </w:rPr>
        <w:fldChar w:fldCharType="end"/>
      </w:r>
      <w:r w:rsidRPr="00801A0F">
        <w:rPr>
          <w:rFonts w:ascii="Times New Roman" w:hAnsi="Times New Roman" w:cs="Times New Roman"/>
          <w:i/>
          <w:iCs/>
          <w:sz w:val="24"/>
          <w:szCs w:val="24"/>
        </w:rPr>
        <w:t>c/ Turquie</w:t>
      </w:r>
      <w:r w:rsidRPr="00801A0F">
        <w:rPr>
          <w:rFonts w:ascii="Times New Roman" w:hAnsi="Times New Roman" w:cs="Times New Roman"/>
          <w:iCs/>
          <w:sz w:val="24"/>
          <w:szCs w:val="24"/>
        </w:rPr>
        <w:t>, 4 déc. 2012) tout en vérifiant que la décision imposant le retour a été prise selon une procédure conforme aux exigences du procès équitable (</w:t>
      </w:r>
      <w:r w:rsidRPr="00801A0F">
        <w:rPr>
          <w:rFonts w:ascii="Times New Roman" w:hAnsi="Times New Roman" w:cs="Times New Roman"/>
          <w:i/>
          <w:iCs/>
          <w:sz w:val="24"/>
          <w:szCs w:val="24"/>
        </w:rPr>
        <w:t>Eskinazi et Chelouche</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"$$Eskinazi et Chelouche (2005)" </w:instrText>
      </w:r>
      <w:r w:rsidRPr="00801A0F">
        <w:rPr>
          <w:rFonts w:ascii="Times New Roman" w:hAnsi="Times New Roman" w:cs="Times New Roman"/>
          <w:iCs/>
          <w:sz w:val="24"/>
          <w:szCs w:val="24"/>
        </w:rPr>
        <w:fldChar w:fldCharType="end"/>
      </w:r>
      <w:r w:rsidRPr="00801A0F">
        <w:rPr>
          <w:rFonts w:ascii="Times New Roman" w:hAnsi="Times New Roman" w:cs="Times New Roman"/>
          <w:i/>
          <w:iCs/>
          <w:sz w:val="24"/>
          <w:szCs w:val="24"/>
        </w:rPr>
        <w:t>c/ Turquie</w:t>
      </w:r>
      <w:r w:rsidRPr="00801A0F">
        <w:rPr>
          <w:rFonts w:ascii="Times New Roman" w:hAnsi="Times New Roman" w:cs="Times New Roman"/>
          <w:iCs/>
          <w:sz w:val="24"/>
          <w:szCs w:val="24"/>
        </w:rPr>
        <w:t xml:space="preserve">, 6 déc. 2005 ; </w:t>
      </w:r>
      <w:r w:rsidRPr="00801A0F">
        <w:rPr>
          <w:rFonts w:ascii="Times New Roman" w:hAnsi="Times New Roman" w:cs="Times New Roman"/>
          <w:i/>
          <w:iCs/>
          <w:sz w:val="24"/>
          <w:szCs w:val="24"/>
        </w:rPr>
        <w:t>Cavani c/ Hongrie</w:t>
      </w:r>
      <w:r w:rsidRPr="00801A0F">
        <w:rPr>
          <w:rFonts w:ascii="Times New Roman" w:hAnsi="Times New Roman" w:cs="Times New Roman"/>
          <w:iCs/>
          <w:sz w:val="24"/>
          <w:szCs w:val="24"/>
        </w:rPr>
        <w:t xml:space="preserve">, 28 oct. 2014), ce qui n’est pas le cas lorsque le père de l’enfant a été empêché d’intervenir dans la procédure devant la Cour constitutionnelle ayant </w:t>
      </w:r>
      <w:r w:rsidRPr="00801A0F">
        <w:rPr>
          <w:rFonts w:ascii="Times New Roman" w:hAnsi="Times New Roman" w:cs="Times New Roman"/>
          <w:iCs/>
          <w:sz w:val="24"/>
          <w:szCs w:val="24"/>
        </w:rPr>
        <w:lastRenderedPageBreak/>
        <w:t>abouti à l’annulation de la décision de retour (</w:t>
      </w:r>
      <w:r w:rsidRPr="00801A0F">
        <w:rPr>
          <w:rFonts w:ascii="Times New Roman" w:hAnsi="Times New Roman" w:cs="Times New Roman"/>
          <w:i/>
          <w:iCs/>
          <w:sz w:val="24"/>
          <w:szCs w:val="24"/>
        </w:rPr>
        <w:t>Lopez Guio c/ Slovaquie</w:t>
      </w:r>
      <w:r w:rsidRPr="00801A0F">
        <w:rPr>
          <w:rFonts w:ascii="Times New Roman" w:hAnsi="Times New Roman" w:cs="Times New Roman"/>
          <w:iCs/>
          <w:sz w:val="24"/>
          <w:szCs w:val="24"/>
        </w:rPr>
        <w:t>, 3 juin 2014). La Cour impose aux autorités de l’Etat refuge une obligation procédurale particulière d’examiner les objections au retour de manière suffisamment détaillée et de justifier suffisamment le cas échéant la décision de refuser le retour de l’enfant (</w:t>
      </w:r>
      <w:r w:rsidRPr="00801A0F">
        <w:rPr>
          <w:rFonts w:ascii="Times New Roman" w:hAnsi="Times New Roman" w:cs="Times New Roman"/>
          <w:i/>
          <w:iCs/>
          <w:sz w:val="24"/>
          <w:szCs w:val="24"/>
        </w:rPr>
        <w:t xml:space="preserve">Vladimir Ushakov c/ Russie, </w:t>
      </w:r>
      <w:r w:rsidRPr="00801A0F">
        <w:rPr>
          <w:rFonts w:ascii="Times New Roman" w:hAnsi="Times New Roman" w:cs="Times New Roman"/>
          <w:iCs/>
          <w:sz w:val="24"/>
          <w:szCs w:val="24"/>
        </w:rPr>
        <w:t xml:space="preserve">18 juin </w:t>
      </w:r>
      <w:proofErr w:type="gramStart"/>
      <w:r w:rsidRPr="00801A0F">
        <w:rPr>
          <w:rFonts w:ascii="Times New Roman" w:hAnsi="Times New Roman" w:cs="Times New Roman"/>
          <w:iCs/>
          <w:sz w:val="24"/>
          <w:szCs w:val="24"/>
        </w:rPr>
        <w:t>2019 )</w:t>
      </w:r>
      <w:proofErr w:type="gramEnd"/>
      <w:r w:rsidRPr="00801A0F">
        <w:rPr>
          <w:rFonts w:ascii="Times New Roman" w:hAnsi="Times New Roman" w:cs="Times New Roman"/>
          <w:iCs/>
          <w:sz w:val="24"/>
          <w:szCs w:val="24"/>
        </w:rPr>
        <w:t xml:space="preserve">. Dans l’arrêt </w:t>
      </w:r>
      <w:r w:rsidRPr="00801A0F">
        <w:rPr>
          <w:rFonts w:ascii="Times New Roman" w:hAnsi="Times New Roman" w:cs="Times New Roman"/>
          <w:i/>
          <w:iCs/>
          <w:sz w:val="24"/>
          <w:szCs w:val="24"/>
        </w:rPr>
        <w:t xml:space="preserve">Rinau c/ Lituanie </w:t>
      </w:r>
      <w:r w:rsidRPr="00801A0F">
        <w:rPr>
          <w:rFonts w:ascii="Times New Roman" w:hAnsi="Times New Roman" w:cs="Times New Roman"/>
          <w:iCs/>
          <w:sz w:val="24"/>
          <w:szCs w:val="24"/>
        </w:rPr>
        <w:t xml:space="preserve">du 14 janv. 2020 la cour condamne les pressions tant politiques, qu’administratives et médiatiques qu’ont subies les services sociaux et judiciaires ainsi que le demandeur au retour pour que celui-ci ne soit pas ordonné.  </w:t>
      </w:r>
    </w:p>
    <w:p w14:paraId="2805C592" w14:textId="77777777" w:rsidR="004414ED" w:rsidRPr="00801A0F" w:rsidRDefault="004414ED" w:rsidP="004414ED">
      <w:pPr>
        <w:jc w:val="both"/>
        <w:rPr>
          <w:rFonts w:ascii="Times New Roman" w:hAnsi="Times New Roman" w:cs="Times New Roman"/>
          <w:b/>
          <w:iCs/>
          <w:sz w:val="24"/>
          <w:szCs w:val="24"/>
        </w:rPr>
      </w:pPr>
      <w:r w:rsidRPr="00801A0F">
        <w:rPr>
          <w:rFonts w:ascii="Times New Roman" w:hAnsi="Times New Roman" w:cs="Times New Roman"/>
          <w:iCs/>
          <w:sz w:val="24"/>
          <w:szCs w:val="24"/>
        </w:rPr>
        <w:t xml:space="preserve">L’État peut également être critiqué pour ne pas avoir pris les mesures concrètes nécessaires à l’exécution de la décision de retour (notamment </w:t>
      </w:r>
      <w:r w:rsidRPr="00801A0F">
        <w:rPr>
          <w:rFonts w:ascii="Times New Roman" w:hAnsi="Times New Roman" w:cs="Times New Roman"/>
          <w:i/>
          <w:iCs/>
          <w:sz w:val="24"/>
          <w:szCs w:val="24"/>
        </w:rPr>
        <w:t>Sylvester</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"$$Sylvester (2003)" </w:instrText>
      </w:r>
      <w:r w:rsidRPr="00801A0F">
        <w:rPr>
          <w:rFonts w:ascii="Times New Roman" w:hAnsi="Times New Roman" w:cs="Times New Roman"/>
          <w:iCs/>
          <w:sz w:val="24"/>
          <w:szCs w:val="24"/>
        </w:rPr>
        <w:fldChar w:fldCharType="end"/>
      </w:r>
      <w:r w:rsidRPr="00801A0F">
        <w:rPr>
          <w:rFonts w:ascii="Times New Roman" w:hAnsi="Times New Roman" w:cs="Times New Roman"/>
          <w:i/>
          <w:iCs/>
          <w:sz w:val="24"/>
          <w:szCs w:val="24"/>
        </w:rPr>
        <w:t>c/ Autriche</w:t>
      </w:r>
      <w:r w:rsidRPr="00801A0F">
        <w:rPr>
          <w:rFonts w:ascii="Times New Roman" w:hAnsi="Times New Roman" w:cs="Times New Roman"/>
          <w:iCs/>
          <w:sz w:val="24"/>
          <w:szCs w:val="24"/>
        </w:rPr>
        <w:t>, 24 avr. 2003), y compris des mesures coercitives à l’égard du parent auteur de l’enlèvement (</w:t>
      </w:r>
      <w:r w:rsidRPr="00801A0F">
        <w:rPr>
          <w:rFonts w:ascii="Times New Roman" w:hAnsi="Times New Roman" w:cs="Times New Roman"/>
          <w:i/>
          <w:iCs/>
          <w:sz w:val="24"/>
          <w:szCs w:val="24"/>
        </w:rPr>
        <w:t>Maire</w:t>
      </w:r>
      <w:r w:rsidRPr="00801A0F">
        <w:rPr>
          <w:rFonts w:ascii="Times New Roman" w:hAnsi="Times New Roman" w:cs="Times New Roman"/>
          <w:iCs/>
          <w:sz w:val="24"/>
          <w:szCs w:val="24"/>
        </w:rPr>
        <w:t xml:space="preserve"> ; </w:t>
      </w:r>
      <w:r w:rsidRPr="00801A0F">
        <w:rPr>
          <w:rFonts w:ascii="Times New Roman" w:hAnsi="Times New Roman" w:cs="Times New Roman"/>
          <w:i/>
          <w:iCs/>
          <w:sz w:val="24"/>
          <w:szCs w:val="24"/>
        </w:rPr>
        <w:t>Bianchi c/ Suisse</w:t>
      </w:r>
      <w:r w:rsidRPr="00801A0F">
        <w:rPr>
          <w:rFonts w:ascii="Times New Roman" w:hAnsi="Times New Roman" w:cs="Times New Roman"/>
          <w:iCs/>
          <w:sz w:val="24"/>
          <w:szCs w:val="24"/>
        </w:rPr>
        <w:t xml:space="preserve">, 22 juin 2006 ; Cavani, </w:t>
      </w:r>
      <w:r w:rsidRPr="00801A0F">
        <w:rPr>
          <w:rFonts w:ascii="Times New Roman" w:hAnsi="Times New Roman" w:cs="Times New Roman"/>
          <w:i/>
          <w:iCs/>
          <w:sz w:val="24"/>
          <w:szCs w:val="24"/>
        </w:rPr>
        <w:t>Raw c/ France</w:t>
      </w:r>
      <w:r w:rsidRPr="00801A0F">
        <w:rPr>
          <w:rFonts w:ascii="Times New Roman" w:hAnsi="Times New Roman" w:cs="Times New Roman"/>
          <w:iCs/>
          <w:sz w:val="24"/>
          <w:szCs w:val="24"/>
        </w:rPr>
        <w:t>, 7 mars 2013</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"$$Raw (2013)"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la Cour affirmant en revanche que l’intérêt supérieur des enfants s’oppose à ce que des mesures coercitives soient prises à l’encontre de ces derniers. De manière générale, les États ont l’obligation de se doter d’un arsenal juridique permettant l’adoption de sanctions efficaces (</w:t>
      </w:r>
      <w:r w:rsidRPr="00801A0F">
        <w:rPr>
          <w:rFonts w:ascii="Times New Roman" w:hAnsi="Times New Roman" w:cs="Times New Roman"/>
          <w:i/>
          <w:iCs/>
          <w:sz w:val="24"/>
          <w:szCs w:val="24"/>
        </w:rPr>
        <w:t>Iglesias Gil et AUI c/ Espagne</w:t>
      </w:r>
      <w:r w:rsidRPr="00801A0F">
        <w:rPr>
          <w:rFonts w:ascii="Times New Roman" w:hAnsi="Times New Roman" w:cs="Times New Roman"/>
          <w:iCs/>
          <w:sz w:val="24"/>
          <w:szCs w:val="24"/>
        </w:rPr>
        <w:t xml:space="preserve">, 29 avr. 2003 ; </w:t>
      </w:r>
      <w:r w:rsidRPr="00801A0F">
        <w:rPr>
          <w:rFonts w:ascii="Times New Roman" w:hAnsi="Times New Roman" w:cs="Times New Roman"/>
          <w:i/>
          <w:iCs/>
          <w:sz w:val="24"/>
          <w:szCs w:val="24"/>
        </w:rPr>
        <w:t>Maire</w:t>
      </w:r>
      <w:r w:rsidRPr="00801A0F">
        <w:rPr>
          <w:rFonts w:ascii="Times New Roman" w:hAnsi="Times New Roman" w:cs="Times New Roman"/>
          <w:iCs/>
          <w:sz w:val="24"/>
          <w:szCs w:val="24"/>
        </w:rPr>
        <w:t xml:space="preserve"> ; </w:t>
      </w:r>
      <w:r w:rsidRPr="00801A0F">
        <w:rPr>
          <w:rFonts w:ascii="Times New Roman" w:hAnsi="Times New Roman" w:cs="Times New Roman"/>
          <w:i/>
          <w:iCs/>
          <w:sz w:val="24"/>
          <w:szCs w:val="24"/>
        </w:rPr>
        <w:t>Hromadka et Hromadkova</w:t>
      </w:r>
      <w:r w:rsidRPr="00801A0F">
        <w:rPr>
          <w:rFonts w:ascii="Times New Roman" w:hAnsi="Times New Roman" w:cs="Times New Roman"/>
          <w:iCs/>
          <w:sz w:val="24"/>
          <w:szCs w:val="24"/>
        </w:rPr>
        <w:t>) pour éviter que ne soit entérinée la situation illicite créée par le comportement d’un parent (</w:t>
      </w:r>
      <w:r w:rsidRPr="00801A0F">
        <w:rPr>
          <w:rFonts w:ascii="Times New Roman" w:hAnsi="Times New Roman" w:cs="Times New Roman"/>
          <w:i/>
          <w:iCs/>
          <w:sz w:val="24"/>
          <w:szCs w:val="24"/>
        </w:rPr>
        <w:t>Özmen</w:t>
      </w:r>
      <w:r w:rsidRPr="00801A0F">
        <w:rPr>
          <w:rFonts w:ascii="Times New Roman" w:hAnsi="Times New Roman" w:cs="Times New Roman"/>
          <w:iCs/>
          <w:sz w:val="24"/>
          <w:szCs w:val="24"/>
        </w:rPr>
        <w:t>)</w:t>
      </w:r>
      <w:r w:rsidRPr="00801A0F">
        <w:rPr>
          <w:rFonts w:ascii="Times New Roman" w:hAnsi="Times New Roman" w:cs="Times New Roman"/>
          <w:i/>
          <w:iCs/>
          <w:sz w:val="24"/>
          <w:szCs w:val="24"/>
        </w:rPr>
        <w:t xml:space="preserve">. </w:t>
      </w:r>
      <w:r w:rsidRPr="00801A0F">
        <w:rPr>
          <w:rFonts w:ascii="Times New Roman" w:hAnsi="Times New Roman" w:cs="Times New Roman"/>
          <w:iCs/>
          <w:sz w:val="24"/>
          <w:szCs w:val="24"/>
        </w:rPr>
        <w:t>Les autorités doivent en outre prendre les mesures nécessaires pour préparer l’enfant à son retour</w:t>
      </w:r>
      <w:r w:rsidRPr="00801A0F">
        <w:rPr>
          <w:rFonts w:ascii="Times New Roman" w:hAnsi="Times New Roman" w:cs="Times New Roman"/>
          <w:i/>
          <w:iCs/>
          <w:sz w:val="24"/>
          <w:szCs w:val="24"/>
        </w:rPr>
        <w:t xml:space="preserve"> (</w:t>
      </w:r>
      <w:r w:rsidRPr="00801A0F">
        <w:rPr>
          <w:rFonts w:ascii="Times New Roman" w:hAnsi="Times New Roman" w:cs="Times New Roman"/>
          <w:bCs/>
          <w:i/>
          <w:iCs/>
          <w:sz w:val="24"/>
          <w:szCs w:val="24"/>
        </w:rPr>
        <w:t>Makhmudova c/ Russie,</w:t>
      </w:r>
      <w:r w:rsidRPr="00801A0F">
        <w:rPr>
          <w:rFonts w:ascii="Times New Roman" w:hAnsi="Times New Roman" w:cs="Times New Roman"/>
          <w:bCs/>
          <w:iCs/>
          <w:sz w:val="24"/>
          <w:szCs w:val="24"/>
        </w:rPr>
        <w:t>1</w:t>
      </w:r>
      <w:r w:rsidRPr="00801A0F">
        <w:rPr>
          <w:rFonts w:ascii="Times New Roman" w:hAnsi="Times New Roman" w:cs="Times New Roman"/>
          <w:bCs/>
          <w:iCs/>
          <w:sz w:val="24"/>
          <w:szCs w:val="24"/>
          <w:vertAlign w:val="superscript"/>
        </w:rPr>
        <w:t>er</w:t>
      </w:r>
      <w:r w:rsidRPr="00801A0F">
        <w:rPr>
          <w:rFonts w:ascii="Times New Roman" w:hAnsi="Times New Roman" w:cs="Times New Roman"/>
          <w:bCs/>
          <w:iCs/>
          <w:sz w:val="24"/>
          <w:szCs w:val="24"/>
        </w:rPr>
        <w:t xml:space="preserve"> déc. 2020</w:t>
      </w:r>
      <w:r w:rsidRPr="00801A0F">
        <w:rPr>
          <w:rFonts w:ascii="Times New Roman" w:hAnsi="Times New Roman" w:cs="Times New Roman"/>
          <w:bCs/>
          <w:i/>
          <w:iCs/>
          <w:sz w:val="24"/>
          <w:szCs w:val="24"/>
        </w:rPr>
        <w:t>).</w:t>
      </w:r>
    </w:p>
    <w:p w14:paraId="007949EF" w14:textId="77777777" w:rsidR="004414ED" w:rsidRPr="00801A0F"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À plusieurs reprises, la Cour EDH affirme que « Dans ce genre d’affaires, le caractère adéquat d’une mesure se juge à la rapidité de sa mise en œuvre, car le passage du temps peut avoir des conséquences irrémédiables sur les relations entre l’enfant et le parent qui ne vit pas avec lui » ; la Cour impose aux États une obligation particulière de célérité (</w:t>
      </w:r>
      <w:r w:rsidRPr="00801A0F">
        <w:rPr>
          <w:rFonts w:ascii="Times New Roman" w:hAnsi="Times New Roman" w:cs="Times New Roman"/>
          <w:i/>
          <w:iCs/>
          <w:sz w:val="24"/>
          <w:szCs w:val="24"/>
        </w:rPr>
        <w:t>Maumousseau et Washington</w:t>
      </w:r>
      <w:r w:rsidRPr="00801A0F">
        <w:rPr>
          <w:rFonts w:ascii="Times New Roman" w:hAnsi="Times New Roman" w:cs="Times New Roman"/>
          <w:iCs/>
          <w:sz w:val="24"/>
          <w:szCs w:val="24"/>
        </w:rPr>
        <w:t>,</w:t>
      </w:r>
      <w:r w:rsidRPr="00801A0F">
        <w:rPr>
          <w:rFonts w:ascii="Times New Roman" w:hAnsi="Times New Roman" w:cs="Times New Roman"/>
          <w:i/>
          <w:iCs/>
          <w:sz w:val="24"/>
          <w:szCs w:val="24"/>
        </w:rPr>
        <w:t xml:space="preserve"> G. S. c/ Georgie</w:t>
      </w:r>
      <w:r w:rsidRPr="00801A0F">
        <w:rPr>
          <w:rFonts w:ascii="Times New Roman" w:hAnsi="Times New Roman" w:cs="Times New Roman"/>
          <w:iCs/>
          <w:sz w:val="24"/>
          <w:szCs w:val="24"/>
        </w:rPr>
        <w:t xml:space="preserve"> du 21 juill. 2015,</w:t>
      </w:r>
      <w:r w:rsidRPr="00801A0F">
        <w:rPr>
          <w:rFonts w:ascii="Times New Roman" w:hAnsi="Times New Roman" w:cs="Times New Roman"/>
          <w:i/>
          <w:iCs/>
          <w:sz w:val="24"/>
          <w:szCs w:val="24"/>
        </w:rPr>
        <w:t xml:space="preserve"> Moogc/ Allemagne</w:t>
      </w:r>
      <w:r w:rsidRPr="00801A0F">
        <w:rPr>
          <w:rFonts w:ascii="Times New Roman" w:hAnsi="Times New Roman" w:cs="Times New Roman"/>
          <w:iCs/>
          <w:sz w:val="24"/>
          <w:szCs w:val="24"/>
        </w:rPr>
        <w:t>, 6 oct. 2016), tout en admettant parfois que la longue période écoulée entre la demande de retour de l’enfant et la date de la décision finale crée une situation de fait défavorable au parent victime que l’intérêt de l’enfant conduit à entériner (</w:t>
      </w:r>
      <w:r w:rsidRPr="00801A0F">
        <w:rPr>
          <w:rFonts w:ascii="Times New Roman" w:hAnsi="Times New Roman" w:cs="Times New Roman"/>
          <w:i/>
          <w:iCs/>
          <w:sz w:val="24"/>
          <w:szCs w:val="24"/>
        </w:rPr>
        <w:t>Maire</w:t>
      </w:r>
      <w:r w:rsidRPr="00801A0F">
        <w:rPr>
          <w:rFonts w:ascii="Times New Roman" w:hAnsi="Times New Roman" w:cs="Times New Roman"/>
          <w:iCs/>
          <w:sz w:val="24"/>
          <w:szCs w:val="24"/>
        </w:rPr>
        <w:t xml:space="preserve"> ; </w:t>
      </w:r>
      <w:r w:rsidRPr="00801A0F">
        <w:rPr>
          <w:rFonts w:ascii="Times New Roman" w:hAnsi="Times New Roman" w:cs="Times New Roman"/>
          <w:i/>
          <w:iCs/>
          <w:sz w:val="24"/>
          <w:szCs w:val="24"/>
        </w:rPr>
        <w:t>Sylvester</w:t>
      </w:r>
      <w:r w:rsidRPr="00801A0F">
        <w:rPr>
          <w:rFonts w:ascii="Times New Roman" w:hAnsi="Times New Roman" w:cs="Times New Roman"/>
          <w:iCs/>
          <w:sz w:val="24"/>
          <w:szCs w:val="24"/>
        </w:rPr>
        <w:t xml:space="preserve"> ; </w:t>
      </w:r>
      <w:r w:rsidRPr="00801A0F">
        <w:rPr>
          <w:rFonts w:ascii="Times New Roman" w:hAnsi="Times New Roman" w:cs="Times New Roman"/>
          <w:i/>
          <w:iCs/>
          <w:sz w:val="24"/>
          <w:szCs w:val="24"/>
        </w:rPr>
        <w:t>K.J. c/ Pologne</w:t>
      </w:r>
      <w:r w:rsidRPr="00801A0F">
        <w:rPr>
          <w:rFonts w:ascii="Times New Roman" w:hAnsi="Times New Roman" w:cs="Times New Roman"/>
          <w:iCs/>
          <w:sz w:val="24"/>
          <w:szCs w:val="24"/>
        </w:rPr>
        <w:t>, 1</w:t>
      </w:r>
      <w:r w:rsidRPr="00801A0F">
        <w:rPr>
          <w:rFonts w:ascii="Times New Roman" w:hAnsi="Times New Roman" w:cs="Times New Roman"/>
          <w:iCs/>
          <w:sz w:val="24"/>
          <w:szCs w:val="24"/>
          <w:vertAlign w:val="superscript"/>
        </w:rPr>
        <w:t>er</w:t>
      </w:r>
      <w:r w:rsidRPr="00801A0F">
        <w:rPr>
          <w:rFonts w:ascii="Times New Roman" w:hAnsi="Times New Roman" w:cs="Times New Roman"/>
          <w:iCs/>
          <w:sz w:val="24"/>
          <w:szCs w:val="24"/>
        </w:rPr>
        <w:t xml:space="preserve"> mars 2016.) Il arrive que le refus d’ordonner le retour de l’enfant puisse être à la fois compatible (il intervient trop tard) et incompatible (il aurait dû intervenir plus tôt) avec la Convention EDH, comme l’illustre l’affaire </w:t>
      </w:r>
      <w:r w:rsidRPr="00801A0F">
        <w:rPr>
          <w:rFonts w:ascii="Times New Roman" w:hAnsi="Times New Roman" w:cs="Times New Roman"/>
          <w:i/>
          <w:iCs/>
          <w:sz w:val="24"/>
          <w:szCs w:val="24"/>
        </w:rPr>
        <w:t>Vilenchik c/ Ukraine</w:t>
      </w:r>
      <w:r w:rsidRPr="00801A0F">
        <w:rPr>
          <w:rFonts w:ascii="Times New Roman" w:hAnsi="Times New Roman" w:cs="Times New Roman"/>
          <w:iCs/>
          <w:sz w:val="24"/>
          <w:szCs w:val="24"/>
        </w:rPr>
        <w:t xml:space="preserve"> du 3 oct. 2017.</w:t>
      </w:r>
    </w:p>
    <w:p w14:paraId="48160BC6" w14:textId="77777777" w:rsidR="004414ED" w:rsidRPr="00801A0F"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La Cour refuse de condamner un État refuge lorsqu’elle considère qu’il a pris toutes les mesures qui étaient en son pouvoir pour retrouver l’enfant et organiser son retour (</w:t>
      </w:r>
      <w:r w:rsidRPr="00801A0F">
        <w:rPr>
          <w:rFonts w:ascii="Times New Roman" w:hAnsi="Times New Roman" w:cs="Times New Roman"/>
          <w:i/>
          <w:iCs/>
          <w:sz w:val="24"/>
          <w:szCs w:val="24"/>
        </w:rPr>
        <w:t>Koons c/ Italie</w:t>
      </w:r>
      <w:r w:rsidRPr="00801A0F">
        <w:rPr>
          <w:rFonts w:ascii="Times New Roman" w:hAnsi="Times New Roman" w:cs="Times New Roman"/>
          <w:iCs/>
          <w:sz w:val="24"/>
          <w:szCs w:val="24"/>
        </w:rPr>
        <w:t xml:space="preserve">, 30 sept. 2008 ; </w:t>
      </w:r>
      <w:r w:rsidRPr="00801A0F">
        <w:rPr>
          <w:rFonts w:ascii="Times New Roman" w:hAnsi="Times New Roman" w:cs="Times New Roman"/>
          <w:i/>
          <w:iCs/>
          <w:sz w:val="24"/>
          <w:szCs w:val="24"/>
        </w:rPr>
        <w:t>Ancel c/ Turquie</w:t>
      </w:r>
      <w:r w:rsidRPr="00801A0F">
        <w:rPr>
          <w:rFonts w:ascii="Times New Roman" w:hAnsi="Times New Roman" w:cs="Times New Roman"/>
          <w:iCs/>
          <w:sz w:val="24"/>
          <w:szCs w:val="24"/>
        </w:rPr>
        <w:t>, 17 févr. 2009) faisant ainsi de l’obligation positive qui père sur les États une obligation de moyens.</w:t>
      </w:r>
    </w:p>
    <w:p w14:paraId="10CE7C62" w14:textId="77777777" w:rsidR="004414ED" w:rsidRPr="00801A0F" w:rsidRDefault="004414ED" w:rsidP="004414ED">
      <w:pPr>
        <w:pStyle w:val="Paragraphedeliste"/>
        <w:numPr>
          <w:ilvl w:val="0"/>
          <w:numId w:val="2"/>
        </w:numPr>
        <w:jc w:val="both"/>
        <w:rPr>
          <w:rFonts w:ascii="Times New Roman" w:hAnsi="Times New Roman" w:cs="Times New Roman"/>
          <w:b/>
          <w:bCs/>
          <w:iCs/>
          <w:sz w:val="24"/>
          <w:szCs w:val="24"/>
        </w:rPr>
      </w:pPr>
      <w:r w:rsidRPr="00801A0F">
        <w:rPr>
          <w:rFonts w:ascii="Times New Roman" w:hAnsi="Times New Roman" w:cs="Times New Roman"/>
          <w:b/>
          <w:bCs/>
          <w:iCs/>
          <w:sz w:val="24"/>
          <w:szCs w:val="24"/>
        </w:rPr>
        <w:t>Du point de vue de l’auteur du déplacement illicite : l’ingérence constituée par le retour de l’enfant</w:t>
      </w:r>
    </w:p>
    <w:p w14:paraId="5C86652F" w14:textId="77777777" w:rsidR="004414ED" w:rsidRPr="00801A0F"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La Cour a été confrontée à la requête de l’auteur d’un enlèvement d’enfant</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"Enfant :enlèvement d’"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xml:space="preserve"> prétendant que le retour forcé de ce dernier constitue une ingérence dans son droit au respect de la vie familiale</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"Vie familiale"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ce qu’elle a admis (</w:t>
      </w:r>
      <w:r w:rsidRPr="00801A0F">
        <w:rPr>
          <w:rFonts w:ascii="Times New Roman" w:hAnsi="Times New Roman" w:cs="Times New Roman"/>
          <w:i/>
          <w:iCs/>
          <w:sz w:val="24"/>
          <w:szCs w:val="24"/>
        </w:rPr>
        <w:t>Maumousseau et Washington</w:t>
      </w:r>
      <w:r w:rsidRPr="00801A0F">
        <w:rPr>
          <w:rFonts w:ascii="Times New Roman" w:hAnsi="Times New Roman" w:cs="Times New Roman"/>
          <w:iCs/>
          <w:sz w:val="24"/>
          <w:szCs w:val="24"/>
        </w:rPr>
        <w:t xml:space="preserve"> ; </w:t>
      </w:r>
      <w:r w:rsidRPr="00801A0F">
        <w:rPr>
          <w:rFonts w:ascii="Times New Roman" w:hAnsi="Times New Roman" w:cs="Times New Roman"/>
          <w:i/>
          <w:iCs/>
          <w:sz w:val="24"/>
          <w:szCs w:val="24"/>
        </w:rPr>
        <w:t>Neulinger et Shuruck</w:t>
      </w:r>
      <w:r w:rsidRPr="00801A0F">
        <w:rPr>
          <w:rFonts w:ascii="Times New Roman" w:hAnsi="Times New Roman" w:cs="Times New Roman"/>
          <w:iCs/>
          <w:sz w:val="24"/>
          <w:szCs w:val="24"/>
        </w:rPr>
        <w:t xml:space="preserve"> ; </w:t>
      </w:r>
      <w:r w:rsidRPr="00801A0F">
        <w:rPr>
          <w:rFonts w:ascii="Times New Roman" w:hAnsi="Times New Roman" w:cs="Times New Roman"/>
          <w:i/>
          <w:iCs/>
          <w:sz w:val="24"/>
          <w:szCs w:val="24"/>
        </w:rPr>
        <w:t>B. c/ Belgique</w:t>
      </w:r>
      <w:r w:rsidRPr="00801A0F">
        <w:rPr>
          <w:rFonts w:ascii="Times New Roman" w:hAnsi="Times New Roman" w:cs="Times New Roman"/>
          <w:iCs/>
          <w:sz w:val="24"/>
          <w:szCs w:val="24"/>
        </w:rPr>
        <w:fldChar w:fldCharType="begin"/>
      </w:r>
      <w:r w:rsidRPr="00801A0F">
        <w:rPr>
          <w:rFonts w:ascii="Times New Roman" w:hAnsi="Times New Roman" w:cs="Times New Roman"/>
          <w:iCs/>
          <w:sz w:val="24"/>
          <w:szCs w:val="24"/>
        </w:rPr>
        <w:instrText xml:space="preserve"> XE "$$B. c/ Belgique (2012)" </w:instrText>
      </w:r>
      <w:r w:rsidRPr="00801A0F">
        <w:rPr>
          <w:rFonts w:ascii="Times New Roman" w:hAnsi="Times New Roman" w:cs="Times New Roman"/>
          <w:iCs/>
          <w:sz w:val="24"/>
          <w:szCs w:val="24"/>
        </w:rPr>
        <w:fldChar w:fldCharType="end"/>
      </w:r>
      <w:r w:rsidRPr="00801A0F">
        <w:rPr>
          <w:rFonts w:ascii="Times New Roman" w:hAnsi="Times New Roman" w:cs="Times New Roman"/>
          <w:iCs/>
          <w:sz w:val="24"/>
          <w:szCs w:val="24"/>
        </w:rPr>
        <w:t>, 10 juill. 2012). La cour affirme que pour permettre le retour de l’enfant, « le recours à des mesures coercitives ne saurait à lui seul enfreindre l’article 8 de la Convention » (</w:t>
      </w:r>
      <w:r w:rsidRPr="00801A0F">
        <w:rPr>
          <w:rFonts w:ascii="Times New Roman" w:hAnsi="Times New Roman" w:cs="Times New Roman"/>
          <w:i/>
          <w:iCs/>
          <w:sz w:val="24"/>
          <w:szCs w:val="24"/>
        </w:rPr>
        <w:t>Maumousseau et Washington</w:t>
      </w:r>
      <w:r w:rsidRPr="00801A0F">
        <w:rPr>
          <w:rFonts w:ascii="Times New Roman" w:hAnsi="Times New Roman" w:cs="Times New Roman"/>
          <w:iCs/>
          <w:sz w:val="24"/>
          <w:szCs w:val="24"/>
        </w:rPr>
        <w:t xml:space="preserve">). </w:t>
      </w:r>
    </w:p>
    <w:p w14:paraId="2AE4B503" w14:textId="77777777" w:rsidR="004414ED" w:rsidRPr="00801A0F" w:rsidRDefault="004414ED" w:rsidP="004414ED">
      <w:pPr>
        <w:pStyle w:val="NormalWeb"/>
        <w:spacing w:before="0" w:beforeAutospacing="0" w:after="0" w:afterAutospacing="0"/>
        <w:jc w:val="both"/>
        <w:rPr>
          <w:iCs/>
        </w:rPr>
      </w:pPr>
      <w:r w:rsidRPr="00801A0F">
        <w:rPr>
          <w:iCs/>
        </w:rPr>
        <w:t>Après s’être dans un certain nombre d’arrêts prononcée au fond sur l’opportunité même du retour de l’enfant au regard de son intérêt   (</w:t>
      </w:r>
      <w:r w:rsidRPr="00801A0F">
        <w:rPr>
          <w:i/>
          <w:iCs/>
        </w:rPr>
        <w:t>Neulinger et Shuruck</w:t>
      </w:r>
      <w:r w:rsidRPr="00801A0F">
        <w:rPr>
          <w:iCs/>
        </w:rPr>
        <w:t xml:space="preserve"> ; </w:t>
      </w:r>
      <w:r w:rsidRPr="00801A0F">
        <w:rPr>
          <w:i/>
          <w:iCs/>
        </w:rPr>
        <w:t>B. c/ Belgique Sneersne et Kampanella</w:t>
      </w:r>
      <w:r w:rsidRPr="00801A0F">
        <w:rPr>
          <w:iCs/>
        </w:rPr>
        <w:fldChar w:fldCharType="begin"/>
      </w:r>
      <w:r w:rsidRPr="00801A0F">
        <w:rPr>
          <w:iCs/>
        </w:rPr>
        <w:instrText xml:space="preserve"> XE "$$Sneersne et Kampanella (2011)" </w:instrText>
      </w:r>
      <w:r w:rsidRPr="00801A0F">
        <w:rPr>
          <w:iCs/>
        </w:rPr>
        <w:fldChar w:fldCharType="end"/>
      </w:r>
      <w:r w:rsidRPr="00801A0F">
        <w:rPr>
          <w:i/>
          <w:iCs/>
        </w:rPr>
        <w:t>c/ Italie</w:t>
      </w:r>
      <w:r w:rsidRPr="00801A0F">
        <w:rPr>
          <w:iCs/>
        </w:rPr>
        <w:t xml:space="preserve">, 12 juill. 2011 ; </w:t>
      </w:r>
      <w:r w:rsidRPr="00801A0F">
        <w:rPr>
          <w:i/>
          <w:iCs/>
        </w:rPr>
        <w:t>X c/ Lettonie</w:t>
      </w:r>
      <w:r w:rsidRPr="00801A0F">
        <w:rPr>
          <w:iCs/>
        </w:rPr>
        <w:t>, 13 déc. 2011), à l’encontre de l’interprétation restrictive des exceptions au retour de la Cour de justice de l’Union européenne</w:t>
      </w:r>
      <w:r w:rsidRPr="00801A0F">
        <w:rPr>
          <w:iCs/>
        </w:rPr>
        <w:fldChar w:fldCharType="begin"/>
      </w:r>
      <w:r w:rsidRPr="00801A0F">
        <w:rPr>
          <w:iCs/>
        </w:rPr>
        <w:instrText xml:space="preserve"> XE "Union européenne" </w:instrText>
      </w:r>
      <w:r w:rsidRPr="00801A0F">
        <w:rPr>
          <w:iCs/>
        </w:rPr>
        <w:fldChar w:fldCharType="end"/>
      </w:r>
      <w:r w:rsidRPr="00801A0F">
        <w:rPr>
          <w:iCs/>
        </w:rPr>
        <w:t xml:space="preserve"> (CJCE, </w:t>
      </w:r>
      <w:r w:rsidRPr="00801A0F">
        <w:rPr>
          <w:i/>
          <w:iCs/>
        </w:rPr>
        <w:t xml:space="preserve">Deticek </w:t>
      </w:r>
      <w:r w:rsidRPr="00801A0F">
        <w:rPr>
          <w:i/>
          <w:iCs/>
        </w:rPr>
        <w:lastRenderedPageBreak/>
        <w:t>c/ Sgueglia</w:t>
      </w:r>
      <w:r w:rsidRPr="00801A0F">
        <w:rPr>
          <w:iCs/>
        </w:rPr>
        <w:t>, 23 déc. 2009 ; CJUE, 1</w:t>
      </w:r>
      <w:r w:rsidRPr="00801A0F">
        <w:rPr>
          <w:iCs/>
          <w:vertAlign w:val="superscript"/>
        </w:rPr>
        <w:t>er</w:t>
      </w:r>
      <w:r w:rsidRPr="00801A0F">
        <w:rPr>
          <w:iCs/>
        </w:rPr>
        <w:t xml:space="preserve"> juill. 2010, aff. C-211/10, </w:t>
      </w:r>
      <w:r w:rsidRPr="00801A0F">
        <w:rPr>
          <w:i/>
          <w:iCs/>
        </w:rPr>
        <w:t>Doris Povse c/ Mauro Alpago</w:t>
      </w:r>
      <w:r w:rsidRPr="00801A0F">
        <w:rPr>
          <w:iCs/>
        </w:rPr>
        <w:t>) ainsi que de la Cour de cassation (par ex. Civ. 1</w:t>
      </w:r>
      <w:r w:rsidRPr="00801A0F">
        <w:rPr>
          <w:iCs/>
          <w:vertAlign w:val="superscript"/>
        </w:rPr>
        <w:t>re</w:t>
      </w:r>
      <w:r w:rsidRPr="00801A0F">
        <w:rPr>
          <w:iCs/>
        </w:rPr>
        <w:t>, 20 oct. 2010, n</w:t>
      </w:r>
      <w:r w:rsidRPr="00801A0F">
        <w:rPr>
          <w:iCs/>
          <w:vertAlign w:val="superscript"/>
        </w:rPr>
        <w:t>o</w:t>
      </w:r>
      <w:r w:rsidRPr="00801A0F">
        <w:rPr>
          <w:iCs/>
        </w:rPr>
        <w:t xml:space="preserve"> 08-21161), la Cour européenne a clarifié sa position dans l’arrêt </w:t>
      </w:r>
      <w:r w:rsidRPr="00801A0F">
        <w:rPr>
          <w:i/>
          <w:iCs/>
        </w:rPr>
        <w:t xml:space="preserve">X. c/ Lettonie. </w:t>
      </w:r>
      <w:r w:rsidRPr="00801A0F">
        <w:rPr>
          <w:iCs/>
        </w:rPr>
        <w:fldChar w:fldCharType="begin"/>
      </w:r>
      <w:r w:rsidRPr="00801A0F">
        <w:rPr>
          <w:iCs/>
        </w:rPr>
        <w:instrText xml:space="preserve"> XE "$$X. c/ Lettonie (2013)" </w:instrText>
      </w:r>
      <w:r w:rsidRPr="00801A0F">
        <w:rPr>
          <w:iCs/>
        </w:rPr>
        <w:fldChar w:fldCharType="end"/>
      </w:r>
      <w:r w:rsidRPr="00801A0F">
        <w:rPr>
          <w:iCs/>
        </w:rPr>
        <w:t xml:space="preserve"> La Grande Chambre a affirmé qu’elle n’exige pas un examen approfondi de l’ensemble de la situation familiale par le juge décidant du retour mais impose seulement à ce dernier une « obligation procédurale particulière » consistant à examiner l’allégation défendable de risque grave pour l’enfant en cas de retour et à rendre sur cette question une « décision spécialement motivée au vu des circonstances de l’espèce ». La Cour précise que le risque grave vise une situation qui va « au</w:t>
      </w:r>
      <w:r w:rsidRPr="00801A0F">
        <w:rPr>
          <w:iCs/>
        </w:rPr>
        <w:noBreakHyphen/>
        <w:t>delà de ce qu’un enfant peut raisonnablement supporter ». Comme la Cour de justice de l’Union européenne, la Cour de Strasbourg cantonne désormais le rôle du juge de l’État refuge à un contrôle procédural, à l’exclusion d’un contrôle au fond fondé sur l’intérêt supérieur de l’enfant</w:t>
      </w:r>
      <w:r w:rsidRPr="00801A0F">
        <w:rPr>
          <w:iCs/>
        </w:rPr>
        <w:fldChar w:fldCharType="begin"/>
      </w:r>
      <w:r w:rsidRPr="00801A0F">
        <w:rPr>
          <w:iCs/>
        </w:rPr>
        <w:instrText xml:space="preserve"> XE "Intérêt :supérieur de l’enfant" </w:instrText>
      </w:r>
      <w:r w:rsidRPr="00801A0F">
        <w:rPr>
          <w:iCs/>
        </w:rPr>
        <w:fldChar w:fldCharType="end"/>
      </w:r>
      <w:r w:rsidRPr="00801A0F">
        <w:rPr>
          <w:iCs/>
        </w:rPr>
        <w:t>. Par la suite la Cour européenne a maintenu le cap d’une application stricte du mécanisme de la Convention de La Haye (</w:t>
      </w:r>
      <w:r w:rsidRPr="00801A0F">
        <w:rPr>
          <w:i/>
          <w:iCs/>
        </w:rPr>
        <w:t>Rouiller</w:t>
      </w:r>
      <w:r w:rsidRPr="00801A0F">
        <w:rPr>
          <w:iCs/>
        </w:rPr>
        <w:t xml:space="preserve">, </w:t>
      </w:r>
      <w:r w:rsidRPr="00801A0F">
        <w:rPr>
          <w:i/>
          <w:iCs/>
        </w:rPr>
        <w:t>Phostira Efthymiou et Ribeiro Fernandes c/ Portugal</w:t>
      </w:r>
      <w:r w:rsidRPr="00801A0F">
        <w:rPr>
          <w:iCs/>
        </w:rPr>
        <w:t>, 5 févr 2015,</w:t>
      </w:r>
      <w:r w:rsidRPr="00801A0F">
        <w:rPr>
          <w:i/>
          <w:iCs/>
        </w:rPr>
        <w:t xml:space="preserve"> Henrioud c/ France</w:t>
      </w:r>
      <w:r w:rsidRPr="00801A0F">
        <w:rPr>
          <w:iCs/>
        </w:rPr>
        <w:t xml:space="preserve">, 5 nov. 2015 ; </w:t>
      </w:r>
      <w:r w:rsidRPr="00801A0F">
        <w:rPr>
          <w:i/>
          <w:iCs/>
        </w:rPr>
        <w:t>Voica c/ Roumanie,</w:t>
      </w:r>
      <w:r w:rsidRPr="00801A0F">
        <w:rPr>
          <w:iCs/>
        </w:rPr>
        <w:t>7 juil. 2020</w:t>
      </w:r>
      <w:r w:rsidRPr="00801A0F">
        <w:rPr>
          <w:b/>
          <w:i/>
          <w:iCs/>
        </w:rPr>
        <w:t>,</w:t>
      </w:r>
      <w:r w:rsidRPr="00801A0F">
        <w:rPr>
          <w:iCs/>
        </w:rPr>
        <w:t xml:space="preserve">) et d’une </w:t>
      </w:r>
      <w:r w:rsidRPr="00801A0F">
        <w:rPr>
          <w:bCs/>
          <w:iCs/>
        </w:rPr>
        <w:t>une mise en œuvre « raisonnée » de l’intérêt supérieur de l’enfant</w:t>
      </w:r>
      <w:r w:rsidRPr="00801A0F">
        <w:rPr>
          <w:b/>
          <w:bCs/>
          <w:iCs/>
        </w:rPr>
        <w:t xml:space="preserve"> </w:t>
      </w:r>
      <w:r w:rsidRPr="00801A0F">
        <w:rPr>
          <w:iCs/>
        </w:rPr>
        <w:t xml:space="preserve">Elle insiste sur la nécessité d’apprécier </w:t>
      </w:r>
      <w:r w:rsidRPr="00801A0F">
        <w:rPr>
          <w:i/>
          <w:iCs/>
        </w:rPr>
        <w:t>in concreto</w:t>
      </w:r>
      <w:r w:rsidRPr="00801A0F">
        <w:rPr>
          <w:iCs/>
        </w:rPr>
        <w:t xml:space="preserve"> et de manière approfondie et effective</w:t>
      </w:r>
      <w:r w:rsidRPr="00801A0F">
        <w:rPr>
          <w:i/>
          <w:iCs/>
        </w:rPr>
        <w:t xml:space="preserve"> </w:t>
      </w:r>
      <w:r w:rsidRPr="00801A0F">
        <w:rPr>
          <w:iCs/>
        </w:rPr>
        <w:t>en quoi le retour de l’enfant lui causerait un préjudice et serait contraire à son intérêt supérieur (</w:t>
      </w:r>
      <w:r w:rsidRPr="00801A0F">
        <w:rPr>
          <w:i/>
          <w:iCs/>
        </w:rPr>
        <w:t>Royer c/ Hongrie</w:t>
      </w:r>
      <w:r w:rsidRPr="00801A0F">
        <w:rPr>
          <w:iCs/>
        </w:rPr>
        <w:t xml:space="preserve">, 6 mars 2018 ; </w:t>
      </w:r>
      <w:r w:rsidRPr="00801A0F">
        <w:rPr>
          <w:i/>
          <w:iCs/>
        </w:rPr>
        <w:t>Andersena c. Lettonie</w:t>
      </w:r>
      <w:r w:rsidRPr="00801A0F">
        <w:rPr>
          <w:iCs/>
        </w:rPr>
        <w:t>, 19 sept. 2019</w:t>
      </w:r>
      <w:r w:rsidRPr="00801A0F">
        <w:rPr>
          <w:i/>
          <w:iCs/>
        </w:rPr>
        <w:t> ; Lacombe c/ France,</w:t>
      </w:r>
      <w:r w:rsidRPr="00801A0F">
        <w:rPr>
          <w:iCs/>
        </w:rPr>
        <w:t xml:space="preserve">10 octobre 2019). Les autorités nationales doivent prendre en compte les arguments relatifs à un risque grave pour l’enfant, non pas de manière automatique et stéréotypé, mais de manière suffisamment détaillée. </w:t>
      </w:r>
    </w:p>
    <w:p w14:paraId="2300EE03" w14:textId="77777777" w:rsidR="004414ED" w:rsidRPr="00801A0F" w:rsidRDefault="004414ED" w:rsidP="004414ED">
      <w:pPr>
        <w:pStyle w:val="NormalWeb"/>
        <w:spacing w:before="0" w:beforeAutospacing="0" w:after="0" w:afterAutospacing="0"/>
        <w:jc w:val="both"/>
        <w:rPr>
          <w:iCs/>
        </w:rPr>
      </w:pPr>
    </w:p>
    <w:p w14:paraId="75B7AC39" w14:textId="77777777" w:rsidR="004414ED" w:rsidRPr="00801A0F" w:rsidRDefault="004414ED" w:rsidP="004414ED">
      <w:pPr>
        <w:pStyle w:val="NormalWeb"/>
        <w:spacing w:before="0" w:beforeAutospacing="0" w:after="0" w:afterAutospacing="0"/>
        <w:jc w:val="both"/>
      </w:pPr>
      <w:r w:rsidRPr="00801A0F">
        <w:rPr>
          <w:iCs/>
        </w:rPr>
        <w:t>Dans plusieurs décisions, la Cour prend soin de préciser que la condamnation de l’État refuge qui n’a pas organisé le retour de l’enfant ne doit pas être interprétée comme l’obligeant à renvoyer l’enfant dans l’État d’origine (</w:t>
      </w:r>
      <w:r w:rsidRPr="00801A0F">
        <w:rPr>
          <w:i/>
          <w:iCs/>
        </w:rPr>
        <w:t>X c/ Lettonie</w:t>
      </w:r>
      <w:r w:rsidRPr="00801A0F">
        <w:rPr>
          <w:iCs/>
        </w:rPr>
        <w:t>, 13 déc. 2011)</w:t>
      </w:r>
      <w:r w:rsidRPr="00801A0F">
        <w:rPr>
          <w:i/>
          <w:iCs/>
        </w:rPr>
        <w:t xml:space="preserve">. </w:t>
      </w:r>
      <w:r w:rsidRPr="00801A0F">
        <w:t xml:space="preserve">L’affaire </w:t>
      </w:r>
      <w:r w:rsidRPr="00801A0F">
        <w:rPr>
          <w:bCs/>
          <w:iCs/>
        </w:rPr>
        <w:t xml:space="preserve">S.N. et M.B.N. c/ Suisse, 23 nov. 2021 </w:t>
      </w:r>
      <w:r w:rsidRPr="00801A0F">
        <w:t xml:space="preserve">rappelle l’ambivalence de l’ordre de retour de l’enfant. S’il permet la réunion d’un enfant avec son parent, il risque, dans le même temps, d’éloigner l’enfant de son autre parent, auteur de l’enlèvement. Aussi, et au-delà des dispositions de la Convention de La Haye, les tribunaux qui ordonnent le retour ne doivent pas agir de façon automatique et mécanique mais évaluer les conséquences de leur décision sur le développement de l’enfant et sur ses relations avec chacun de ses parents. </w:t>
      </w:r>
    </w:p>
    <w:p w14:paraId="2256FD52" w14:textId="77777777" w:rsidR="004414ED" w:rsidRPr="00801A0F" w:rsidRDefault="004414ED" w:rsidP="004414ED">
      <w:pPr>
        <w:pStyle w:val="NormalWeb"/>
        <w:spacing w:before="0" w:beforeAutospacing="0" w:after="0" w:afterAutospacing="0"/>
        <w:jc w:val="both"/>
      </w:pPr>
      <w:r w:rsidRPr="00801A0F">
        <w:t>Par exemple la Cour ne retient pas une violation de l’article 8 dans la mesure où les autorités ont examiné de façon circonstanciée et détaillée les conditions dans lesquels se réaliserait le retour de l’enfant en Thaïlande, malgré ses réticences et les allégations d’agression sexuelle dont elle aurait été victime de la part de son père. Sa mère avait la possibilité de l’accompagner sans être pénalement inquiétée et de choisir le lieu de leur résidence en Thaïlande. En outre, les autorités thaïlandaises ont fourni des assurances quant à la sécurité de l’enfant et à la protection de ses droits. En d’autres termes, le processus décisionnel était équitable et avait permis à chacune des parties de faire valoir ses arguments, dans le respect de l’intérêt supérieur de l’enfant.</w:t>
      </w:r>
    </w:p>
    <w:p w14:paraId="7E40FAF1" w14:textId="77777777" w:rsidR="004414ED" w:rsidRPr="00801A0F" w:rsidRDefault="004414ED" w:rsidP="004414ED">
      <w:pPr>
        <w:pStyle w:val="NormalWeb"/>
        <w:spacing w:before="0" w:beforeAutospacing="0" w:after="0" w:afterAutospacing="0"/>
        <w:jc w:val="both"/>
      </w:pPr>
    </w:p>
    <w:p w14:paraId="1DE7ECAF" w14:textId="77777777" w:rsidR="004414ED" w:rsidRDefault="004414ED" w:rsidP="004414ED">
      <w:pPr>
        <w:jc w:val="both"/>
        <w:rPr>
          <w:rFonts w:ascii="Times New Roman" w:hAnsi="Times New Roman" w:cs="Times New Roman"/>
          <w:iCs/>
          <w:sz w:val="24"/>
          <w:szCs w:val="24"/>
        </w:rPr>
      </w:pPr>
      <w:r w:rsidRPr="00801A0F">
        <w:rPr>
          <w:rFonts w:ascii="Times New Roman" w:hAnsi="Times New Roman" w:cs="Times New Roman"/>
          <w:iCs/>
          <w:sz w:val="24"/>
          <w:szCs w:val="24"/>
        </w:rPr>
        <w:t xml:space="preserve"> L’avis de l’enfant enlevé qui peut, selon la Convention de la Haye constituer un motif pour ne pas ordonner son retour ne peut être pris en compte que s’il est exprimé dans un contexte serein excluant les pressions du parent auteur de l’enlèvement (</w:t>
      </w:r>
      <w:r w:rsidRPr="00801A0F">
        <w:rPr>
          <w:rFonts w:ascii="Times New Roman" w:hAnsi="Times New Roman" w:cs="Times New Roman"/>
          <w:i/>
          <w:iCs/>
          <w:sz w:val="24"/>
          <w:szCs w:val="24"/>
        </w:rPr>
        <w:t>Sophia Gudrun Hansen c/ Turquie</w:t>
      </w:r>
      <w:r w:rsidRPr="00801A0F">
        <w:rPr>
          <w:rFonts w:ascii="Times New Roman" w:hAnsi="Times New Roman" w:cs="Times New Roman"/>
          <w:iCs/>
          <w:sz w:val="24"/>
          <w:szCs w:val="24"/>
        </w:rPr>
        <w:t xml:space="preserve">, 23 sept. 2003). Depuis l’arrêt </w:t>
      </w:r>
      <w:r w:rsidRPr="00F96786">
        <w:rPr>
          <w:rFonts w:ascii="Times New Roman" w:hAnsi="Times New Roman" w:cs="Times New Roman"/>
          <w:iCs/>
          <w:sz w:val="24"/>
          <w:szCs w:val="24"/>
        </w:rPr>
        <w:t>M. K</w:t>
      </w:r>
      <w:r w:rsidRPr="00801A0F">
        <w:rPr>
          <w:rFonts w:ascii="Times New Roman" w:hAnsi="Times New Roman" w:cs="Times New Roman"/>
          <w:iCs/>
          <w:sz w:val="24"/>
          <w:szCs w:val="24"/>
        </w:rPr>
        <w:t xml:space="preserve">. </w:t>
      </w:r>
      <w:r w:rsidRPr="00F96786">
        <w:rPr>
          <w:rFonts w:ascii="Times New Roman" w:hAnsi="Times New Roman" w:cs="Times New Roman"/>
          <w:iCs/>
          <w:sz w:val="24"/>
          <w:szCs w:val="24"/>
        </w:rPr>
        <w:t>c/ Grèce</w:t>
      </w:r>
      <w:r w:rsidRPr="00801A0F">
        <w:rPr>
          <w:rFonts w:ascii="Times New Roman" w:hAnsi="Times New Roman" w:cs="Times New Roman"/>
          <w:iCs/>
          <w:sz w:val="24"/>
          <w:szCs w:val="24"/>
        </w:rPr>
        <w:t xml:space="preserve"> du 1</w:t>
      </w:r>
      <w:r w:rsidRPr="00F96786">
        <w:rPr>
          <w:rFonts w:ascii="Times New Roman" w:hAnsi="Times New Roman" w:cs="Times New Roman"/>
          <w:iCs/>
          <w:sz w:val="24"/>
          <w:szCs w:val="24"/>
        </w:rPr>
        <w:t>er</w:t>
      </w:r>
      <w:r w:rsidRPr="00801A0F">
        <w:rPr>
          <w:rFonts w:ascii="Times New Roman" w:hAnsi="Times New Roman" w:cs="Times New Roman"/>
          <w:iCs/>
          <w:sz w:val="24"/>
          <w:szCs w:val="24"/>
        </w:rPr>
        <w:t> févr. 2018, la Cour qualifie explicitement, sur le fondement de l’article 13 de la Convention de la Haye, le refus exprimé par l’enfant discernant, de motif légitime de refuser le retour.</w:t>
      </w:r>
      <w:r>
        <w:rPr>
          <w:rFonts w:ascii="Times New Roman" w:hAnsi="Times New Roman" w:cs="Times New Roman"/>
          <w:iCs/>
          <w:sz w:val="24"/>
          <w:szCs w:val="24"/>
        </w:rPr>
        <w:t xml:space="preserve"> Dans l’arrêt </w:t>
      </w:r>
      <w:r w:rsidRPr="00F96786">
        <w:rPr>
          <w:rFonts w:ascii="Times New Roman" w:hAnsi="Times New Roman" w:cs="Times New Roman"/>
          <w:iCs/>
          <w:sz w:val="24"/>
          <w:szCs w:val="24"/>
        </w:rPr>
        <w:t>M. P. et autres c/ Grèce (CEDH, 9 sept. 2025, n° 2068/24), la Cour européenne a imposé au juge d’examiner systématiquement l’opportunité d’entendre l’enfant.</w:t>
      </w:r>
    </w:p>
    <w:p w14:paraId="0310D398" w14:textId="77777777" w:rsidR="00927B4A" w:rsidRDefault="00927B4A"/>
    <w:sectPr w:rsidR="00927B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C0EB6" w14:textId="77777777" w:rsidR="003B7750" w:rsidRDefault="003B7750" w:rsidP="004414ED">
      <w:pPr>
        <w:spacing w:after="0" w:line="240" w:lineRule="auto"/>
      </w:pPr>
      <w:r>
        <w:separator/>
      </w:r>
    </w:p>
  </w:endnote>
  <w:endnote w:type="continuationSeparator" w:id="0">
    <w:p w14:paraId="5F8696DE" w14:textId="77777777" w:rsidR="003B7750" w:rsidRDefault="003B7750" w:rsidP="0044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A251" w14:textId="77777777" w:rsidR="003B7750" w:rsidRDefault="003B7750" w:rsidP="004414ED">
      <w:pPr>
        <w:spacing w:after="0" w:line="240" w:lineRule="auto"/>
      </w:pPr>
      <w:r>
        <w:separator/>
      </w:r>
    </w:p>
  </w:footnote>
  <w:footnote w:type="continuationSeparator" w:id="0">
    <w:p w14:paraId="0FC5EFA1" w14:textId="77777777" w:rsidR="003B7750" w:rsidRDefault="003B7750" w:rsidP="00441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 w15:restartNumberingAfterBreak="0">
    <w:nsid w:val="21695FE2"/>
    <w:multiLevelType w:val="hybridMultilevel"/>
    <w:tmpl w:val="D23A93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B1410FF"/>
    <w:multiLevelType w:val="hybridMultilevel"/>
    <w:tmpl w:val="61A2EC6A"/>
    <w:lvl w:ilvl="0" w:tplc="FD869CEA">
      <w:start w:val="2"/>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ED"/>
    <w:rsid w:val="00245FDA"/>
    <w:rsid w:val="003B7750"/>
    <w:rsid w:val="004414ED"/>
    <w:rsid w:val="00927B4A"/>
    <w:rsid w:val="00A75B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7D59"/>
  <w15:chartTrackingRefBased/>
  <w15:docId w15:val="{69AE4261-76E6-4462-9F78-AD6EE0B7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8"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ED"/>
  </w:style>
  <w:style w:type="paragraph" w:styleId="Titre1">
    <w:name w:val="heading 1"/>
    <w:basedOn w:val="Normal"/>
    <w:next w:val="Normal"/>
    <w:link w:val="Titre1Car"/>
    <w:uiPriority w:val="9"/>
    <w:qFormat/>
    <w:rsid w:val="004414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4414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414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4414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4414ED"/>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414ED"/>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4414E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4414E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414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8"/>
    <w:qFormat/>
    <w:rsid w:val="004414ED"/>
    <w:pPr>
      <w:ind w:left="720"/>
      <w:contextualSpacing/>
    </w:pPr>
  </w:style>
  <w:style w:type="paragraph" w:customStyle="1" w:styleId="Note">
    <w:name w:val="Note"/>
    <w:basedOn w:val="Normal"/>
    <w:qFormat/>
    <w:rsid w:val="004414ED"/>
    <w:pPr>
      <w:spacing w:after="0" w:line="240" w:lineRule="auto"/>
      <w:ind w:firstLine="142"/>
      <w:jc w:val="both"/>
    </w:pPr>
    <w:rPr>
      <w:rFonts w:ascii="Tms Rmn" w:eastAsia="Times New Roman" w:hAnsi="Tms Rmn" w:cs="Tms Rmn"/>
      <w:noProof/>
      <w:sz w:val="16"/>
      <w:szCs w:val="24"/>
      <w:lang w:eastAsia="fr-FR"/>
    </w:rPr>
  </w:style>
  <w:style w:type="paragraph" w:styleId="NormalWeb">
    <w:name w:val="Normal (Web)"/>
    <w:basedOn w:val="Normal"/>
    <w:uiPriority w:val="98"/>
    <w:unhideWhenUsed/>
    <w:rsid w:val="004414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JuHHead">
    <w:name w:val="Ju_H_Head"/>
    <w:aliases w:val="_Head_1"/>
    <w:basedOn w:val="Titre1"/>
    <w:next w:val="Normal"/>
    <w:uiPriority w:val="17"/>
    <w:qFormat/>
    <w:rsid w:val="004414ED"/>
    <w:pPr>
      <w:numPr>
        <w:numId w:val="1"/>
      </w:numPr>
      <w:tabs>
        <w:tab w:val="num" w:pos="360"/>
      </w:tabs>
      <w:spacing w:before="100" w:beforeAutospacing="1" w:after="240" w:line="240" w:lineRule="auto"/>
      <w:jc w:val="both"/>
    </w:pPr>
    <w:rPr>
      <w:bCs/>
      <w:caps/>
      <w:color w:val="auto"/>
      <w:sz w:val="28"/>
      <w:szCs w:val="28"/>
    </w:rPr>
  </w:style>
  <w:style w:type="paragraph" w:customStyle="1" w:styleId="JuHIRoman">
    <w:name w:val="Ju_H_I_Roman"/>
    <w:aliases w:val="_Head_2,ECHR_Heading_2"/>
    <w:basedOn w:val="Titre2"/>
    <w:next w:val="Normal"/>
    <w:uiPriority w:val="17"/>
    <w:qFormat/>
    <w:rsid w:val="004414ED"/>
    <w:pPr>
      <w:numPr>
        <w:ilvl w:val="1"/>
        <w:numId w:val="1"/>
      </w:numPr>
      <w:tabs>
        <w:tab w:val="num" w:pos="360"/>
        <w:tab w:val="left" w:pos="454"/>
        <w:tab w:val="left" w:pos="539"/>
        <w:tab w:val="left" w:pos="624"/>
        <w:tab w:val="left" w:pos="709"/>
        <w:tab w:val="left" w:pos="794"/>
      </w:tabs>
      <w:spacing w:before="100" w:beforeAutospacing="1" w:after="240" w:line="240" w:lineRule="auto"/>
      <w:ind w:left="0" w:firstLine="0"/>
      <w:jc w:val="both"/>
    </w:pPr>
    <w:rPr>
      <w:bCs/>
      <w:caps/>
      <w:color w:val="auto"/>
      <w:sz w:val="24"/>
    </w:rPr>
  </w:style>
  <w:style w:type="paragraph" w:customStyle="1" w:styleId="JuHA">
    <w:name w:val="Ju_H_A"/>
    <w:aliases w:val="_Head_3,ECHR_Heading_3"/>
    <w:basedOn w:val="Titre3"/>
    <w:next w:val="Normal"/>
    <w:uiPriority w:val="17"/>
    <w:qFormat/>
    <w:rsid w:val="004414ED"/>
    <w:pPr>
      <w:numPr>
        <w:ilvl w:val="2"/>
        <w:numId w:val="1"/>
      </w:numPr>
      <w:tabs>
        <w:tab w:val="num" w:pos="360"/>
      </w:tabs>
      <w:spacing w:before="100" w:beforeAutospacing="1" w:after="240" w:line="240" w:lineRule="auto"/>
      <w:ind w:left="0" w:firstLine="0"/>
      <w:jc w:val="both"/>
    </w:pPr>
    <w:rPr>
      <w:b/>
      <w:bCs/>
      <w:color w:val="auto"/>
      <w:szCs w:val="22"/>
    </w:rPr>
  </w:style>
  <w:style w:type="paragraph" w:customStyle="1" w:styleId="JuH1">
    <w:name w:val="Ju_H_1."/>
    <w:aliases w:val="_Head_4,ECHR_Heading_4"/>
    <w:basedOn w:val="Titre4"/>
    <w:next w:val="Normal"/>
    <w:link w:val="JuH1Char"/>
    <w:uiPriority w:val="17"/>
    <w:qFormat/>
    <w:rsid w:val="004414ED"/>
    <w:pPr>
      <w:numPr>
        <w:ilvl w:val="3"/>
        <w:numId w:val="1"/>
      </w:numPr>
      <w:spacing w:before="100" w:beforeAutospacing="1" w:after="120" w:line="240" w:lineRule="auto"/>
      <w:jc w:val="both"/>
    </w:pPr>
    <w:rPr>
      <w:bCs/>
      <w:sz w:val="24"/>
    </w:rPr>
  </w:style>
  <w:style w:type="paragraph" w:customStyle="1" w:styleId="JuHa0">
    <w:name w:val="Ju_H_a"/>
    <w:aliases w:val="_Head_5"/>
    <w:basedOn w:val="Titre5"/>
    <w:next w:val="Normal"/>
    <w:uiPriority w:val="17"/>
    <w:rsid w:val="004414ED"/>
    <w:pPr>
      <w:numPr>
        <w:ilvl w:val="4"/>
        <w:numId w:val="1"/>
      </w:numPr>
      <w:tabs>
        <w:tab w:val="num" w:pos="360"/>
      </w:tabs>
      <w:spacing w:before="100" w:beforeAutospacing="1" w:after="120" w:line="240" w:lineRule="auto"/>
      <w:ind w:left="0" w:firstLine="0"/>
      <w:jc w:val="both"/>
    </w:pPr>
    <w:rPr>
      <w:b/>
      <w:bCs/>
      <w:color w:val="auto"/>
      <w:sz w:val="20"/>
    </w:rPr>
  </w:style>
  <w:style w:type="paragraph" w:customStyle="1" w:styleId="JuHi">
    <w:name w:val="Ju_H_i"/>
    <w:aliases w:val="_Head_6"/>
    <w:basedOn w:val="Titre6"/>
    <w:next w:val="Normal"/>
    <w:uiPriority w:val="17"/>
    <w:rsid w:val="004414ED"/>
    <w:pPr>
      <w:numPr>
        <w:ilvl w:val="5"/>
        <w:numId w:val="1"/>
      </w:numPr>
      <w:tabs>
        <w:tab w:val="num" w:pos="360"/>
        <w:tab w:val="left" w:pos="1077"/>
        <w:tab w:val="left" w:pos="1134"/>
        <w:tab w:val="left" w:pos="1191"/>
        <w:tab w:val="left" w:pos="1247"/>
      </w:tabs>
      <w:spacing w:before="100" w:beforeAutospacing="1" w:after="120" w:line="271" w:lineRule="auto"/>
      <w:ind w:left="0" w:firstLine="0"/>
      <w:jc w:val="both"/>
    </w:pPr>
    <w:rPr>
      <w:bCs/>
      <w:i/>
      <w:iCs/>
      <w:color w:val="auto"/>
      <w:sz w:val="20"/>
      <w:lang w:bidi="en-US"/>
    </w:rPr>
  </w:style>
  <w:style w:type="paragraph" w:customStyle="1" w:styleId="JuHalpha">
    <w:name w:val="Ju_H_alpha"/>
    <w:aliases w:val="_Head_7"/>
    <w:basedOn w:val="Titre7"/>
    <w:next w:val="Normal"/>
    <w:uiPriority w:val="17"/>
    <w:rsid w:val="004414ED"/>
    <w:pPr>
      <w:numPr>
        <w:ilvl w:val="6"/>
        <w:numId w:val="1"/>
      </w:numPr>
      <w:tabs>
        <w:tab w:val="num" w:pos="360"/>
        <w:tab w:val="left" w:pos="1361"/>
      </w:tabs>
      <w:spacing w:before="100" w:beforeAutospacing="1" w:after="120" w:line="240" w:lineRule="auto"/>
      <w:ind w:left="0" w:firstLine="0"/>
      <w:jc w:val="both"/>
    </w:pPr>
    <w:rPr>
      <w:i w:val="0"/>
      <w:color w:val="auto"/>
      <w:sz w:val="20"/>
      <w:lang w:bidi="en-US"/>
    </w:rPr>
  </w:style>
  <w:style w:type="paragraph" w:customStyle="1" w:styleId="JuH">
    <w:name w:val="Ju_H_–"/>
    <w:aliases w:val="_Head_8"/>
    <w:basedOn w:val="Titre8"/>
    <w:next w:val="Normal"/>
    <w:uiPriority w:val="17"/>
    <w:rsid w:val="004414ED"/>
    <w:pPr>
      <w:numPr>
        <w:ilvl w:val="7"/>
        <w:numId w:val="1"/>
      </w:numPr>
      <w:tabs>
        <w:tab w:val="num" w:pos="360"/>
      </w:tabs>
      <w:spacing w:before="100" w:beforeAutospacing="1" w:after="120" w:line="240" w:lineRule="auto"/>
      <w:ind w:left="0" w:firstLine="0"/>
      <w:jc w:val="both"/>
    </w:pPr>
    <w:rPr>
      <w:i/>
      <w:color w:val="auto"/>
      <w:sz w:val="20"/>
      <w:szCs w:val="20"/>
      <w:lang w:bidi="en-US"/>
    </w:rPr>
  </w:style>
  <w:style w:type="paragraph" w:customStyle="1" w:styleId="ECHRHeading9">
    <w:name w:val="ECHR_Heading_9"/>
    <w:aliases w:val="_Head_9"/>
    <w:basedOn w:val="Titre9"/>
    <w:uiPriority w:val="17"/>
    <w:rsid w:val="004414ED"/>
    <w:pPr>
      <w:numPr>
        <w:ilvl w:val="8"/>
        <w:numId w:val="1"/>
      </w:numPr>
      <w:tabs>
        <w:tab w:val="num" w:pos="360"/>
      </w:tabs>
      <w:spacing w:before="100" w:beforeAutospacing="1" w:line="240" w:lineRule="auto"/>
      <w:ind w:left="0" w:firstLine="0"/>
      <w:contextualSpacing/>
      <w:jc w:val="both"/>
    </w:pPr>
    <w:rPr>
      <w:i w:val="0"/>
      <w:color w:val="auto"/>
      <w:spacing w:val="5"/>
      <w:sz w:val="18"/>
      <w:szCs w:val="20"/>
      <w:lang w:bidi="en-US"/>
    </w:rPr>
  </w:style>
  <w:style w:type="character" w:customStyle="1" w:styleId="JuH1Char">
    <w:name w:val="Ju_H_1. Char"/>
    <w:aliases w:val="_Head_4 Char"/>
    <w:basedOn w:val="Titre4Car"/>
    <w:link w:val="JuH1"/>
    <w:uiPriority w:val="17"/>
    <w:rsid w:val="004414ED"/>
    <w:rPr>
      <w:rFonts w:asciiTheme="majorHAnsi" w:eastAsiaTheme="majorEastAsia" w:hAnsiTheme="majorHAnsi" w:cstheme="majorBidi"/>
      <w:bCs/>
      <w:i/>
      <w:iCs/>
      <w:color w:val="2F5496" w:themeColor="accent1" w:themeShade="BF"/>
      <w:sz w:val="24"/>
    </w:rPr>
  </w:style>
  <w:style w:type="character" w:customStyle="1" w:styleId="Titre1Car">
    <w:name w:val="Titre 1 Car"/>
    <w:basedOn w:val="Policepardfaut"/>
    <w:link w:val="Titre1"/>
    <w:uiPriority w:val="9"/>
    <w:rsid w:val="004414E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4414ED"/>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4414ED"/>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4414ED"/>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4414ED"/>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4414ED"/>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4414ED"/>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441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414E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4112</Words>
  <Characters>22621</Characters>
  <Application>Microsoft Office Word</Application>
  <DocSecurity>0</DocSecurity>
  <Lines>188</Lines>
  <Paragraphs>53</Paragraphs>
  <ScaleCrop>false</ScaleCrop>
  <Company>Universite de Bordeaux</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3</cp:revision>
  <dcterms:created xsi:type="dcterms:W3CDTF">2025-11-04T14:24:00Z</dcterms:created>
  <dcterms:modified xsi:type="dcterms:W3CDTF">2025-11-04T14:34:00Z</dcterms:modified>
</cp:coreProperties>
</file>