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67E1" w14:textId="497C59ED" w:rsidR="00395071" w:rsidRPr="00031FCC" w:rsidRDefault="00031FCC" w:rsidP="00031FCC">
      <w:pPr>
        <w:jc w:val="center"/>
        <w:rPr>
          <w:rFonts w:ascii="Times New Roman" w:hAnsi="Times New Roman" w:cs="Times New Roman"/>
          <w:b/>
          <w:bCs/>
          <w:sz w:val="24"/>
          <w:szCs w:val="24"/>
        </w:rPr>
      </w:pPr>
      <w:r w:rsidRPr="00031FCC">
        <w:rPr>
          <w:rFonts w:ascii="Times New Roman" w:hAnsi="Times New Roman" w:cs="Times New Roman"/>
          <w:b/>
          <w:bCs/>
          <w:sz w:val="24"/>
          <w:szCs w:val="24"/>
        </w:rPr>
        <w:t>Droit de la convention européenne des droits de l’homme</w:t>
      </w:r>
    </w:p>
    <w:p w14:paraId="30BE5227" w14:textId="11C28364" w:rsidR="00031FCC" w:rsidRPr="00031FCC" w:rsidRDefault="00031FCC" w:rsidP="00031FCC">
      <w:pPr>
        <w:jc w:val="center"/>
        <w:rPr>
          <w:rFonts w:ascii="Times New Roman" w:hAnsi="Times New Roman" w:cs="Times New Roman"/>
          <w:b/>
          <w:bCs/>
          <w:sz w:val="24"/>
          <w:szCs w:val="24"/>
        </w:rPr>
      </w:pPr>
      <w:r w:rsidRPr="00031FCC">
        <w:rPr>
          <w:rFonts w:ascii="Times New Roman" w:hAnsi="Times New Roman" w:cs="Times New Roman"/>
          <w:b/>
          <w:bCs/>
          <w:sz w:val="24"/>
          <w:szCs w:val="24"/>
        </w:rPr>
        <w:t>Support de cours n°7</w:t>
      </w:r>
    </w:p>
    <w:p w14:paraId="2BBAFBBB" w14:textId="7928562A" w:rsidR="00031FCC" w:rsidRPr="00031FCC" w:rsidRDefault="00031FCC">
      <w:pPr>
        <w:rPr>
          <w:rFonts w:ascii="Times New Roman" w:hAnsi="Times New Roman" w:cs="Times New Roman"/>
          <w:b/>
          <w:bCs/>
          <w:sz w:val="24"/>
          <w:szCs w:val="24"/>
        </w:rPr>
      </w:pPr>
      <w:r w:rsidRPr="00031FCC">
        <w:rPr>
          <w:rFonts w:ascii="Times New Roman" w:hAnsi="Times New Roman" w:cs="Times New Roman"/>
          <w:b/>
          <w:bCs/>
          <w:sz w:val="24"/>
          <w:szCs w:val="24"/>
        </w:rPr>
        <w:t xml:space="preserve"> </w:t>
      </w:r>
      <w:r w:rsidRPr="00031FCC">
        <w:rPr>
          <w:rFonts w:ascii="Times New Roman" w:hAnsi="Times New Roman" w:cs="Times New Roman"/>
          <w:b/>
          <w:bCs/>
          <w:sz w:val="24"/>
          <w:szCs w:val="24"/>
          <w:highlight w:val="yellow"/>
        </w:rPr>
        <w:t>A lire pour la séance sur Les déplacements illicites d’enfant</w:t>
      </w:r>
    </w:p>
    <w:p w14:paraId="5F585207" w14:textId="77777777" w:rsidR="00031FCC" w:rsidRPr="00031FCC" w:rsidRDefault="00031FCC" w:rsidP="00031FCC">
      <w:pPr>
        <w:pStyle w:val="Titre2"/>
        <w:spacing w:before="0" w:after="0"/>
        <w:rPr>
          <w:rFonts w:ascii="Times New Roman" w:hAnsi="Times New Roman" w:cs="Times New Roman"/>
          <w:i w:val="0"/>
          <w:iCs w:val="0"/>
          <w:color w:val="000000"/>
          <w:sz w:val="24"/>
          <w:szCs w:val="24"/>
        </w:rPr>
      </w:pPr>
      <w:r w:rsidRPr="00031FCC">
        <w:rPr>
          <w:rFonts w:ascii="Times New Roman" w:hAnsi="Times New Roman" w:cs="Times New Roman"/>
          <w:i w:val="0"/>
          <w:iCs w:val="0"/>
          <w:color w:val="000000"/>
          <w:sz w:val="24"/>
          <w:szCs w:val="24"/>
        </w:rPr>
        <w:t>Cour de cassation, civile, Chambre civile 1, 21 novembre 2019, 19-19.388, Inédit</w:t>
      </w:r>
    </w:p>
    <w:p w14:paraId="5A4FC2E3" w14:textId="30F4220B" w:rsidR="00031FCC" w:rsidRPr="00031FCC" w:rsidRDefault="00031FCC" w:rsidP="00031FCC">
      <w:pPr>
        <w:spacing w:after="0"/>
        <w:rPr>
          <w:rFonts w:ascii="Times New Roman" w:hAnsi="Times New Roman" w:cs="Times New Roman"/>
          <w:color w:val="000000"/>
          <w:sz w:val="24"/>
          <w:szCs w:val="24"/>
        </w:rPr>
      </w:pPr>
      <w:r w:rsidRPr="00031FCC">
        <w:rPr>
          <w:rFonts w:ascii="Times New Roman" w:hAnsi="Times New Roman" w:cs="Times New Roman"/>
          <w:color w:val="000000"/>
          <w:sz w:val="24"/>
          <w:szCs w:val="24"/>
        </w:rPr>
        <w:t>Faits et procédure</w:t>
      </w:r>
      <w:r w:rsidRPr="00031FCC">
        <w:rPr>
          <w:rFonts w:ascii="Times New Roman" w:hAnsi="Times New Roman" w:cs="Times New Roman"/>
          <w:color w:val="000000"/>
          <w:sz w:val="24"/>
          <w:szCs w:val="24"/>
        </w:rPr>
        <w:br/>
        <w:t>1. Selon l'arrêt attaqué (Toulouse, 4 juillet 2019), rendu sur renvoi après cassation (1re Civ., 22 novembre 2018, pourvoi n° 18-20.546), N... est né le [...] à Tokyo (Japon) de l'union de M. B... et de Mme X.... Celle-ci est revenue en France avec l'enfant le 17 juillet 2017 pour un séjour temporaire, puis a déposé, le 14 septembre 2017, une requête en divorce devant le juge aux affaires familiales.</w:t>
      </w:r>
      <w:r w:rsidRPr="00031FCC">
        <w:rPr>
          <w:rFonts w:ascii="Times New Roman" w:hAnsi="Times New Roman" w:cs="Times New Roman"/>
          <w:color w:val="000000"/>
          <w:sz w:val="24"/>
          <w:szCs w:val="24"/>
        </w:rPr>
        <w:br/>
        <w:t>2. Soutenant qu'elle avait déplacé leur fils de façon illicite en France, M. B... a saisi l'autorité centrale japonaise d'une demande de retour au Japon sur le fondement de la Convention de la Haye du 25 octobre 1980 sur les aspects civils de l'enlèvement international d'enfants.</w:t>
      </w:r>
      <w:r w:rsidRPr="00031FCC">
        <w:rPr>
          <w:rFonts w:ascii="Times New Roman" w:hAnsi="Times New Roman" w:cs="Times New Roman"/>
          <w:color w:val="000000"/>
          <w:sz w:val="24"/>
          <w:szCs w:val="24"/>
        </w:rPr>
        <w:br/>
        <w:t>3. Mme X... fait grief à l'arrêt d'ordonner le retour de l'enfant au Japon alors :</w:t>
      </w:r>
      <w:r w:rsidRPr="00031FCC">
        <w:rPr>
          <w:rFonts w:ascii="Times New Roman" w:hAnsi="Times New Roman" w:cs="Times New Roman"/>
          <w:color w:val="000000"/>
          <w:sz w:val="24"/>
          <w:szCs w:val="24"/>
        </w:rPr>
        <w:br/>
        <w:t>1°/ qu' « il résulte de l'article 13, b, de la Convention de La Haye du 25 octobre 1980 sur les aspects civils de l'enlèvement international d'enfants qu'il peut être fait exception au retour immédiat de l'enfant s'il existe un risque grave que ce retour expose l'enfant à un danger physique ou psychique, ou de toute autre manière le place dans une situation intolérable de danger grave ou de création d'une situation intolérable ; qu'il appartient aux juges du fond, pour apprécier l'existence d'un tel risque, de déterminer quelle pourra être la situation de l'enfant dans le pays où son retour est sollicité ; qu'en affirmant, pour ordonner le retour de l'enfant N... au Japon, que cet Etat a signé la Convention de La Haye et qu'il « ne saurait être préjugé, à ce stade de la procédure, de la situation juridique susceptible d'être créée par une instance en divorce au Japon », quand il appartenait précisément à la Cour, au contraire, de se prononcer, pour apprécier l'existence d'un risque de danger physique ou psychique pour l'enfant en cas de retour, sur la situation concrète qui pourrait être la sienne, au Japon, en cas de divorce de ses parents, la cour a méconnu son office et violé l'article 13 b précité ; »</w:t>
      </w:r>
      <w:r w:rsidRPr="00031FCC">
        <w:rPr>
          <w:rFonts w:ascii="Times New Roman" w:hAnsi="Times New Roman" w:cs="Times New Roman"/>
          <w:color w:val="000000"/>
          <w:sz w:val="24"/>
          <w:szCs w:val="24"/>
        </w:rPr>
        <w:br/>
        <w:t>2°/ qu' « il résulte de l'article 13, b, de la Convention de La Haye du 25 octobre 1980 sur les aspects civils de l'enlèvement international d'enfants qu'il peut être fait exception au retour immédiat de l'enfant s'il existe un risque de danger grave ou de création d'une situation intolérable ; que, dans l'appréciation de ces circonstances, les autorités judiciaires ou administratives doivent tenir compte des informations fournies par l'autorité centrale ou toute autre autorité compétente quant à la situation concrète qui sera celle de l'enfant en cas de retour ; qu'en l'espèce, il ressortait des conclusions du ministère public que si Mme X... était amenée à retourner au Japon et à y demander le divorce, la garde de l'enfant et l'autorité parentale seraient indiscutablement confiées au père, qu'elle se trouverait privée de ses droits parentaux et de tout contact avec son fils et qu'elle serait dans l'impossibilité d'obtenir un visa permanent qui lui permettrait de demeurer à proximité de son fils ; qu'en ordonnant le retour de l'enfant au Japon sans prendre en considération ces informations, la cour d'appel a violé l'article 13 de la Convention de La Haye du 25 octobre 1980 ; »</w:t>
      </w:r>
      <w:r w:rsidRPr="00031FCC">
        <w:rPr>
          <w:rFonts w:ascii="Times New Roman" w:hAnsi="Times New Roman" w:cs="Times New Roman"/>
          <w:color w:val="000000"/>
          <w:sz w:val="24"/>
          <w:szCs w:val="24"/>
        </w:rPr>
        <w:br/>
        <w:t xml:space="preserve">3°/ que « les dispositions de l'article 13 de la Convention de La Haye du 25 octobre 1980 doivent être examinées à la lumière de l'intérêt de l'enfant et du droit à une vie familiale normale protégée par l'article 8 la Convention européenne des droits de l'homme ; qu'une telle prise en compte requiert un examen approfondi de la situation familiale et une détermination concrète de la situation prévisible en cas de retour de l'enfant dans son pays d'origine ; qu'en </w:t>
      </w:r>
      <w:r w:rsidRPr="00031FCC">
        <w:rPr>
          <w:rFonts w:ascii="Times New Roman" w:hAnsi="Times New Roman" w:cs="Times New Roman"/>
          <w:color w:val="000000"/>
          <w:sz w:val="24"/>
          <w:szCs w:val="24"/>
        </w:rPr>
        <w:lastRenderedPageBreak/>
        <w:t>se bornant, pour ordonner le retour de l'enfant N..., à retenir qu' « il ne saurait être préjugé, à ce stade de la procédure, de la situation juridique susceptible d'être créée par une instance en divorce au Japon » (arrêt p. 8 alinéa 5), sans rechercher, comme il lui était demandé, au regard des données connues et communiquées, si, en cas de retour de la mère avec l'enfant au Japon, cette dernière n'allait pas se trouver privée de ses droits parentaux, exposant ainsi son fis N..., âgé de quatre ans et ayant toujours vécu auprès d'elle, à un risque grave de danger psychologique, la cour d'appel a privé sa décision de base légale au regard des articles 13 de la Convention de La Haye du 25 octobre 1980 et 8 de la Convention de sauvegarde des droits de l'homme et des libertés fondamentales ; »</w:t>
      </w:r>
      <w:r w:rsidRPr="00031FCC">
        <w:rPr>
          <w:rFonts w:ascii="Times New Roman" w:hAnsi="Times New Roman" w:cs="Times New Roman"/>
          <w:color w:val="000000"/>
          <w:sz w:val="24"/>
          <w:szCs w:val="24"/>
        </w:rPr>
        <w:br/>
        <w:t>4°/ qu' « en se bornant à affirmer que Mme X... ne démontrait pas qu'elle se trouvait dans l'impossibilité de séjourner au Japon, sans rechercher si les règles d'admission au séjour en vigueur au Japon n'excluaient pas, notamment en cas de divorce, qu'elle y demeure durablement et ne soit ainsi exposée au risque de devoir abandonner son enfant au Japon sans possibilité d'exercer pratiquement l'autorité parentale dont elle est titulaire, la cour d'appel a privé sa décision de base légale au regard des articles 13 de la Convention de La Haye du 25 octobre 1980 et 8 de la Convention de sauvegarde des droits de l'homme et des libertés ».</w:t>
      </w:r>
      <w:r w:rsidRPr="00031FCC">
        <w:rPr>
          <w:rFonts w:ascii="Times New Roman" w:hAnsi="Times New Roman" w:cs="Times New Roman"/>
          <w:color w:val="000000"/>
          <w:sz w:val="24"/>
          <w:szCs w:val="24"/>
        </w:rPr>
        <w:br/>
        <w:t>Réponse de la Cour</w:t>
      </w:r>
      <w:r w:rsidRPr="00031FCC">
        <w:rPr>
          <w:rFonts w:ascii="Times New Roman" w:hAnsi="Times New Roman" w:cs="Times New Roman"/>
          <w:color w:val="000000"/>
          <w:sz w:val="24"/>
          <w:szCs w:val="24"/>
        </w:rPr>
        <w:br/>
        <w:t>4. Il résulte de l'article 13, b, de la Convention de La Haye du 25 octobre 1980 sur les aspects civils de l'enlèvement international d'enfants qu'il ne peut être fait exception au retour immédiat de l'enfant que s'il existe un risque de danger grave ou de création d'une situation intolérable. Dans l'appréciation de ces circonstances, les autorités judiciaires ou administratives doivent tenir compte des informations fournies par l'autorité centrale ou toute autre autorité compétente de l'Etat de la résidence habituelle de l'enfant sur sa situation sociale. Selon l'article 3, § 1, de la Convention de New York du 20 novembre 1989, les exceptions au retour doivent être appréciées en considération primordiale de l'intérêt supérieur de l'enfant.</w:t>
      </w:r>
      <w:r w:rsidRPr="00031FCC">
        <w:rPr>
          <w:rFonts w:ascii="Times New Roman" w:hAnsi="Times New Roman" w:cs="Times New Roman"/>
          <w:color w:val="000000"/>
          <w:sz w:val="24"/>
          <w:szCs w:val="24"/>
        </w:rPr>
        <w:br/>
        <w:t>5. L'arrêt relève que N... est né au Japon et y a toujours vécu, avec ses deux parents jusqu'au mois de juillet 2017, de sorte qu'il ne saurait y avoir pour lui de traumatisme psychologique à retourner dans le pays où il habitait et où demeure sa famille paternelle et observe que la rupture brutale de toute relation avec son père, particulièrement dommageable pour le mineur, a été totalement niée par sa mère.</w:t>
      </w:r>
      <w:r w:rsidRPr="00031FCC">
        <w:rPr>
          <w:rFonts w:ascii="Times New Roman" w:hAnsi="Times New Roman" w:cs="Times New Roman"/>
          <w:color w:val="000000"/>
          <w:sz w:val="24"/>
          <w:szCs w:val="24"/>
        </w:rPr>
        <w:br/>
        <w:t>6. Il ajoute que le Japon a signé et ratifié la Convention de la Haye du 25 octobre 1980 le 13 avril 2014, que cette ratification a été acceptée sans réserve par la France et qu'il existe en droit de la famille japonais des procédures de médiation, ainsi qu'une procédure de divorce par consentement mutuel. Il retient qu'il ne peut être préjugé de la situation juridique susceptible d'être créée par une instance en divorce au Japon.</w:t>
      </w:r>
      <w:r w:rsidRPr="00031FCC">
        <w:rPr>
          <w:rFonts w:ascii="Times New Roman" w:hAnsi="Times New Roman" w:cs="Times New Roman"/>
          <w:color w:val="000000"/>
          <w:sz w:val="24"/>
          <w:szCs w:val="24"/>
        </w:rPr>
        <w:br/>
        <w:t>7. Enfin, il estime que Mme X... ne justifie pas qu'elle ne pourrait plus séjourner au Japon alors que M. B... formule diverses propositions amiables pour qu'elle puisse y résider avec l'enfant.</w:t>
      </w:r>
      <w:r w:rsidRPr="00031FCC">
        <w:rPr>
          <w:rFonts w:ascii="Times New Roman" w:hAnsi="Times New Roman" w:cs="Times New Roman"/>
          <w:color w:val="000000"/>
          <w:sz w:val="24"/>
          <w:szCs w:val="24"/>
        </w:rPr>
        <w:br/>
        <w:t>8. En l'état de ces énonciations et appréciations, la cour d'appel, qui a procédé aux recherches prétendument omises, a statué en considération de l'intérêt supérieur de l'enfant, justifiant ainsi légalement sa décision.</w:t>
      </w:r>
      <w:r w:rsidRPr="00031FCC">
        <w:rPr>
          <w:rFonts w:ascii="Times New Roman" w:hAnsi="Times New Roman" w:cs="Times New Roman"/>
          <w:color w:val="000000"/>
          <w:sz w:val="24"/>
          <w:szCs w:val="24"/>
        </w:rPr>
        <w:br/>
        <w:t>9. Le moyen n'est donc pas fondé.</w:t>
      </w:r>
      <w:r>
        <w:rPr>
          <w:rFonts w:ascii="Times New Roman" w:hAnsi="Times New Roman" w:cs="Times New Roman"/>
          <w:color w:val="000000"/>
          <w:sz w:val="24"/>
          <w:szCs w:val="24"/>
        </w:rPr>
        <w:t xml:space="preserve"> </w:t>
      </w:r>
      <w:r w:rsidRPr="00031FCC">
        <w:rPr>
          <w:rFonts w:ascii="Times New Roman" w:hAnsi="Times New Roman" w:cs="Times New Roman"/>
          <w:color w:val="000000"/>
          <w:sz w:val="24"/>
          <w:szCs w:val="24"/>
        </w:rPr>
        <w:t>PAR CES MOTIFS, la Cour :</w:t>
      </w:r>
      <w:r>
        <w:rPr>
          <w:rFonts w:ascii="Times New Roman" w:hAnsi="Times New Roman" w:cs="Times New Roman"/>
          <w:color w:val="000000"/>
          <w:sz w:val="24"/>
          <w:szCs w:val="24"/>
        </w:rPr>
        <w:t xml:space="preserve"> </w:t>
      </w:r>
      <w:r w:rsidRPr="00031FCC">
        <w:rPr>
          <w:rFonts w:ascii="Times New Roman" w:hAnsi="Times New Roman" w:cs="Times New Roman"/>
          <w:color w:val="000000"/>
          <w:sz w:val="24"/>
          <w:szCs w:val="24"/>
        </w:rPr>
        <w:t>REJETTE le pourvoi ;</w:t>
      </w:r>
      <w:r w:rsidRPr="00031FCC">
        <w:rPr>
          <w:rFonts w:ascii="Times New Roman" w:hAnsi="Times New Roman" w:cs="Times New Roman"/>
          <w:color w:val="000000"/>
          <w:sz w:val="24"/>
          <w:szCs w:val="24"/>
        </w:rPr>
        <w:br/>
      </w:r>
      <w:r w:rsidRPr="00031FCC">
        <w:rPr>
          <w:rFonts w:ascii="Times New Roman" w:hAnsi="Times New Roman" w:cs="Times New Roman"/>
          <w:color w:val="000000"/>
          <w:sz w:val="24"/>
          <w:szCs w:val="24"/>
        </w:rPr>
        <w:br/>
      </w:r>
    </w:p>
    <w:p w14:paraId="1B7E8245" w14:textId="326F1FAA" w:rsidR="00031FCC" w:rsidRDefault="00031FCC">
      <w:pPr>
        <w:rPr>
          <w:rFonts w:ascii="Times New Roman" w:hAnsi="Times New Roman" w:cs="Times New Roman"/>
          <w:sz w:val="24"/>
          <w:szCs w:val="24"/>
        </w:rPr>
      </w:pPr>
      <w:r>
        <w:rPr>
          <w:rFonts w:ascii="Times New Roman" w:hAnsi="Times New Roman" w:cs="Times New Roman"/>
          <w:sz w:val="24"/>
          <w:szCs w:val="24"/>
        </w:rPr>
        <w:br w:type="page"/>
      </w:r>
    </w:p>
    <w:p w14:paraId="268C25C2" w14:textId="77777777" w:rsidR="00031FCC" w:rsidRPr="00031FCC" w:rsidRDefault="00031FCC" w:rsidP="00031FCC">
      <w:pPr>
        <w:rPr>
          <w:rFonts w:ascii="Times New Roman" w:hAnsi="Times New Roman" w:cs="Times New Roman"/>
          <w:b/>
          <w:bCs/>
          <w:iCs/>
          <w:sz w:val="24"/>
          <w:szCs w:val="24"/>
        </w:rPr>
      </w:pPr>
    </w:p>
    <w:p w14:paraId="6991566C" w14:textId="77777777" w:rsidR="00031FCC" w:rsidRPr="00031FCC" w:rsidRDefault="00031FCC" w:rsidP="00031FCC">
      <w:pPr>
        <w:jc w:val="both"/>
        <w:rPr>
          <w:rFonts w:ascii="Times New Roman" w:hAnsi="Times New Roman" w:cs="Times New Roman"/>
          <w:b/>
          <w:bCs/>
          <w:iCs/>
          <w:sz w:val="24"/>
          <w:szCs w:val="24"/>
        </w:rPr>
      </w:pPr>
      <w:r w:rsidRPr="00031FCC">
        <w:rPr>
          <w:rFonts w:ascii="Times New Roman" w:hAnsi="Times New Roman" w:cs="Times New Roman"/>
          <w:b/>
          <w:bCs/>
          <w:iCs/>
          <w:sz w:val="24"/>
          <w:szCs w:val="24"/>
        </w:rPr>
        <w:t>§3 : Les obligations positives</w:t>
      </w:r>
    </w:p>
    <w:p w14:paraId="07AD4A00"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 A l'engagement négatif de ne pas s'immiscer dans le droit au respect de la vie familiale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s'ajoutent des obligations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"$$Kroon (1994)"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"$$Znamenskaya (2005)"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positives inhérentes à un « respect » effectif de la vie familiale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Selon l’arrêt Marckx, là où l'existence d'un lien familial avec un enfant se trouve établie, l'État doit agir de manière à permettre à ce lien de se développer et accorder une protection juridique.</w:t>
      </w:r>
    </w:p>
    <w:p w14:paraId="1DFC9088" w14:textId="0766526D"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La première obligation positive est la reconnaissance du lien juridique entre l’enfant et son parent (A). La </w:t>
      </w:r>
      <w:r>
        <w:rPr>
          <w:rFonts w:ascii="Times New Roman" w:hAnsi="Times New Roman" w:cs="Times New Roman"/>
          <w:iCs/>
          <w:sz w:val="24"/>
          <w:szCs w:val="24"/>
        </w:rPr>
        <w:t>deuxième</w:t>
      </w:r>
      <w:r w:rsidRPr="00031FCC">
        <w:rPr>
          <w:rFonts w:ascii="Times New Roman" w:hAnsi="Times New Roman" w:cs="Times New Roman"/>
          <w:iCs/>
          <w:sz w:val="24"/>
          <w:szCs w:val="24"/>
        </w:rPr>
        <w:t xml:space="preserve"> est l’obligation de les réunir lorsqu’ils sont séparés et </w:t>
      </w:r>
      <w:r>
        <w:rPr>
          <w:rFonts w:ascii="Times New Roman" w:hAnsi="Times New Roman" w:cs="Times New Roman"/>
          <w:iCs/>
          <w:sz w:val="24"/>
          <w:szCs w:val="24"/>
        </w:rPr>
        <w:t xml:space="preserve">la troisième est </w:t>
      </w:r>
      <w:r w:rsidRPr="00031FCC">
        <w:rPr>
          <w:rFonts w:ascii="Times New Roman" w:hAnsi="Times New Roman" w:cs="Times New Roman"/>
          <w:iCs/>
          <w:sz w:val="24"/>
          <w:szCs w:val="24"/>
        </w:rPr>
        <w:t xml:space="preserve">de prendre </w:t>
      </w:r>
      <w:r>
        <w:rPr>
          <w:rFonts w:ascii="Times New Roman" w:hAnsi="Times New Roman" w:cs="Times New Roman"/>
          <w:iCs/>
          <w:sz w:val="24"/>
          <w:szCs w:val="24"/>
        </w:rPr>
        <w:t>l</w:t>
      </w:r>
      <w:r w:rsidRPr="00031FCC">
        <w:rPr>
          <w:rFonts w:ascii="Times New Roman" w:hAnsi="Times New Roman" w:cs="Times New Roman"/>
          <w:iCs/>
          <w:sz w:val="24"/>
          <w:szCs w:val="24"/>
        </w:rPr>
        <w:t xml:space="preserve">es mesures </w:t>
      </w:r>
      <w:r>
        <w:rPr>
          <w:rFonts w:ascii="Times New Roman" w:hAnsi="Times New Roman" w:cs="Times New Roman"/>
          <w:iCs/>
          <w:sz w:val="24"/>
          <w:szCs w:val="24"/>
        </w:rPr>
        <w:t xml:space="preserve">nécessaires </w:t>
      </w:r>
      <w:r w:rsidRPr="00031FCC">
        <w:rPr>
          <w:rFonts w:ascii="Times New Roman" w:hAnsi="Times New Roman" w:cs="Times New Roman"/>
          <w:iCs/>
          <w:sz w:val="24"/>
          <w:szCs w:val="24"/>
        </w:rPr>
        <w:t xml:space="preserve">pour que le </w:t>
      </w:r>
      <w:r>
        <w:rPr>
          <w:rFonts w:ascii="Times New Roman" w:hAnsi="Times New Roman" w:cs="Times New Roman"/>
          <w:iCs/>
          <w:sz w:val="24"/>
          <w:szCs w:val="24"/>
        </w:rPr>
        <w:t>lien</w:t>
      </w:r>
      <w:r w:rsidRPr="00031FCC">
        <w:rPr>
          <w:rFonts w:ascii="Times New Roman" w:hAnsi="Times New Roman" w:cs="Times New Roman"/>
          <w:iCs/>
          <w:sz w:val="24"/>
          <w:szCs w:val="24"/>
        </w:rPr>
        <w:t xml:space="preserve"> soit effectif (B).</w:t>
      </w:r>
    </w:p>
    <w:p w14:paraId="7D418386" w14:textId="7B74CC54" w:rsidR="00031FCC" w:rsidRPr="00031FCC" w:rsidRDefault="00031FCC" w:rsidP="00031FCC">
      <w:pPr>
        <w:numPr>
          <w:ilvl w:val="0"/>
          <w:numId w:val="2"/>
        </w:numPr>
        <w:jc w:val="both"/>
        <w:rPr>
          <w:rFonts w:ascii="Times New Roman" w:hAnsi="Times New Roman" w:cs="Times New Roman"/>
          <w:b/>
          <w:bCs/>
          <w:iCs/>
          <w:sz w:val="24"/>
          <w:szCs w:val="24"/>
        </w:rPr>
      </w:pPr>
      <w:r w:rsidRPr="00031FCC">
        <w:rPr>
          <w:rFonts w:ascii="Times New Roman" w:hAnsi="Times New Roman" w:cs="Times New Roman"/>
          <w:b/>
          <w:bCs/>
          <w:iCs/>
          <w:sz w:val="24"/>
          <w:szCs w:val="24"/>
        </w:rPr>
        <w:t>L’obligation de reconnaître le lien juridique entre l’enfant et son parent</w:t>
      </w:r>
    </w:p>
    <w:p w14:paraId="555FAEE1" w14:textId="7AEB95CC"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Cette obligation de protéger juridiquement la vie familiale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connaît un épanouissement évident lorsque la vie familiale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est fondée sur une parenté biologique ou juridique en revanche ses effets sont beaucoup plus limités quoiqu’en évolution lorsque la vie familiale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existe en dehors de toute parenté. Le juge européen a été saisie à la fois de la question de la reconnaissance de la parenté biologique et de </w:t>
      </w:r>
      <w:r>
        <w:rPr>
          <w:rFonts w:ascii="Times New Roman" w:hAnsi="Times New Roman" w:cs="Times New Roman"/>
          <w:iCs/>
          <w:sz w:val="24"/>
          <w:szCs w:val="24"/>
        </w:rPr>
        <w:t xml:space="preserve">celle </w:t>
      </w:r>
      <w:r w:rsidRPr="00031FCC">
        <w:rPr>
          <w:rFonts w:ascii="Times New Roman" w:hAnsi="Times New Roman" w:cs="Times New Roman"/>
          <w:iCs/>
          <w:sz w:val="24"/>
          <w:szCs w:val="24"/>
        </w:rPr>
        <w:t xml:space="preserve">la contestation de la filiation qui ne correspondait pas à cette réalité. </w:t>
      </w:r>
    </w:p>
    <w:p w14:paraId="016B15C7" w14:textId="16F4343C" w:rsidR="00031FCC" w:rsidRPr="00031FCC" w:rsidRDefault="00031FCC" w:rsidP="00031FCC">
      <w:pPr>
        <w:ind w:left="720"/>
        <w:jc w:val="both"/>
        <w:rPr>
          <w:rFonts w:ascii="Times New Roman" w:hAnsi="Times New Roman" w:cs="Times New Roman"/>
          <w:b/>
          <w:bCs/>
          <w:iCs/>
          <w:sz w:val="24"/>
          <w:szCs w:val="24"/>
        </w:rPr>
      </w:pPr>
      <w:r w:rsidRPr="00031FCC">
        <w:rPr>
          <w:rFonts w:ascii="Times New Roman" w:hAnsi="Times New Roman" w:cs="Times New Roman"/>
          <w:b/>
          <w:bCs/>
          <w:iCs/>
          <w:sz w:val="24"/>
          <w:szCs w:val="24"/>
        </w:rPr>
        <w:t>1</w:t>
      </w:r>
      <w:r>
        <w:rPr>
          <w:rFonts w:ascii="Times New Roman" w:hAnsi="Times New Roman" w:cs="Times New Roman"/>
          <w:b/>
          <w:bCs/>
          <w:iCs/>
          <w:sz w:val="24"/>
          <w:szCs w:val="24"/>
        </w:rPr>
        <w:t>.</w:t>
      </w:r>
      <w:r w:rsidRPr="00031FCC">
        <w:rPr>
          <w:rFonts w:ascii="Times New Roman" w:hAnsi="Times New Roman" w:cs="Times New Roman"/>
          <w:b/>
          <w:bCs/>
          <w:iCs/>
          <w:sz w:val="24"/>
          <w:szCs w:val="24"/>
        </w:rPr>
        <w:t xml:space="preserve"> La vie familiale fondée sur une parenté biologique</w:t>
      </w:r>
    </w:p>
    <w:p w14:paraId="7B45872A"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De manière générale, le juge européen impose aux États d'organiser la reconnaissance juridique de la parenté biologique (Marckx</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"$$Marckx (1979)"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w:t>
      </w:r>
    </w:p>
    <w:p w14:paraId="1B99887C" w14:textId="2B27592B" w:rsidR="00C01251" w:rsidRPr="00C01251" w:rsidRDefault="00C01251" w:rsidP="00C01251">
      <w:pPr>
        <w:jc w:val="both"/>
        <w:rPr>
          <w:rFonts w:ascii="Times New Roman" w:hAnsi="Times New Roman" w:cs="Times New Roman"/>
          <w:iCs/>
          <w:sz w:val="24"/>
          <w:szCs w:val="24"/>
        </w:rPr>
      </w:pPr>
      <w:r w:rsidRPr="00C01251">
        <w:rPr>
          <w:rFonts w:ascii="Times New Roman" w:hAnsi="Times New Roman" w:cs="Times New Roman"/>
          <w:iCs/>
          <w:sz w:val="24"/>
          <w:szCs w:val="24"/>
        </w:rPr>
        <w:t xml:space="preserve">Les questions d’établissement, de reconnaissance ou de contestation de liens de filiation relèvent en général, selon la Cour, de l’ingérence lorsque c’est le refus des autorités de mettre en conformité le lien juridique avec le lien biologique qui est pris en compte. Il en va ainsi, </w:t>
      </w:r>
      <w:r>
        <w:rPr>
          <w:rFonts w:ascii="Times New Roman" w:hAnsi="Times New Roman" w:cs="Times New Roman"/>
          <w:iCs/>
          <w:sz w:val="24"/>
          <w:szCs w:val="24"/>
        </w:rPr>
        <w:t>du</w:t>
      </w:r>
      <w:r w:rsidRPr="00C01251">
        <w:rPr>
          <w:rFonts w:ascii="Times New Roman" w:hAnsi="Times New Roman" w:cs="Times New Roman"/>
          <w:iCs/>
          <w:sz w:val="24"/>
          <w:szCs w:val="24"/>
        </w:rPr>
        <w:t xml:space="preserve"> refus opposé à un père biologique de contester la filiation juridique de son enfant à l’égard d’un autre homme et</w:t>
      </w:r>
      <w:r>
        <w:rPr>
          <w:rFonts w:ascii="Times New Roman" w:hAnsi="Times New Roman" w:cs="Times New Roman"/>
          <w:iCs/>
          <w:sz w:val="24"/>
          <w:szCs w:val="24"/>
        </w:rPr>
        <w:t xml:space="preserve"> </w:t>
      </w:r>
      <w:r w:rsidRPr="00C01251">
        <w:rPr>
          <w:rFonts w:ascii="Times New Roman" w:hAnsi="Times New Roman" w:cs="Times New Roman"/>
          <w:iCs/>
          <w:sz w:val="24"/>
          <w:szCs w:val="24"/>
        </w:rPr>
        <w:t>de l’impossibilité pour un homme de contester sa propre paternité. Selon la Cour, l’obligation de se soumettre à une expertise génétique d’ingérence relève du droit au respect de la vie privée (</w:t>
      </w:r>
      <w:r w:rsidRPr="00C01251">
        <w:rPr>
          <w:rFonts w:ascii="Times New Roman" w:hAnsi="Times New Roman" w:cs="Times New Roman"/>
          <w:i/>
          <w:iCs/>
          <w:sz w:val="24"/>
          <w:szCs w:val="24"/>
        </w:rPr>
        <w:t>Mifsudc/ Malte</w:t>
      </w:r>
      <w:r w:rsidRPr="00C01251">
        <w:rPr>
          <w:rFonts w:ascii="Times New Roman" w:hAnsi="Times New Roman" w:cs="Times New Roman"/>
          <w:iCs/>
          <w:sz w:val="24"/>
          <w:szCs w:val="24"/>
        </w:rPr>
        <w:t>, 29 janv. 2019). Est également analysée comme une ingérence, la reconnaissance ou la contestation d’une filiation contre la volonté du requérant</w:t>
      </w:r>
      <w:r>
        <w:rPr>
          <w:rFonts w:ascii="Times New Roman" w:hAnsi="Times New Roman" w:cs="Times New Roman"/>
          <w:iCs/>
          <w:sz w:val="24"/>
          <w:szCs w:val="24"/>
        </w:rPr>
        <w:t xml:space="preserve"> (</w:t>
      </w:r>
      <w:r>
        <w:rPr>
          <w:i/>
        </w:rPr>
        <w:t>Canonne c/ France</w:t>
      </w:r>
      <w:r>
        <w:t xml:space="preserve"> du 25 juin 2015)</w:t>
      </w:r>
      <w:r>
        <w:rPr>
          <w:rFonts w:ascii="Times New Roman" w:hAnsi="Times New Roman" w:cs="Times New Roman"/>
          <w:iCs/>
          <w:sz w:val="24"/>
          <w:szCs w:val="24"/>
        </w:rPr>
        <w:t>.</w:t>
      </w:r>
      <w:r w:rsidRPr="00C01251">
        <w:rPr>
          <w:rFonts w:ascii="Times New Roman" w:hAnsi="Times New Roman" w:cs="Times New Roman"/>
          <w:iCs/>
          <w:sz w:val="24"/>
          <w:szCs w:val="24"/>
        </w:rPr>
        <w:t xml:space="preserve"> </w:t>
      </w:r>
      <w:r>
        <w:rPr>
          <w:rFonts w:ascii="Times New Roman" w:hAnsi="Times New Roman" w:cs="Times New Roman"/>
          <w:iCs/>
          <w:sz w:val="24"/>
          <w:szCs w:val="24"/>
        </w:rPr>
        <w:t>D</w:t>
      </w:r>
      <w:r w:rsidRPr="00C01251">
        <w:rPr>
          <w:rFonts w:ascii="Times New Roman" w:hAnsi="Times New Roman" w:cs="Times New Roman"/>
          <w:iCs/>
          <w:sz w:val="24"/>
          <w:szCs w:val="24"/>
        </w:rPr>
        <w:t xml:space="preserve">ans l’arrêt A et B c/ France du 8 juin 2023, la Cour analyse l’annulation de la reconnaissance de paternité d’un enfant né d’une AMP dont le statut filial a été modifié comme une ingérence dans le droit au respect de la vie privée. </w:t>
      </w:r>
    </w:p>
    <w:p w14:paraId="355F58DC" w14:textId="28B947A9" w:rsid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L'établissement de la filiation correspondant à la vérité biologique est cependant encadré dans le temps. La Cour européenne a considéré, dans l'arrêt Silva et Mondim Correia c/ Portugal du 3 octobre 2017 que la prescription de 10 ans, à compter de la majorité, de l'action en établissement de la filiation ne constitue pas une violation du droit au respect de la vie privée et familiale. En revanche, elle condamne l’irrecevabilité de l’action en recherche de paternité lorsque l’enfant n’a eu connaissance de la vérité biologique qu’après l’expiration des délais de prescription et qu’il n’a pas eu, par hypothèse, la possibilité d’agir dans le délai légal (</w:t>
      </w:r>
      <w:r w:rsidRPr="00031FCC">
        <w:rPr>
          <w:rFonts w:ascii="Times New Roman" w:hAnsi="Times New Roman" w:cs="Times New Roman"/>
          <w:sz w:val="24"/>
          <w:szCs w:val="24"/>
        </w:rPr>
        <w:t>Boljevic c/ Serbie 16 juin 2020</w:t>
      </w:r>
      <w:r w:rsidRPr="00031FCC">
        <w:rPr>
          <w:rFonts w:ascii="Times New Roman" w:hAnsi="Times New Roman" w:cs="Times New Roman"/>
          <w:i/>
          <w:iCs/>
          <w:sz w:val="24"/>
          <w:szCs w:val="24"/>
        </w:rPr>
        <w:t>)</w:t>
      </w:r>
      <w:r w:rsidRPr="00031FCC">
        <w:rPr>
          <w:rFonts w:ascii="Times New Roman" w:hAnsi="Times New Roman" w:cs="Times New Roman"/>
          <w:iCs/>
          <w:sz w:val="24"/>
          <w:szCs w:val="24"/>
        </w:rPr>
        <w:t xml:space="preserve">. </w:t>
      </w:r>
    </w:p>
    <w:p w14:paraId="66FEF10A" w14:textId="5D71F3E2" w:rsidR="002F2326" w:rsidRDefault="002F2326" w:rsidP="00031FCC">
      <w:pPr>
        <w:jc w:val="both"/>
        <w:rPr>
          <w:rFonts w:ascii="Times New Roman" w:hAnsi="Times New Roman" w:cs="Times New Roman"/>
          <w:iCs/>
          <w:sz w:val="24"/>
          <w:szCs w:val="24"/>
        </w:rPr>
      </w:pPr>
    </w:p>
    <w:p w14:paraId="77A60A7A" w14:textId="37ECE14F" w:rsidR="002F2326" w:rsidRDefault="002F2326" w:rsidP="00031FCC">
      <w:pPr>
        <w:jc w:val="both"/>
        <w:rPr>
          <w:rFonts w:ascii="Times New Roman" w:hAnsi="Times New Roman" w:cs="Times New Roman"/>
          <w:iCs/>
          <w:sz w:val="24"/>
          <w:szCs w:val="24"/>
        </w:rPr>
      </w:pPr>
    </w:p>
    <w:p w14:paraId="158C5843" w14:textId="77777777" w:rsidR="002F2326" w:rsidRDefault="002F2326" w:rsidP="00031FCC">
      <w:pPr>
        <w:jc w:val="both"/>
        <w:rPr>
          <w:rFonts w:ascii="Times New Roman" w:hAnsi="Times New Roman" w:cs="Times New Roman"/>
          <w:iCs/>
          <w:sz w:val="24"/>
          <w:szCs w:val="24"/>
        </w:rPr>
      </w:pPr>
    </w:p>
    <w:p w14:paraId="395EA9E5" w14:textId="322F78B2"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lastRenderedPageBreak/>
        <w:t xml:space="preserve">L'obligation de consacrer le lien familial peut </w:t>
      </w:r>
      <w:r w:rsidR="002F2326">
        <w:rPr>
          <w:rFonts w:ascii="Times New Roman" w:hAnsi="Times New Roman" w:cs="Times New Roman"/>
          <w:iCs/>
          <w:sz w:val="24"/>
          <w:szCs w:val="24"/>
        </w:rPr>
        <w:t>également</w:t>
      </w:r>
      <w:r w:rsidRPr="00031FCC">
        <w:rPr>
          <w:rFonts w:ascii="Times New Roman" w:hAnsi="Times New Roman" w:cs="Times New Roman"/>
          <w:iCs/>
          <w:sz w:val="24"/>
          <w:szCs w:val="24"/>
        </w:rPr>
        <w:t xml:space="preserve"> trouver sa limite dans l'intérêt supérieur de l'enfant</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"Intérêt :supérieur de l'enfant"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La Cour européenne a ainsi admis l'impossibilité pour le père d'un enfant naturel confié par sa mère décédée à son oncle, d'établir sa filiation, la reconnaissance de paternité</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"Paternité"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étant de nature à perturber la situation familiale de l'enfant (Yousef c/ Pays-Bas, 5 nov. 2002). Elle refuse également de condamner l'impossibilité pour la mère ayant accouché dans le secret de revenir sur sa décision d'abandonner son enfant</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"Abandon :d'enfant"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une fois le délai de </w:t>
      </w:r>
      <w:r w:rsidR="006D7871" w:rsidRPr="00031FCC">
        <w:rPr>
          <w:rFonts w:ascii="Times New Roman" w:hAnsi="Times New Roman" w:cs="Times New Roman"/>
          <w:iCs/>
          <w:sz w:val="24"/>
          <w:szCs w:val="24"/>
        </w:rPr>
        <w:t>deux mois écoulés</w:t>
      </w:r>
      <w:r w:rsidRPr="00031FCC">
        <w:rPr>
          <w:rFonts w:ascii="Times New Roman" w:hAnsi="Times New Roman" w:cs="Times New Roman"/>
          <w:iCs/>
          <w:sz w:val="24"/>
          <w:szCs w:val="24"/>
        </w:rPr>
        <w:t>, dès lors qu'il est établi que le consentement à l'abandon était libre et éclairé (Kearns</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"$$Kearns (2008)"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w:t>
      </w:r>
    </w:p>
    <w:p w14:paraId="001A9B0C" w14:textId="7A838281"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Même s'ils s'inscrivent pour l’essentiel dans le cadre du droit au respect de la vie privée, les arrêts relatifs aux conflits entre paternité juridique et biologique peuvent être considérés comme étant liés à la protection de la vie familiale. La Cour condamne les systèmes juridiques qui prévoit un délai très court de prescription du désaveu de paternité</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"Paternité"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(Shofman c/ Russie, 24 nov. 2005</w:t>
      </w:r>
      <w:r w:rsidR="00C01251">
        <w:rPr>
          <w:rFonts w:ascii="Times New Roman" w:hAnsi="Times New Roman" w:cs="Times New Roman"/>
          <w:iCs/>
          <w:sz w:val="24"/>
          <w:szCs w:val="24"/>
        </w:rPr>
        <w:t>)</w:t>
      </w:r>
      <w:r w:rsidRPr="00031FCC">
        <w:rPr>
          <w:rFonts w:ascii="Times New Roman" w:hAnsi="Times New Roman" w:cs="Times New Roman"/>
          <w:iCs/>
          <w:sz w:val="24"/>
          <w:szCs w:val="24"/>
        </w:rPr>
        <w:t xml:space="preserve">. La Cour pose une exigence minimum en matière de contestation de paternité, consistant à offrir au moins une réelle chance au requérant d’agir, ce qui se révèle, par hypothèse, impossible si celui-ci a connaissance de son défaut de paternité après l’expiration du délai de prescription (Doktorov c. Bulgarie, 5 avr. 2018). </w:t>
      </w:r>
    </w:p>
    <w:p w14:paraId="1BBE1C78" w14:textId="77777777" w:rsidR="006D7871" w:rsidRPr="00031FCC" w:rsidRDefault="006D7871" w:rsidP="006D7871">
      <w:pPr>
        <w:jc w:val="both"/>
        <w:rPr>
          <w:rFonts w:ascii="Times New Roman" w:hAnsi="Times New Roman" w:cs="Times New Roman"/>
          <w:iCs/>
          <w:sz w:val="24"/>
          <w:szCs w:val="24"/>
        </w:rPr>
      </w:pPr>
      <w:r w:rsidRPr="00031FCC">
        <w:rPr>
          <w:rFonts w:ascii="Times New Roman" w:hAnsi="Times New Roman" w:cs="Times New Roman"/>
          <w:iCs/>
          <w:sz w:val="24"/>
          <w:szCs w:val="24"/>
        </w:rPr>
        <w:t>La Cour européenne sanctionne sur le fondement de la « vie privée et familiale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privée et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 le refus de faire prévaloir la réalité biologique et sociale sur une présomption légale de paternité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"Paternité"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"Présomption :de paternité"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(Rózanski c/ Pologne,18 mai 2006). S'il est raisonnable de la part des autorités internes de tenir compte du fait que l'enfant a déjà une filiation établie, la situation des différents protagonistes - l'enfant, la mère, le père légitime et le père biologique présumé- doit être prise en considération (L.D. et P.K. c/ Bulgarie, 8 déc. 2016 ; pour une position plus nuancée Chavdarov c/ Bulgarie, 21 déc. 2010)</w:t>
      </w:r>
    </w:p>
    <w:p w14:paraId="17BADCA0"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Par ailleurs, la Cour européenne admet qu'un Etat puisse choisir de faire primer la vérité biologique. Ainsi, dans l'arrêt Mandet c/ France du 14 janv. 2016, qui concernait l'admission d'une action en contestation de la filiation d'un enfant à l'égard du mari de sa mère par son père naturel, la Cour considère que l'intérêt de l'enfant était de connaître la vérité sur sa filiation biologique ; dans la mesure où la mère de l'enfant continue à exercer l'autorité parentale, les décisions relatives à la filiation de l'enfant ne l'empêchaient pas de vivre au quotidien avec sa famille constituée de sa mère et de son beau-père, « conformément à ses souhaits ». </w:t>
      </w:r>
    </w:p>
    <w:p w14:paraId="76AEA19E" w14:textId="7403E3A1" w:rsid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La Cour admet donc à la fois le refus opposé à un père biologique de contester la filiation de son enfant à l'égard d'un autre homme, et l'obligation faite à un enfant de voir sa filiation légale contestée par son père biologique, adoptant ainsi, en vertu du principe de subsidiarité, </w:t>
      </w:r>
      <w:r w:rsidR="006D7871" w:rsidRPr="00031FCC">
        <w:rPr>
          <w:rFonts w:ascii="Times New Roman" w:hAnsi="Times New Roman" w:cs="Times New Roman"/>
          <w:iCs/>
          <w:sz w:val="24"/>
          <w:szCs w:val="24"/>
        </w:rPr>
        <w:t>une position consistante</w:t>
      </w:r>
      <w:r w:rsidRPr="00031FCC">
        <w:rPr>
          <w:rFonts w:ascii="Times New Roman" w:hAnsi="Times New Roman" w:cs="Times New Roman"/>
          <w:iCs/>
          <w:sz w:val="24"/>
          <w:szCs w:val="24"/>
        </w:rPr>
        <w:t xml:space="preserve"> ni à imposer ni à interdire la contestation de la filiation légale d'un enfant qui n'est pas conforme à la vérité biologique.</w:t>
      </w:r>
    </w:p>
    <w:p w14:paraId="54408555" w14:textId="740B4DB7" w:rsidR="00C01251" w:rsidRPr="00031FCC" w:rsidRDefault="00C01251" w:rsidP="00031FCC">
      <w:pPr>
        <w:jc w:val="both"/>
        <w:rPr>
          <w:rFonts w:ascii="Times New Roman" w:hAnsi="Times New Roman" w:cs="Times New Roman"/>
          <w:bCs/>
          <w:iCs/>
          <w:sz w:val="24"/>
          <w:szCs w:val="24"/>
        </w:rPr>
      </w:pPr>
      <w:r>
        <w:rPr>
          <w:rFonts w:ascii="Times New Roman" w:hAnsi="Times New Roman" w:cs="Times New Roman"/>
          <w:bCs/>
          <w:iCs/>
          <w:sz w:val="24"/>
          <w:szCs w:val="24"/>
        </w:rPr>
        <w:t>Dans</w:t>
      </w:r>
      <w:r w:rsidRPr="00C01251">
        <w:rPr>
          <w:rFonts w:ascii="Times New Roman" w:hAnsi="Times New Roman" w:cs="Times New Roman"/>
          <w:bCs/>
          <w:iCs/>
          <w:sz w:val="24"/>
          <w:szCs w:val="24"/>
        </w:rPr>
        <w:t xml:space="preserve"> l’arrêt </w:t>
      </w:r>
      <w:r w:rsidRPr="00C01251">
        <w:rPr>
          <w:rFonts w:ascii="Times New Roman" w:hAnsi="Times New Roman" w:cs="Times New Roman"/>
          <w:iCs/>
          <w:sz w:val="24"/>
          <w:szCs w:val="24"/>
        </w:rPr>
        <w:t>A.W. c/ Pologne (CEDH, 9 oct. 2025, n° 1307/21)</w:t>
      </w:r>
      <w:r w:rsidRPr="00C01251">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C01251">
        <w:rPr>
          <w:rFonts w:ascii="Times New Roman" w:hAnsi="Times New Roman" w:cs="Times New Roman"/>
          <w:bCs/>
          <w:iCs/>
          <w:sz w:val="24"/>
          <w:szCs w:val="24"/>
        </w:rPr>
        <w:t xml:space="preserve">a Cour européenne affirme très clairement qu'il ne lui appartient pas de décider </w:t>
      </w:r>
      <w:r w:rsidRPr="00C01251">
        <w:rPr>
          <w:rFonts w:ascii="Times New Roman" w:hAnsi="Times New Roman" w:cs="Times New Roman"/>
          <w:bCs/>
          <w:i/>
          <w:iCs/>
          <w:sz w:val="24"/>
          <w:szCs w:val="24"/>
        </w:rPr>
        <w:t>in abstracto</w:t>
      </w:r>
      <w:r w:rsidRPr="00C01251">
        <w:rPr>
          <w:rFonts w:ascii="Times New Roman" w:hAnsi="Times New Roman" w:cs="Times New Roman"/>
          <w:bCs/>
          <w:iCs/>
          <w:sz w:val="24"/>
          <w:szCs w:val="24"/>
        </w:rPr>
        <w:t xml:space="preserve"> si et dans quelles conditions une personne qui prétend être le père biologique d'un enfant peut être autorisée à contester la présomption légale de paternité du mari de la mère. Le problème ne résidait ainsi pas dans le fait que le requérant a dû demander au procureur d'engager des poursuites pour contester la présomption de paternité en son nom mais dans le refus qui lui a été opposé de participer, y compris comme tiers intervenant à la procédure et dans la manière dont celle-ci a été conduite.</w:t>
      </w:r>
    </w:p>
    <w:p w14:paraId="247B1B26" w14:textId="407E19CF" w:rsidR="00031FCC" w:rsidRPr="00031FCC" w:rsidRDefault="00031FCC" w:rsidP="00031FCC">
      <w:pPr>
        <w:pStyle w:val="Paragraphedeliste"/>
        <w:numPr>
          <w:ilvl w:val="0"/>
          <w:numId w:val="6"/>
        </w:numPr>
        <w:jc w:val="both"/>
        <w:rPr>
          <w:rFonts w:ascii="Times New Roman" w:hAnsi="Times New Roman" w:cs="Times New Roman"/>
          <w:b/>
          <w:bCs/>
          <w:iCs/>
          <w:sz w:val="24"/>
          <w:szCs w:val="24"/>
        </w:rPr>
      </w:pPr>
      <w:r w:rsidRPr="00031FCC">
        <w:rPr>
          <w:rFonts w:ascii="Times New Roman" w:hAnsi="Times New Roman" w:cs="Times New Roman"/>
          <w:b/>
          <w:bCs/>
          <w:iCs/>
          <w:sz w:val="24"/>
          <w:szCs w:val="24"/>
        </w:rPr>
        <w:t>La vie familiale sans parenté biologique</w:t>
      </w:r>
    </w:p>
    <w:p w14:paraId="21CD4A50" w14:textId="718DD83E"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lastRenderedPageBreak/>
        <w:t>De l'article 8, découle l'obligation de reconnaître une filiation légalement établie à l'étranger</w:t>
      </w:r>
      <w:r w:rsidR="006D7871">
        <w:rPr>
          <w:rFonts w:ascii="Times New Roman" w:hAnsi="Times New Roman" w:cs="Times New Roman"/>
          <w:iCs/>
          <w:sz w:val="24"/>
          <w:szCs w:val="24"/>
        </w:rPr>
        <w:t xml:space="preserve"> à l’égard d’un parent d’intention</w:t>
      </w:r>
      <w:r w:rsidRPr="00031FCC">
        <w:rPr>
          <w:rFonts w:ascii="Times New Roman" w:hAnsi="Times New Roman" w:cs="Times New Roman"/>
          <w:iCs/>
          <w:sz w:val="24"/>
          <w:szCs w:val="24"/>
        </w:rPr>
        <w:t>. Ainsi, la Cour condamne au nom de l'intérêt supérieur de l'enfant</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"Intérêt :supérieur de l'enfant"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le refus du Luxembourg d'accorder </w:t>
      </w:r>
      <w:r w:rsidRPr="00031FCC">
        <w:rPr>
          <w:rFonts w:ascii="Times New Roman" w:hAnsi="Times New Roman" w:cs="Times New Roman"/>
          <w:i/>
          <w:sz w:val="24"/>
          <w:szCs w:val="24"/>
        </w:rPr>
        <w:t>l'exequatur</w:t>
      </w:r>
      <w:r w:rsidRPr="00031FCC">
        <w:rPr>
          <w:rFonts w:ascii="Times New Roman" w:hAnsi="Times New Roman" w:cs="Times New Roman"/>
          <w:i/>
          <w:sz w:val="24"/>
          <w:szCs w:val="24"/>
        </w:rPr>
        <w:fldChar w:fldCharType="begin"/>
      </w:r>
      <w:r w:rsidRPr="00031FCC">
        <w:rPr>
          <w:rFonts w:ascii="Times New Roman" w:hAnsi="Times New Roman" w:cs="Times New Roman"/>
          <w:i/>
          <w:sz w:val="24"/>
          <w:szCs w:val="24"/>
        </w:rPr>
        <w:instrText xml:space="preserve"> XE "Exequatur" </w:instrText>
      </w:r>
      <w:r w:rsidRPr="00031FCC">
        <w:rPr>
          <w:rFonts w:ascii="Times New Roman" w:hAnsi="Times New Roman" w:cs="Times New Roman"/>
          <w:i/>
          <w:sz w:val="24"/>
          <w:szCs w:val="24"/>
        </w:rPr>
        <w:fldChar w:fldCharType="end"/>
      </w:r>
      <w:r w:rsidRPr="00031FCC">
        <w:rPr>
          <w:rFonts w:ascii="Times New Roman" w:hAnsi="Times New Roman" w:cs="Times New Roman"/>
          <w:iCs/>
          <w:sz w:val="24"/>
          <w:szCs w:val="24"/>
        </w:rPr>
        <w:t xml:space="preserve"> à un jugement d'adoption péruvien, au motif que le droit luxembourgeois limitait le recours à l'adoption aux seuls couples mariés (Wagner et J. M. W. L.</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"$$Wagner et J. M. W. L. (2007)"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c/ Luxembourg, 28 juin 2007, dans le même sens Negrepontis-Giannis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"$$Negrepontis-Giannis (2011)"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c/ Grèce, 3 mai 2011). Le juge européen a admis la même solution à propos du mariage (Dadouch c/ Malte 20 juill. 2010).</w:t>
      </w:r>
      <w:r w:rsidR="00C01251">
        <w:rPr>
          <w:rFonts w:ascii="Times New Roman" w:hAnsi="Times New Roman" w:cs="Times New Roman"/>
          <w:iCs/>
          <w:sz w:val="24"/>
          <w:szCs w:val="24"/>
        </w:rPr>
        <w:t xml:space="preserve"> </w:t>
      </w:r>
      <w:r w:rsidR="00C01251" w:rsidRPr="00C01251">
        <w:rPr>
          <w:rFonts w:ascii="Times New Roman" w:hAnsi="Times New Roman" w:cs="Times New Roman"/>
          <w:iCs/>
          <w:sz w:val="24"/>
          <w:szCs w:val="24"/>
        </w:rPr>
        <w:t xml:space="preserve">Dans </w:t>
      </w:r>
      <w:r w:rsidR="00C01251">
        <w:rPr>
          <w:rFonts w:ascii="Times New Roman" w:hAnsi="Times New Roman" w:cs="Times New Roman"/>
          <w:iCs/>
          <w:sz w:val="24"/>
          <w:szCs w:val="24"/>
        </w:rPr>
        <w:t xml:space="preserve">l’arrêt </w:t>
      </w:r>
      <w:r w:rsidR="00C01251" w:rsidRPr="00C01251">
        <w:rPr>
          <w:rFonts w:ascii="Times New Roman" w:hAnsi="Times New Roman" w:cs="Times New Roman"/>
          <w:iCs/>
          <w:sz w:val="24"/>
          <w:szCs w:val="24"/>
        </w:rPr>
        <w:t>TA c/ Suisse du 6 mars 2025</w:t>
      </w:r>
      <w:r w:rsidR="00C01251" w:rsidRPr="00C01251">
        <w:rPr>
          <w:rFonts w:ascii="Times New Roman" w:hAnsi="Times New Roman" w:cs="Times New Roman"/>
          <w:bCs/>
          <w:i/>
          <w:iCs/>
          <w:sz w:val="24"/>
          <w:szCs w:val="24"/>
        </w:rPr>
        <w:t xml:space="preserve"> </w:t>
      </w:r>
      <w:r w:rsidR="00C01251" w:rsidRPr="00C01251">
        <w:rPr>
          <w:rFonts w:ascii="Times New Roman" w:hAnsi="Times New Roman" w:cs="Times New Roman"/>
          <w:iCs/>
          <w:sz w:val="24"/>
          <w:szCs w:val="24"/>
        </w:rPr>
        <w:t xml:space="preserve">, la Cour considère que la situation est différente dans la mesure où le refus de reconnaître l’adoption n’était pas justifié par une disposition législative prohibant de manière générale l’adoption concernée dans l’espèce, en l’occurrence l’adoption par une seule personne, mais par une appréciation concrète des conditions de l’adoption en cause. En l’espèce, en effet, certaines conditions de fond de l'adoption n’étaient pas satisfaites </w:t>
      </w:r>
      <w:r w:rsidR="00C01251">
        <w:rPr>
          <w:rFonts w:ascii="Times New Roman" w:hAnsi="Times New Roman" w:cs="Times New Roman"/>
          <w:iCs/>
          <w:sz w:val="24"/>
          <w:szCs w:val="24"/>
        </w:rPr>
        <w:t>et la</w:t>
      </w:r>
      <w:r w:rsidR="00C01251" w:rsidRPr="00C01251">
        <w:rPr>
          <w:rFonts w:ascii="Times New Roman" w:hAnsi="Times New Roman" w:cs="Times New Roman"/>
          <w:iCs/>
          <w:sz w:val="24"/>
          <w:szCs w:val="24"/>
        </w:rPr>
        <w:t xml:space="preserve"> procédure d’adoption ne respectait pas du tout les garanties entourant l’adoption internationale destinées à éviter les trafics d’enfants, l’enfant ayant été placé en adoption par le biais d'une procédure très rapide, sans véritable enquête permettant d’évaluer son adoptabilité de manière adéquate. </w:t>
      </w:r>
    </w:p>
    <w:p w14:paraId="5BA899CE"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Dans les arrêts Mennesson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"$$Mennesson (2014)"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et Labassée, la Cour européenne refuse de qualifier le refus des autorités françaises de reconnaître la filiation des enfants nés d'une gestation pour autrui</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"Gestation pour autrui"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à l'égard de leurs parents d'intention, de violation du droit au respect de la vie familiale elle a seulement reconnu l’existence d’une obligation d’établir la filiation de l’enfant à l’égard de son père d’intention car il était également son père biologique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Cette même obligation a été ensuite reconnue pour l’établissement de la filiation à l’égard de sa mère dans l’avis de 2019.</w:t>
      </w:r>
    </w:p>
    <w:p w14:paraId="6E215D42"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La Cour européenne n'impose pas aux États l'obligation de consacrer juridiquement la vie familiale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lorsque celle-ci ne repose pas sur un lien de parenté. Confrontées à des situations familiales nouvelles et atypiques, la Cour européenne adopte, au nom du principe de subsidiarité, une attitude réservée quant à la reconnaissance juridique du lien qu'elle qualifie cependant de vie familiale. Dans les différents arrêts, la Cour européenne souligne que les situations en cause soulèvent des questions délicates et qu'elles ne font pas l'objet de normes communes dans les différents Etats. Ainsi, alors qu'elle a reconnu l'existence d'une vie familiale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entre un transsexuel et l'enfant de sa compagne (X., Y. et Z.), la Cour constatant l'absence d'une approche commune des États membres « lorsqu'il s'agit de traduire sur le plan juridique la réalité sociale de la relation unissant un enfant conçu par IAD et la personne assumant le rôle de père », refuse de faire peser sur l'État l'obligation positive de reconnaître officiellement comme le père de l'enfant une personne qui n'en est pas le père biologique. Dans le même sens, la Cour européenne a refusé de condamner l'impossibilité pour la concubine d'adopter l'enfant de sa compagne dans l'arrêt Gas et Dubois</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"$$Gas et Dubois (2012)"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 elle n'exige pas non plus que soit condamnée l'impossibilité pour un enfant faisant l'objet d'une kafala d'être adopté, dès lors que sa loi personnelle prohibe cette institution (Harroudj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"$$Harroudj (2012)"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c/ France, 4 oct. 2012, JCP G 2012, act. 1145, G. Gonzalez ; Chbihi Loudoudi). </w:t>
      </w:r>
      <w:r w:rsidRPr="00031FCC">
        <w:rPr>
          <w:rFonts w:ascii="Times New Roman" w:hAnsi="Times New Roman" w:cs="Times New Roman"/>
          <w:sz w:val="24"/>
          <w:szCs w:val="24"/>
        </w:rPr>
        <w:t>Dans l’arrêt C.E. et autres c/ France</w:t>
      </w:r>
      <w:r w:rsidRPr="00031FCC">
        <w:rPr>
          <w:rFonts w:ascii="Times New Roman" w:hAnsi="Times New Roman" w:cs="Times New Roman"/>
          <w:b/>
          <w:bCs/>
          <w:sz w:val="24"/>
          <w:szCs w:val="24"/>
        </w:rPr>
        <w:t xml:space="preserve"> </w:t>
      </w:r>
      <w:r w:rsidRPr="00031FCC">
        <w:rPr>
          <w:rFonts w:ascii="Times New Roman" w:hAnsi="Times New Roman" w:cs="Times New Roman"/>
          <w:sz w:val="24"/>
          <w:szCs w:val="24"/>
        </w:rPr>
        <w:t>du 24 mars 2022 la Cour européenne refuse d’imposer expressément la reconnaissance juridique de la filiation d’un enfant né d’une AMP dans un couple de femmes à l’égard de celle qui n’a pas accouché dès lors que différents dispositifs permettent de respecter la vie familiale et la vie privée de l’enfant et de l’ancienne compagne de sa mère. Outre la délégation de l’exercice de l’autorité et le droit de visite et d’hébergement, elle fait état de la nouvelle reconnaissance conjointe instaurée par la loi n°2021-1017 du 2 août 2021 relative à la bioéthique et applicable à l’enfant né à l’étranger avant son entrée en vigueur. Le recours à l’adoption constitue également un moyen d’assurer le maintien des liens entre l’enfant et l’adulte qui s’est comporté avec lui comme un parent.</w:t>
      </w:r>
    </w:p>
    <w:p w14:paraId="11039C9F"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lastRenderedPageBreak/>
        <w:t xml:space="preserve">La Cour européenne vérifie qu'à défaut de protection juridique, les personnes concernées par ces parentés particulières ne soient pas empêchées de mener une vie familiale "normale" Après une évaluation du poids des inconvénients qu’entraîne le refus de reconnaître la filiation, elle conclut dans les différents arrêts qu’ils n’empêchent pas les parents et les enfants de mener une vie familiale de fait, vivant ensemble dans des conditions globalement comparables à celles des autres familles. Elle admet même dans l’arrêt </w:t>
      </w:r>
      <w:r w:rsidRPr="00031FCC">
        <w:rPr>
          <w:rFonts w:ascii="Times New Roman" w:hAnsi="Times New Roman" w:cs="Times New Roman"/>
          <w:sz w:val="24"/>
          <w:szCs w:val="24"/>
        </w:rPr>
        <w:t>Valdis Fjölnisdottir</w:t>
      </w:r>
      <w:r w:rsidRPr="00031FCC">
        <w:rPr>
          <w:rFonts w:ascii="Times New Roman" w:hAnsi="Times New Roman" w:cs="Times New Roman"/>
          <w:iCs/>
          <w:sz w:val="24"/>
          <w:szCs w:val="24"/>
        </w:rPr>
        <w:t xml:space="preserve"> que le placement de l’enfant né de GPA en alternance chez ses deux mères suffit à assurer la protection de leur vie familiale.  </w:t>
      </w:r>
    </w:p>
    <w:p w14:paraId="529C4C1D"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 Pour ce qui est des couples, en imposant dans l'arrêt Oliari et autres c/ Italie du 21 juillet 2015 l'obligation positive d'offrir un statut juridique – qui n’est pas forcément le mariage - au couple de même sexe, la Cour EDH assure la protection de la vie familiale de tous les couples.</w:t>
      </w:r>
    </w:p>
    <w:p w14:paraId="6C1E7E78" w14:textId="77777777" w:rsidR="00031FCC" w:rsidRPr="00031FCC" w:rsidRDefault="00031FCC" w:rsidP="00031FCC">
      <w:pPr>
        <w:jc w:val="both"/>
        <w:rPr>
          <w:rFonts w:ascii="Times New Roman" w:hAnsi="Times New Roman" w:cs="Times New Roman"/>
          <w:sz w:val="24"/>
          <w:szCs w:val="24"/>
        </w:rPr>
      </w:pPr>
    </w:p>
    <w:sectPr w:rsidR="00031FCC" w:rsidRPr="00031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2F2"/>
    <w:multiLevelType w:val="multilevel"/>
    <w:tmpl w:val="976CAAA6"/>
    <w:lvl w:ilvl="0">
      <w:start w:val="1"/>
      <w:numFmt w:val="upperRoman"/>
      <w:suff w:val="space"/>
      <w:lvlText w:val="%1"/>
      <w:lvlJc w:val="left"/>
      <w:pPr>
        <w:ind w:left="0" w:firstLine="0"/>
      </w:pPr>
      <w:rPr>
        <w:rFonts w:ascii="Arial" w:hAnsi="Arial" w:hint="default"/>
        <w:b/>
        <w:i w:val="0"/>
        <w:color w:val="3366FF"/>
        <w:sz w:val="28"/>
        <w:szCs w:val="28"/>
        <w:effect w:val="none"/>
      </w:rPr>
    </w:lvl>
    <w:lvl w:ilvl="1">
      <w:start w:val="1"/>
      <w:numFmt w:val="none"/>
      <w:pStyle w:val="Titre2"/>
      <w:suff w:val="nothing"/>
      <w:lvlText w:val=""/>
      <w:lvlJc w:val="left"/>
      <w:pPr>
        <w:ind w:left="0" w:firstLine="0"/>
      </w:pPr>
      <w:rPr>
        <w:rFonts w:hint="default"/>
      </w:rPr>
    </w:lvl>
    <w:lvl w:ilvl="2">
      <w:start w:val="1"/>
      <w:numFmt w:val="none"/>
      <w:pStyle w:val="Titre3"/>
      <w:suff w:val="nothing"/>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1" w15:restartNumberingAfterBreak="0">
    <w:nsid w:val="40B05DF0"/>
    <w:multiLevelType w:val="hybridMultilevel"/>
    <w:tmpl w:val="BD82C75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96372C"/>
    <w:multiLevelType w:val="hybridMultilevel"/>
    <w:tmpl w:val="7FE270A2"/>
    <w:lvl w:ilvl="0" w:tplc="13FE5508">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5CB8453C"/>
    <w:multiLevelType w:val="hybridMultilevel"/>
    <w:tmpl w:val="5B5C58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67E35A2"/>
    <w:multiLevelType w:val="hybridMultilevel"/>
    <w:tmpl w:val="619CF922"/>
    <w:lvl w:ilvl="0" w:tplc="F444947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132BC0"/>
    <w:multiLevelType w:val="hybridMultilevel"/>
    <w:tmpl w:val="79FEA70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CC"/>
    <w:rsid w:val="00031FCC"/>
    <w:rsid w:val="002F2326"/>
    <w:rsid w:val="00395071"/>
    <w:rsid w:val="005B696C"/>
    <w:rsid w:val="006D7871"/>
    <w:rsid w:val="00C012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D7FF"/>
  <w15:chartTrackingRefBased/>
  <w15:docId w15:val="{8F7806CC-2201-4A52-BBB5-53033EDF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8"/>
    <w:qFormat/>
    <w:rsid w:val="00031FCC"/>
    <w:pPr>
      <w:keepNext/>
      <w:numPr>
        <w:ilvl w:val="1"/>
        <w:numId w:val="1"/>
      </w:numPr>
      <w:spacing w:before="240" w:after="60" w:line="360" w:lineRule="auto"/>
      <w:jc w:val="both"/>
      <w:outlineLvl w:val="1"/>
    </w:pPr>
    <w:rPr>
      <w:rFonts w:ascii="Arial" w:eastAsia="Times New Roman" w:hAnsi="Arial" w:cs="Arial"/>
      <w:b/>
      <w:bCs/>
      <w:i/>
      <w:iCs/>
      <w:color w:val="000080"/>
      <w:sz w:val="28"/>
      <w:szCs w:val="28"/>
      <w:lang w:eastAsia="fr-FR"/>
    </w:rPr>
  </w:style>
  <w:style w:type="paragraph" w:styleId="Titre3">
    <w:name w:val="heading 3"/>
    <w:basedOn w:val="Normal"/>
    <w:next w:val="Normal"/>
    <w:link w:val="Titre3Car"/>
    <w:uiPriority w:val="98"/>
    <w:qFormat/>
    <w:rsid w:val="00031FCC"/>
    <w:pPr>
      <w:keepNext/>
      <w:numPr>
        <w:ilvl w:val="2"/>
        <w:numId w:val="1"/>
      </w:numPr>
      <w:spacing w:before="240" w:after="60" w:line="360" w:lineRule="auto"/>
      <w:jc w:val="both"/>
      <w:outlineLvl w:val="2"/>
    </w:pPr>
    <w:rPr>
      <w:rFonts w:ascii="Arial" w:eastAsia="Times New Roman" w:hAnsi="Arial" w:cs="Arial"/>
      <w:b/>
      <w:bCs/>
      <w:color w:val="000080"/>
      <w:sz w:val="26"/>
      <w:szCs w:val="26"/>
      <w:lang w:eastAsia="fr-FR"/>
    </w:rPr>
  </w:style>
  <w:style w:type="paragraph" w:styleId="Titre4">
    <w:name w:val="heading 4"/>
    <w:basedOn w:val="Normal"/>
    <w:next w:val="Normal"/>
    <w:link w:val="Titre4Car"/>
    <w:uiPriority w:val="98"/>
    <w:qFormat/>
    <w:rsid w:val="00031FCC"/>
    <w:pPr>
      <w:keepNext/>
      <w:numPr>
        <w:ilvl w:val="3"/>
        <w:numId w:val="1"/>
      </w:numPr>
      <w:spacing w:before="240" w:after="60" w:line="360" w:lineRule="auto"/>
      <w:jc w:val="both"/>
      <w:outlineLvl w:val="3"/>
    </w:pPr>
    <w:rPr>
      <w:rFonts w:ascii="Times New Roman" w:eastAsia="Times New Roman" w:hAnsi="Times New Roman" w:cs="Times New Roman"/>
      <w:b/>
      <w:bCs/>
      <w:color w:val="000080"/>
      <w:sz w:val="28"/>
      <w:szCs w:val="28"/>
      <w:lang w:eastAsia="fr-FR"/>
    </w:rPr>
  </w:style>
  <w:style w:type="paragraph" w:styleId="Titre5">
    <w:name w:val="heading 5"/>
    <w:basedOn w:val="Normal"/>
    <w:next w:val="Normal"/>
    <w:link w:val="Titre5Car"/>
    <w:uiPriority w:val="98"/>
    <w:qFormat/>
    <w:rsid w:val="00031FCC"/>
    <w:pPr>
      <w:numPr>
        <w:ilvl w:val="4"/>
        <w:numId w:val="1"/>
      </w:numPr>
      <w:spacing w:before="240" w:after="60" w:line="360" w:lineRule="auto"/>
      <w:jc w:val="both"/>
      <w:outlineLvl w:val="4"/>
    </w:pPr>
    <w:rPr>
      <w:rFonts w:ascii="Times New Roman" w:eastAsia="Times New Roman" w:hAnsi="Times New Roman" w:cs="Times New Roman"/>
      <w:b/>
      <w:bCs/>
      <w:i/>
      <w:iCs/>
      <w:color w:val="000080"/>
      <w:sz w:val="26"/>
      <w:szCs w:val="26"/>
      <w:lang w:eastAsia="fr-FR"/>
    </w:rPr>
  </w:style>
  <w:style w:type="paragraph" w:styleId="Titre6">
    <w:name w:val="heading 6"/>
    <w:basedOn w:val="Normal"/>
    <w:next w:val="Normal"/>
    <w:link w:val="Titre6Car"/>
    <w:uiPriority w:val="98"/>
    <w:qFormat/>
    <w:rsid w:val="00031FCC"/>
    <w:pPr>
      <w:numPr>
        <w:ilvl w:val="5"/>
        <w:numId w:val="1"/>
      </w:numPr>
      <w:spacing w:before="240" w:after="60" w:line="360" w:lineRule="auto"/>
      <w:jc w:val="both"/>
      <w:outlineLvl w:val="5"/>
    </w:pPr>
    <w:rPr>
      <w:rFonts w:ascii="Times New Roman" w:eastAsia="Times New Roman" w:hAnsi="Times New Roman" w:cs="Times New Roman"/>
      <w:b/>
      <w:bCs/>
      <w:color w:val="000080"/>
      <w:lang w:eastAsia="fr-FR"/>
    </w:rPr>
  </w:style>
  <w:style w:type="paragraph" w:styleId="Titre7">
    <w:name w:val="heading 7"/>
    <w:basedOn w:val="Normal"/>
    <w:next w:val="Normal"/>
    <w:link w:val="Titre7Car"/>
    <w:uiPriority w:val="98"/>
    <w:qFormat/>
    <w:rsid w:val="00031FCC"/>
    <w:pPr>
      <w:numPr>
        <w:ilvl w:val="6"/>
        <w:numId w:val="1"/>
      </w:numPr>
      <w:spacing w:before="240" w:after="60" w:line="360" w:lineRule="auto"/>
      <w:jc w:val="both"/>
      <w:outlineLvl w:val="6"/>
    </w:pPr>
    <w:rPr>
      <w:rFonts w:ascii="Times New Roman" w:eastAsia="Times New Roman" w:hAnsi="Times New Roman" w:cs="Times New Roman"/>
      <w:color w:val="000080"/>
      <w:sz w:val="24"/>
      <w:szCs w:val="24"/>
      <w:lang w:eastAsia="fr-FR"/>
    </w:rPr>
  </w:style>
  <w:style w:type="paragraph" w:styleId="Titre8">
    <w:name w:val="heading 8"/>
    <w:basedOn w:val="Normal"/>
    <w:next w:val="Normal"/>
    <w:link w:val="Titre8Car"/>
    <w:uiPriority w:val="98"/>
    <w:qFormat/>
    <w:rsid w:val="00031FCC"/>
    <w:pPr>
      <w:numPr>
        <w:ilvl w:val="7"/>
        <w:numId w:val="1"/>
      </w:numPr>
      <w:spacing w:before="240" w:after="60" w:line="360" w:lineRule="auto"/>
      <w:jc w:val="both"/>
      <w:outlineLvl w:val="7"/>
    </w:pPr>
    <w:rPr>
      <w:rFonts w:ascii="Times New Roman" w:eastAsia="Times New Roman" w:hAnsi="Times New Roman" w:cs="Times New Roman"/>
      <w:i/>
      <w:iCs/>
      <w:color w:val="000080"/>
      <w:sz w:val="24"/>
      <w:szCs w:val="24"/>
      <w:lang w:eastAsia="fr-FR"/>
    </w:rPr>
  </w:style>
  <w:style w:type="paragraph" w:styleId="Titre9">
    <w:name w:val="heading 9"/>
    <w:basedOn w:val="Normal"/>
    <w:next w:val="Normal"/>
    <w:link w:val="Titre9Car"/>
    <w:uiPriority w:val="98"/>
    <w:qFormat/>
    <w:rsid w:val="00031FCC"/>
    <w:pPr>
      <w:numPr>
        <w:ilvl w:val="8"/>
        <w:numId w:val="1"/>
      </w:numPr>
      <w:spacing w:before="240" w:after="60" w:line="360" w:lineRule="auto"/>
      <w:jc w:val="both"/>
      <w:outlineLvl w:val="8"/>
    </w:pPr>
    <w:rPr>
      <w:rFonts w:ascii="Arial" w:eastAsia="Times New Roman" w:hAnsi="Arial" w:cs="Arial"/>
      <w:color w:val="00008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8"/>
    <w:rsid w:val="00031FCC"/>
    <w:rPr>
      <w:rFonts w:ascii="Arial" w:eastAsia="Times New Roman" w:hAnsi="Arial" w:cs="Arial"/>
      <w:b/>
      <w:bCs/>
      <w:i/>
      <w:iCs/>
      <w:color w:val="000080"/>
      <w:sz w:val="28"/>
      <w:szCs w:val="28"/>
      <w:lang w:eastAsia="fr-FR"/>
    </w:rPr>
  </w:style>
  <w:style w:type="character" w:customStyle="1" w:styleId="Titre3Car">
    <w:name w:val="Titre 3 Car"/>
    <w:basedOn w:val="Policepardfaut"/>
    <w:link w:val="Titre3"/>
    <w:uiPriority w:val="98"/>
    <w:rsid w:val="00031FCC"/>
    <w:rPr>
      <w:rFonts w:ascii="Arial" w:eastAsia="Times New Roman" w:hAnsi="Arial" w:cs="Arial"/>
      <w:b/>
      <w:bCs/>
      <w:color w:val="000080"/>
      <w:sz w:val="26"/>
      <w:szCs w:val="26"/>
      <w:lang w:eastAsia="fr-FR"/>
    </w:rPr>
  </w:style>
  <w:style w:type="character" w:customStyle="1" w:styleId="Titre4Car">
    <w:name w:val="Titre 4 Car"/>
    <w:basedOn w:val="Policepardfaut"/>
    <w:link w:val="Titre4"/>
    <w:uiPriority w:val="98"/>
    <w:rsid w:val="00031FCC"/>
    <w:rPr>
      <w:rFonts w:ascii="Times New Roman" w:eastAsia="Times New Roman" w:hAnsi="Times New Roman" w:cs="Times New Roman"/>
      <w:b/>
      <w:bCs/>
      <w:color w:val="000080"/>
      <w:sz w:val="28"/>
      <w:szCs w:val="28"/>
      <w:lang w:eastAsia="fr-FR"/>
    </w:rPr>
  </w:style>
  <w:style w:type="character" w:customStyle="1" w:styleId="Titre5Car">
    <w:name w:val="Titre 5 Car"/>
    <w:basedOn w:val="Policepardfaut"/>
    <w:link w:val="Titre5"/>
    <w:uiPriority w:val="98"/>
    <w:rsid w:val="00031FCC"/>
    <w:rPr>
      <w:rFonts w:ascii="Times New Roman" w:eastAsia="Times New Roman" w:hAnsi="Times New Roman" w:cs="Times New Roman"/>
      <w:b/>
      <w:bCs/>
      <w:i/>
      <w:iCs/>
      <w:color w:val="000080"/>
      <w:sz w:val="26"/>
      <w:szCs w:val="26"/>
      <w:lang w:eastAsia="fr-FR"/>
    </w:rPr>
  </w:style>
  <w:style w:type="character" w:customStyle="1" w:styleId="Titre6Car">
    <w:name w:val="Titre 6 Car"/>
    <w:basedOn w:val="Policepardfaut"/>
    <w:link w:val="Titre6"/>
    <w:uiPriority w:val="98"/>
    <w:rsid w:val="00031FCC"/>
    <w:rPr>
      <w:rFonts w:ascii="Times New Roman" w:eastAsia="Times New Roman" w:hAnsi="Times New Roman" w:cs="Times New Roman"/>
      <w:b/>
      <w:bCs/>
      <w:color w:val="000080"/>
      <w:lang w:eastAsia="fr-FR"/>
    </w:rPr>
  </w:style>
  <w:style w:type="character" w:customStyle="1" w:styleId="Titre7Car">
    <w:name w:val="Titre 7 Car"/>
    <w:basedOn w:val="Policepardfaut"/>
    <w:link w:val="Titre7"/>
    <w:uiPriority w:val="98"/>
    <w:rsid w:val="00031FCC"/>
    <w:rPr>
      <w:rFonts w:ascii="Times New Roman" w:eastAsia="Times New Roman" w:hAnsi="Times New Roman" w:cs="Times New Roman"/>
      <w:color w:val="000080"/>
      <w:sz w:val="24"/>
      <w:szCs w:val="24"/>
      <w:lang w:eastAsia="fr-FR"/>
    </w:rPr>
  </w:style>
  <w:style w:type="character" w:customStyle="1" w:styleId="Titre8Car">
    <w:name w:val="Titre 8 Car"/>
    <w:basedOn w:val="Policepardfaut"/>
    <w:link w:val="Titre8"/>
    <w:uiPriority w:val="98"/>
    <w:rsid w:val="00031FCC"/>
    <w:rPr>
      <w:rFonts w:ascii="Times New Roman" w:eastAsia="Times New Roman" w:hAnsi="Times New Roman" w:cs="Times New Roman"/>
      <w:i/>
      <w:iCs/>
      <w:color w:val="000080"/>
      <w:sz w:val="24"/>
      <w:szCs w:val="24"/>
      <w:lang w:eastAsia="fr-FR"/>
    </w:rPr>
  </w:style>
  <w:style w:type="character" w:customStyle="1" w:styleId="Titre9Car">
    <w:name w:val="Titre 9 Car"/>
    <w:basedOn w:val="Policepardfaut"/>
    <w:link w:val="Titre9"/>
    <w:uiPriority w:val="98"/>
    <w:rsid w:val="00031FCC"/>
    <w:rPr>
      <w:rFonts w:ascii="Arial" w:eastAsia="Times New Roman" w:hAnsi="Arial" w:cs="Arial"/>
      <w:color w:val="000080"/>
      <w:lang w:eastAsia="fr-FR"/>
    </w:rPr>
  </w:style>
  <w:style w:type="paragraph" w:styleId="Paragraphedeliste">
    <w:name w:val="List Paragraph"/>
    <w:basedOn w:val="Normal"/>
    <w:uiPriority w:val="34"/>
    <w:qFormat/>
    <w:rsid w:val="00031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3130</Words>
  <Characters>17221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5</cp:revision>
  <dcterms:created xsi:type="dcterms:W3CDTF">2025-11-12T15:40:00Z</dcterms:created>
  <dcterms:modified xsi:type="dcterms:W3CDTF">2025-11-12T16:22:00Z</dcterms:modified>
</cp:coreProperties>
</file>