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EE5B" w14:textId="77777777" w:rsidR="00691772" w:rsidRPr="003A09A0" w:rsidRDefault="00691772" w:rsidP="00691772">
      <w:pPr>
        <w:jc w:val="both"/>
        <w:rPr>
          <w:rFonts w:ascii="Times New Roman" w:hAnsi="Times New Roman" w:cs="Times New Roman"/>
          <w:b/>
          <w:bCs/>
          <w:iCs/>
          <w:sz w:val="24"/>
          <w:szCs w:val="24"/>
        </w:rPr>
      </w:pPr>
      <w:r w:rsidRPr="003A09A0">
        <w:rPr>
          <w:rFonts w:ascii="Times New Roman" w:hAnsi="Times New Roman" w:cs="Times New Roman"/>
          <w:b/>
          <w:bCs/>
          <w:iCs/>
          <w:sz w:val="24"/>
          <w:szCs w:val="24"/>
        </w:rPr>
        <w:t>§3 : L</w:t>
      </w:r>
      <w:r>
        <w:rPr>
          <w:rFonts w:ascii="Times New Roman" w:hAnsi="Times New Roman" w:cs="Times New Roman"/>
          <w:b/>
          <w:bCs/>
          <w:iCs/>
          <w:sz w:val="24"/>
          <w:szCs w:val="24"/>
        </w:rPr>
        <w:t>a protection contre l</w:t>
      </w:r>
      <w:r w:rsidRPr="003A09A0">
        <w:rPr>
          <w:rFonts w:ascii="Times New Roman" w:hAnsi="Times New Roman" w:cs="Times New Roman"/>
          <w:b/>
          <w:bCs/>
          <w:iCs/>
          <w:sz w:val="24"/>
          <w:szCs w:val="24"/>
        </w:rPr>
        <w:t>es discriminations dans le droit au respect de la vie familiale</w:t>
      </w:r>
    </w:p>
    <w:p w14:paraId="2CBCF9A5"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L’essor de l’égalité est sans conteste l’une des évolutions les plus marquantes de la jurisprudence de la Cour européenne relative à la famille. Il a pour point de départ l’arrêt </w:t>
      </w:r>
      <w:proofErr w:type="spellStart"/>
      <w:r w:rsidRPr="003A09A0">
        <w:rPr>
          <w:rFonts w:ascii="Times New Roman" w:hAnsi="Times New Roman" w:cs="Times New Roman"/>
          <w:iCs/>
          <w:sz w:val="24"/>
          <w:szCs w:val="24"/>
        </w:rPr>
        <w:t>Marckx</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"$$Marckx (1979)"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c/ Belgique, du 13 juin 1979 qui a affirmé l’égalité des enfants (A) et s’est poursuivi avec la reconnaissance de l’égalité des parents (B). La Cour européenne se montre en revanche moins exigeante pour ce qui concerne l’égalité des couples (C). </w:t>
      </w:r>
    </w:p>
    <w:p w14:paraId="68C1E796" w14:textId="77777777" w:rsidR="00691772" w:rsidRPr="003A09A0" w:rsidRDefault="00691772" w:rsidP="00691772">
      <w:pPr>
        <w:jc w:val="both"/>
        <w:rPr>
          <w:rFonts w:ascii="Times New Roman" w:hAnsi="Times New Roman" w:cs="Times New Roman"/>
          <w:b/>
          <w:bCs/>
          <w:iCs/>
          <w:sz w:val="24"/>
          <w:szCs w:val="24"/>
        </w:rPr>
      </w:pPr>
      <w:r w:rsidRPr="003A09A0">
        <w:rPr>
          <w:rFonts w:ascii="Times New Roman" w:hAnsi="Times New Roman" w:cs="Times New Roman"/>
          <w:b/>
          <w:bCs/>
          <w:iCs/>
          <w:sz w:val="24"/>
          <w:szCs w:val="24"/>
        </w:rPr>
        <w:t>A. L’égalité des enfants</w:t>
      </w:r>
    </w:p>
    <w:p w14:paraId="71DE4B9E"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De l'arrêt </w:t>
      </w:r>
      <w:proofErr w:type="spellStart"/>
      <w:r w:rsidRPr="003A09A0">
        <w:rPr>
          <w:rFonts w:ascii="Times New Roman" w:hAnsi="Times New Roman" w:cs="Times New Roman"/>
          <w:iCs/>
          <w:sz w:val="24"/>
          <w:szCs w:val="24"/>
        </w:rPr>
        <w:t>Marckx</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"$$Marckx (1979)"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à l'arrêt Mazurek c/ France du 1er févr. 2000</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"$$Mazurek (2000)"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 rendu au visa de l'article 1er du Protocole 1- la Cour reconnaît affirme que « seules de très fortes raisons pourraient amener à estimer compatible avec la Convention une distinction fondée sur la naissance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"Naissance"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hors mariage » (</w:t>
      </w:r>
      <w:proofErr w:type="spellStart"/>
      <w:r w:rsidRPr="003A09A0">
        <w:rPr>
          <w:rFonts w:ascii="Times New Roman" w:hAnsi="Times New Roman" w:cs="Times New Roman"/>
          <w:iCs/>
          <w:sz w:val="24"/>
          <w:szCs w:val="24"/>
        </w:rPr>
        <w:t>Inze</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"$$Inze (1987)"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c/ Autriche, 28 oct. 1987). Les arrêts Pla et </w:t>
      </w:r>
      <w:proofErr w:type="spellStart"/>
      <w:r w:rsidRPr="003A09A0">
        <w:rPr>
          <w:rFonts w:ascii="Times New Roman" w:hAnsi="Times New Roman" w:cs="Times New Roman"/>
          <w:iCs/>
          <w:sz w:val="24"/>
          <w:szCs w:val="24"/>
        </w:rPr>
        <w:t>Puncernau</w:t>
      </w:r>
      <w:proofErr w:type="spellEnd"/>
      <w:r w:rsidRPr="003A09A0">
        <w:rPr>
          <w:rFonts w:ascii="Times New Roman" w:hAnsi="Times New Roman" w:cs="Times New Roman"/>
          <w:iCs/>
          <w:sz w:val="24"/>
          <w:szCs w:val="24"/>
        </w:rPr>
        <w:t xml:space="preserve"> c/ Andorre du 13 juillet 2004, Merger et Cros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"$$Merger et Cros (2004)"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France du 22 </w:t>
      </w:r>
      <w:proofErr w:type="spellStart"/>
      <w:r w:rsidRPr="003A09A0">
        <w:rPr>
          <w:rFonts w:ascii="Times New Roman" w:hAnsi="Times New Roman" w:cs="Times New Roman"/>
          <w:iCs/>
          <w:sz w:val="24"/>
          <w:szCs w:val="24"/>
        </w:rPr>
        <w:t>déc</w:t>
      </w:r>
      <w:proofErr w:type="spellEnd"/>
      <w:r w:rsidRPr="003A09A0">
        <w:rPr>
          <w:rFonts w:ascii="Times New Roman" w:hAnsi="Times New Roman" w:cs="Times New Roman"/>
          <w:iCs/>
          <w:sz w:val="24"/>
          <w:szCs w:val="24"/>
        </w:rPr>
        <w:t xml:space="preserve"> 2004, qui ont suivi l'arrêt </w:t>
      </w:r>
      <w:proofErr w:type="spellStart"/>
      <w:r w:rsidRPr="003A09A0">
        <w:rPr>
          <w:rFonts w:ascii="Times New Roman" w:hAnsi="Times New Roman" w:cs="Times New Roman"/>
          <w:iCs/>
          <w:sz w:val="24"/>
          <w:szCs w:val="24"/>
        </w:rPr>
        <w:t>Mazureck</w:t>
      </w:r>
      <w:proofErr w:type="spellEnd"/>
      <w:r w:rsidRPr="003A09A0">
        <w:rPr>
          <w:rFonts w:ascii="Times New Roman" w:hAnsi="Times New Roman" w:cs="Times New Roman"/>
          <w:iCs/>
          <w:sz w:val="24"/>
          <w:szCs w:val="24"/>
        </w:rPr>
        <w:t>, témoignent de la vitalité du principe de l'égalité des enfants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"Égalité :des enfants"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dont les deux manifestations essentielles résident dans l'égalité dans l'établissement des filiations et l'égalité des enfants en matière d'effets patrimoniaux de la filiation.</w:t>
      </w:r>
    </w:p>
    <w:p w14:paraId="7807DC57" w14:textId="77777777" w:rsidR="00691772" w:rsidRPr="003A09A0" w:rsidRDefault="00691772" w:rsidP="00691772">
      <w:pPr>
        <w:pStyle w:val="Inter3"/>
        <w:ind w:left="0"/>
        <w:jc w:val="both"/>
        <w:rPr>
          <w:rFonts w:ascii="Times New Roman" w:eastAsiaTheme="minorHAnsi" w:hAnsi="Times New Roman"/>
          <w:b/>
          <w:bCs/>
          <w:iCs/>
          <w:szCs w:val="24"/>
        </w:rPr>
      </w:pPr>
      <w:r w:rsidRPr="003A09A0">
        <w:rPr>
          <w:rFonts w:ascii="Times New Roman" w:eastAsiaTheme="minorHAnsi" w:hAnsi="Times New Roman"/>
          <w:b/>
          <w:bCs/>
          <w:iCs/>
          <w:szCs w:val="24"/>
        </w:rPr>
        <w:t>1° L'égalité des enfants</w:t>
      </w:r>
      <w:r w:rsidRPr="003A09A0">
        <w:rPr>
          <w:rFonts w:ascii="Times New Roman" w:eastAsiaTheme="minorHAnsi" w:hAnsi="Times New Roman"/>
          <w:b/>
          <w:bCs/>
          <w:iCs/>
          <w:szCs w:val="24"/>
        </w:rPr>
        <w:fldChar w:fldCharType="begin"/>
      </w:r>
      <w:r w:rsidRPr="003A09A0">
        <w:rPr>
          <w:rFonts w:ascii="Times New Roman" w:eastAsiaTheme="minorHAnsi" w:hAnsi="Times New Roman"/>
          <w:b/>
          <w:bCs/>
          <w:iCs/>
          <w:szCs w:val="24"/>
        </w:rPr>
        <w:instrText xml:space="preserve"> XE "Égalité :des enfants" </w:instrText>
      </w:r>
      <w:r w:rsidRPr="003A09A0">
        <w:rPr>
          <w:rFonts w:ascii="Times New Roman" w:eastAsiaTheme="minorHAnsi" w:hAnsi="Times New Roman"/>
          <w:b/>
          <w:bCs/>
          <w:iCs/>
          <w:szCs w:val="24"/>
        </w:rPr>
        <w:fldChar w:fldCharType="end"/>
      </w:r>
      <w:r w:rsidRPr="003A09A0">
        <w:rPr>
          <w:rFonts w:ascii="Times New Roman" w:eastAsiaTheme="minorHAnsi" w:hAnsi="Times New Roman"/>
          <w:b/>
          <w:bCs/>
          <w:iCs/>
          <w:szCs w:val="24"/>
        </w:rPr>
        <w:t xml:space="preserve"> dans l'établissement de la filiation</w:t>
      </w:r>
      <w:r w:rsidRPr="003A09A0">
        <w:rPr>
          <w:rFonts w:ascii="Times New Roman" w:eastAsiaTheme="minorHAnsi" w:hAnsi="Times New Roman"/>
          <w:b/>
          <w:bCs/>
          <w:iCs/>
          <w:szCs w:val="24"/>
        </w:rPr>
        <w:fldChar w:fldCharType="begin"/>
      </w:r>
      <w:r w:rsidRPr="003A09A0">
        <w:rPr>
          <w:rFonts w:ascii="Times New Roman" w:eastAsiaTheme="minorHAnsi" w:hAnsi="Times New Roman"/>
          <w:b/>
          <w:bCs/>
          <w:iCs/>
          <w:szCs w:val="24"/>
        </w:rPr>
        <w:instrText xml:space="preserve"> XE "Filiation :établissement de la" </w:instrText>
      </w:r>
      <w:r w:rsidRPr="003A09A0">
        <w:rPr>
          <w:rFonts w:ascii="Times New Roman" w:eastAsiaTheme="minorHAnsi" w:hAnsi="Times New Roman"/>
          <w:b/>
          <w:bCs/>
          <w:iCs/>
          <w:szCs w:val="24"/>
        </w:rPr>
        <w:fldChar w:fldCharType="end"/>
      </w:r>
    </w:p>
    <w:p w14:paraId="609CDDD4"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Selon l'arrêt </w:t>
      </w:r>
      <w:proofErr w:type="spellStart"/>
      <w:r w:rsidRPr="003A09A0">
        <w:rPr>
          <w:rFonts w:ascii="Times New Roman" w:hAnsi="Times New Roman" w:cs="Times New Roman"/>
          <w:iCs/>
          <w:sz w:val="24"/>
          <w:szCs w:val="24"/>
        </w:rPr>
        <w:t>Marckx</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"$$Marckx (1979)"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les enfants doivent tous bénéficier du droit d'établir leur filiation. </w:t>
      </w:r>
    </w:p>
    <w:p w14:paraId="7CF70154"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Si la Cour considère qu'aucune distinction n'est supportable dans l'établissement de la filiation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"Filiation :établissement de la"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maternelle, il n'en va pas de même pour la filiation paternelle. L'obligation positive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"Obligation positive"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permettre l'établissement de la paternité</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"Paternité"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naturelle n'empêche pas que celui-ci puisse être soumis à des conditions différentes pour l'enfant légitime et l'enfant naturel, tant que les mesures restrictives concernant la filiation de ce dernier restent proportionnées (N. c/ Danemark, déc. 9 oct. 1989 n°13557/88.). Dans l'arrêt Johnston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"$$Johnston (1986)"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Irlande du 18 déc</w:t>
      </w:r>
      <w:r>
        <w:rPr>
          <w:rFonts w:ascii="Times New Roman" w:hAnsi="Times New Roman" w:cs="Times New Roman"/>
          <w:iCs/>
          <w:sz w:val="24"/>
          <w:szCs w:val="24"/>
        </w:rPr>
        <w:t>embre</w:t>
      </w:r>
      <w:r w:rsidRPr="003A09A0">
        <w:rPr>
          <w:rFonts w:ascii="Times New Roman" w:hAnsi="Times New Roman" w:cs="Times New Roman"/>
          <w:iCs/>
          <w:sz w:val="24"/>
          <w:szCs w:val="24"/>
        </w:rPr>
        <w:t xml:space="preserve"> 1986, la Cour affirme seulement que l'enfant naturel doit être placé dans une position voisine de celle d'un enfant légitime.</w:t>
      </w:r>
    </w:p>
    <w:p w14:paraId="2AFAE243"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b/>
          <w:bCs/>
          <w:iCs/>
          <w:sz w:val="24"/>
          <w:szCs w:val="24"/>
        </w:rPr>
        <w:t>2°L'égalité des droits patrimoniaux des enfants</w:t>
      </w:r>
    </w:p>
    <w:p w14:paraId="75C6E9CC"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L'égalité des droits successoraux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successoraux"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des enfants légitimes et naturels se manifeste tout d'abord par la reconnaissance des droits successoraux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successoraux"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ces derniers tant dans la succession de leur père et mère que dans la succession des autres membres de leur famille, et notamment leurs grands-parents (</w:t>
      </w:r>
      <w:proofErr w:type="spellStart"/>
      <w:r w:rsidRPr="003A09A0">
        <w:rPr>
          <w:rFonts w:ascii="Times New Roman" w:hAnsi="Times New Roman" w:cs="Times New Roman"/>
          <w:iCs/>
          <w:sz w:val="24"/>
          <w:szCs w:val="24"/>
        </w:rPr>
        <w:t>Marckx</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"$$Marckx (1979)"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"Grands-parents"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w:t>
      </w:r>
    </w:p>
    <w:p w14:paraId="6B041F8F"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L'égalité des enfants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"Égalité :des enfants"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exige en outre l'absence de réduction de leur part successorale en vertu de la nature de leur filiation. Dans l'arrêt Mazurek</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"$$Mazurek (2000)"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la Cour constatant une « nette tendance » dans les droits internes des autres États membres « à la disparition des discriminations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"Discrimination"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à l'égard des enfants adultérins », considère que si la protection de la famille légitime reste un but légitime, la diminution des droits successoraux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successoraux"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l'enfant adultérin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"Enfant :adultérin"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n'en est pas moins disproportionnée. A la suite de la condamnation de la France par l’arrêt Mazurek, la loi no 2001-1135 du 3 décembre 2001 a supprimé du Code civil toutes les dispositions restrictives des droits successoraux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successoraux"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l'enfant adultérin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"Enfant :adultérin"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ce qui n’a pas empêché des condamnations ultérieures de la France par la Cour européenne pour des successions liquidées avant l’entrée en vigueur de la réforme mais après l’arrêt Mazurek (Merger et Cross ; </w:t>
      </w:r>
      <w:proofErr w:type="spellStart"/>
      <w:r w:rsidRPr="003A09A0">
        <w:rPr>
          <w:rFonts w:ascii="Times New Roman" w:hAnsi="Times New Roman" w:cs="Times New Roman"/>
          <w:iCs/>
          <w:sz w:val="24"/>
          <w:szCs w:val="24"/>
        </w:rPr>
        <w:t>Fabris</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"$$Fabris (2013)"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France, 7 févr. 2013).</w:t>
      </w:r>
    </w:p>
    <w:p w14:paraId="183B92E2"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La prohibition des discriminations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"Discrimination"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entre enfants selon la nature de leur filiation s'applique également aux libéralités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"Libéralités"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qu'elles prennent la forme d'un testament (Pla et </w:t>
      </w:r>
      <w:proofErr w:type="spellStart"/>
      <w:r w:rsidRPr="003A09A0">
        <w:rPr>
          <w:rFonts w:ascii="Times New Roman" w:hAnsi="Times New Roman" w:cs="Times New Roman"/>
          <w:iCs/>
          <w:sz w:val="24"/>
          <w:szCs w:val="24"/>
        </w:rPr>
        <w:t>Puncernau</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"$$Pla et Puncernau (2004)"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relatif à l'interprétation d'un testament défavorable à un enfant adopté) ou d'une donation (Merger et </w:t>
      </w:r>
      <w:r w:rsidRPr="003A09A0">
        <w:rPr>
          <w:rFonts w:ascii="Times New Roman" w:hAnsi="Times New Roman" w:cs="Times New Roman"/>
          <w:iCs/>
          <w:sz w:val="24"/>
          <w:szCs w:val="24"/>
        </w:rPr>
        <w:lastRenderedPageBreak/>
        <w:t>Cros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"$$Merger et Cros (2004)"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relatif à l'annulation des donations antérieure à l'entrée en vigueur de la réforme des successions</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"Successions"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consenties par un père à son enfant adultérin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"Enfant :adultérin"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La loi du 3 décembre 2001 a également fait disparaître la limitation de la capacité du parent d'un enfant adultérin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"Enfant :adultérin"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disposer en faveur de ce dernier.</w:t>
      </w:r>
    </w:p>
    <w:p w14:paraId="407EAB2A" w14:textId="77777777" w:rsidR="00691772" w:rsidRPr="003A09A0" w:rsidRDefault="00691772" w:rsidP="00691772">
      <w:pPr>
        <w:jc w:val="both"/>
        <w:rPr>
          <w:rFonts w:ascii="Times New Roman" w:hAnsi="Times New Roman" w:cs="Times New Roman"/>
          <w:b/>
          <w:bCs/>
          <w:iCs/>
          <w:sz w:val="24"/>
          <w:szCs w:val="24"/>
        </w:rPr>
      </w:pPr>
      <w:r w:rsidRPr="003A09A0">
        <w:rPr>
          <w:rFonts w:ascii="Times New Roman" w:hAnsi="Times New Roman" w:cs="Times New Roman"/>
          <w:b/>
          <w:bCs/>
          <w:iCs/>
          <w:sz w:val="24"/>
          <w:szCs w:val="24"/>
        </w:rPr>
        <w:t>B. L’égalité des parents</w:t>
      </w:r>
    </w:p>
    <w:p w14:paraId="56793389"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La Cour EDH contrôle les inégalités de traitement entre les parents qu’elles soient fondées sur leur orientation sexuelle ou religieuse, ou bien sur leur sexe.</w:t>
      </w:r>
    </w:p>
    <w:p w14:paraId="02BB0157"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b/>
          <w:bCs/>
          <w:iCs/>
          <w:sz w:val="24"/>
          <w:szCs w:val="24"/>
        </w:rPr>
        <w:t>1°</w:t>
      </w:r>
      <w:r w:rsidRPr="003A09A0">
        <w:rPr>
          <w:rFonts w:ascii="Times New Roman" w:hAnsi="Times New Roman" w:cs="Times New Roman"/>
          <w:b/>
          <w:bCs/>
          <w:iCs/>
          <w:sz w:val="24"/>
          <w:szCs w:val="24"/>
        </w:rPr>
        <w:t> </w:t>
      </w:r>
      <w:r w:rsidRPr="003A09A0">
        <w:rPr>
          <w:rFonts w:ascii="Times New Roman" w:hAnsi="Times New Roman" w:cs="Times New Roman"/>
          <w:b/>
          <w:bCs/>
          <w:iCs/>
          <w:sz w:val="24"/>
          <w:szCs w:val="24"/>
        </w:rPr>
        <w:t>Les inégalités de traitement fondées sur l’orientation et identité sexuelle ou religieuse du</w:t>
      </w:r>
      <w:r w:rsidRPr="003A09A0">
        <w:rPr>
          <w:rFonts w:ascii="Times New Roman" w:hAnsi="Times New Roman" w:cs="Times New Roman"/>
          <w:iCs/>
          <w:sz w:val="24"/>
          <w:szCs w:val="24"/>
        </w:rPr>
        <w:t xml:space="preserve"> parent</w:t>
      </w:r>
    </w:p>
    <w:p w14:paraId="5B2F0FAA"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Dans l'arrêt Hoffman, la Cour européenne inaugure le raisonnement qui sera désormais le sien en matière de discrimination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"Discrimination"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dans l'attribution des droits parentaux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parentaux"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aux père et mère séparés (dans le même sens : Palau-Martinez</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"$$Palau-Martinez (2003)"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France, 16 déc. 2003, </w:t>
      </w:r>
      <w:proofErr w:type="spellStart"/>
      <w:r w:rsidRPr="003A09A0">
        <w:rPr>
          <w:rFonts w:ascii="Times New Roman" w:hAnsi="Times New Roman" w:cs="Times New Roman"/>
          <w:iCs/>
          <w:sz w:val="24"/>
          <w:szCs w:val="24"/>
        </w:rPr>
        <w:t>Salgueiro</w:t>
      </w:r>
      <w:proofErr w:type="spellEnd"/>
      <w:r w:rsidRPr="003A09A0">
        <w:rPr>
          <w:rFonts w:ascii="Times New Roman" w:hAnsi="Times New Roman" w:cs="Times New Roman"/>
          <w:iCs/>
          <w:sz w:val="24"/>
          <w:szCs w:val="24"/>
        </w:rPr>
        <w:t xml:space="preserve"> Da Silva </w:t>
      </w:r>
      <w:proofErr w:type="spellStart"/>
      <w:r w:rsidRPr="003A09A0">
        <w:rPr>
          <w:rFonts w:ascii="Times New Roman" w:hAnsi="Times New Roman" w:cs="Times New Roman"/>
          <w:iCs/>
          <w:sz w:val="24"/>
          <w:szCs w:val="24"/>
        </w:rPr>
        <w:t>Mouta</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"$$Salgueiro da Silva Mouta (1999)"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c/ Portugal, 21 déc. 1999, P.V. c/ Espagne 30 nov. 2010 ). Les juges européens condamnent l'inégalité de traitement fondée sur l'orientation religieuse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"Orientation :religieuse"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du parent, en l'occurrence l'appartenance de la mère aux témoins de Jéhovah, en raison de son caractère général et abstrait, le juge interne n'ayant pas cherché à mesurer l'influence réelle de la pratique religieuse de la mère sur la vie des enfants. La Cour a utilisé le même raisonnement à propos de l'orientation sexuelle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"Orientation :sexuelle"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d'un des parents dans l'arrêt </w:t>
      </w:r>
      <w:proofErr w:type="spellStart"/>
      <w:r w:rsidRPr="003A09A0">
        <w:rPr>
          <w:rFonts w:ascii="Times New Roman" w:hAnsi="Times New Roman" w:cs="Times New Roman"/>
          <w:iCs/>
          <w:sz w:val="24"/>
          <w:szCs w:val="24"/>
        </w:rPr>
        <w:t>Salgueiro</w:t>
      </w:r>
      <w:proofErr w:type="spellEnd"/>
      <w:r w:rsidRPr="003A09A0">
        <w:rPr>
          <w:rFonts w:ascii="Times New Roman" w:hAnsi="Times New Roman" w:cs="Times New Roman"/>
          <w:iCs/>
          <w:sz w:val="24"/>
          <w:szCs w:val="24"/>
        </w:rPr>
        <w:t xml:space="preserve"> Da Silva </w:t>
      </w:r>
      <w:proofErr w:type="spellStart"/>
      <w:r w:rsidRPr="003A09A0">
        <w:rPr>
          <w:rFonts w:ascii="Times New Roman" w:hAnsi="Times New Roman" w:cs="Times New Roman"/>
          <w:iCs/>
          <w:sz w:val="24"/>
          <w:szCs w:val="24"/>
        </w:rPr>
        <w:t>Mouta</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sz w:val="24"/>
          <w:szCs w:val="24"/>
        </w:rPr>
        <w:t>et à propos de l’identité sexuelle dans les arrêts P. V. c/ Espagne et A.M. et a. c/ Russie 6 juillet 2021</w:t>
      </w:r>
      <w:r w:rsidRPr="003A09A0">
        <w:rPr>
          <w:rFonts w:ascii="Times New Roman" w:hAnsi="Times New Roman" w:cs="Times New Roman"/>
          <w:iCs/>
          <w:sz w:val="24"/>
          <w:szCs w:val="24"/>
        </w:rPr>
        <w:t>. Ces différentes décisions ne sanctionnent pas une disposition du droit interne mais le raisonnement d'un juge qui, pour répartir les droits entre le père et la mère séparés d'un enfant, se fonde sur une détermination abstraite de l'intérêt des enfants en fonction de l'orientation sexuelle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"Orientation :sexuelle"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ou religieuse d'un des parents. </w:t>
      </w:r>
    </w:p>
    <w:p w14:paraId="3778DB48" w14:textId="77777777" w:rsidR="00691772"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Une différence de traitement dans la répartition des droits parentaux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parentaux"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peut, en revanche, être conforme à la Convention européenne dès lors qu'elle est justifiée par des motivations concrète set liées à l’intérêt de l’enfant. Dans l'arrêt Palau Martinez, la Cour affirme que l'enquête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"Enquête"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sociale refusée par le juge interne « aurait sans doute permis de réunir des éléments concrets sur la vie des enfants avec l'un et l'autre de leurs parents, et sur les incidences éventuelles de la pratique religieuse de leur mère sur leur vie et sur leur éducation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"Éducation"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 Dans l'arrêt P.V. c/ Espagne, elle constate, que si la réduction du droit de visite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 de visite"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est liée à la conversion sexuelle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"Conversion sexuelle"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la requérante, son transsexualisme n'a pas été déterminant. </w:t>
      </w:r>
    </w:p>
    <w:p w14:paraId="32812090" w14:textId="77777777" w:rsidR="00691772"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La Cour a également condamné dans l’arrêt </w:t>
      </w:r>
      <w:proofErr w:type="spellStart"/>
      <w:r w:rsidRPr="003A09A0">
        <w:rPr>
          <w:rFonts w:ascii="Times New Roman" w:hAnsi="Times New Roman" w:cs="Times New Roman"/>
          <w:i/>
          <w:iCs/>
          <w:sz w:val="24"/>
          <w:szCs w:val="24"/>
        </w:rPr>
        <w:t>Yocheva</w:t>
      </w:r>
      <w:proofErr w:type="spellEnd"/>
      <w:r w:rsidRPr="003A09A0">
        <w:rPr>
          <w:rFonts w:ascii="Times New Roman" w:hAnsi="Times New Roman" w:cs="Times New Roman"/>
          <w:i/>
          <w:iCs/>
          <w:sz w:val="24"/>
          <w:szCs w:val="24"/>
        </w:rPr>
        <w:t xml:space="preserve"> et </w:t>
      </w:r>
      <w:proofErr w:type="spellStart"/>
      <w:r w:rsidRPr="003A09A0">
        <w:rPr>
          <w:rFonts w:ascii="Times New Roman" w:hAnsi="Times New Roman" w:cs="Times New Roman"/>
          <w:i/>
          <w:iCs/>
          <w:sz w:val="24"/>
          <w:szCs w:val="24"/>
        </w:rPr>
        <w:t>Ganeva</w:t>
      </w:r>
      <w:proofErr w:type="spellEnd"/>
      <w:r w:rsidRPr="003A09A0">
        <w:rPr>
          <w:rFonts w:ascii="Times New Roman" w:hAnsi="Times New Roman" w:cs="Times New Roman"/>
          <w:i/>
          <w:iCs/>
          <w:sz w:val="24"/>
          <w:szCs w:val="24"/>
        </w:rPr>
        <w:t xml:space="preserve"> c/ Bulgarie</w:t>
      </w:r>
      <w:r w:rsidRPr="003A09A0">
        <w:rPr>
          <w:rFonts w:ascii="Times New Roman" w:hAnsi="Times New Roman" w:cs="Times New Roman"/>
          <w:iCs/>
          <w:sz w:val="24"/>
          <w:szCs w:val="24"/>
        </w:rPr>
        <w:t xml:space="preserve"> du 11 mai 2021, le refus d’accorder des allocations familiales aux mères célibataires d’enfants de pères inconnus alors que ces allocations bénéficiaient aux mères d’enfants de pères décédés, considérant que ces familles étaient placées dans une situation similaire de vulnérabilité. La Cour critique en outre le fait de conditionner la réception de l’allocation à la divulgation de renseignements intimes ou à une procédure judiciaire afin d’établir la paternité.</w:t>
      </w:r>
    </w:p>
    <w:p w14:paraId="136260B4" w14:textId="77777777" w:rsidR="00691772" w:rsidRPr="003A09A0" w:rsidRDefault="00691772" w:rsidP="00691772">
      <w:pPr>
        <w:jc w:val="both"/>
        <w:rPr>
          <w:rFonts w:ascii="Times New Roman" w:hAnsi="Times New Roman" w:cs="Times New Roman"/>
          <w:b/>
          <w:bCs/>
          <w:iCs/>
          <w:sz w:val="24"/>
          <w:szCs w:val="24"/>
        </w:rPr>
      </w:pPr>
      <w:r w:rsidRPr="003A09A0">
        <w:rPr>
          <w:rFonts w:ascii="Times New Roman" w:hAnsi="Times New Roman" w:cs="Times New Roman"/>
          <w:b/>
          <w:bCs/>
          <w:iCs/>
          <w:sz w:val="24"/>
          <w:szCs w:val="24"/>
        </w:rPr>
        <w:t>2</w:t>
      </w:r>
      <w:proofErr w:type="gramStart"/>
      <w:r w:rsidRPr="003A09A0">
        <w:rPr>
          <w:rFonts w:ascii="Times New Roman" w:hAnsi="Times New Roman" w:cs="Times New Roman"/>
          <w:b/>
          <w:bCs/>
          <w:iCs/>
          <w:sz w:val="24"/>
          <w:szCs w:val="24"/>
        </w:rPr>
        <w:t>°  Les</w:t>
      </w:r>
      <w:proofErr w:type="gramEnd"/>
      <w:r w:rsidRPr="003A09A0">
        <w:rPr>
          <w:rFonts w:ascii="Times New Roman" w:hAnsi="Times New Roman" w:cs="Times New Roman"/>
          <w:b/>
          <w:bCs/>
          <w:iCs/>
          <w:sz w:val="24"/>
          <w:szCs w:val="24"/>
        </w:rPr>
        <w:t xml:space="preserve"> inégalités de traitement fondées sur le sexe du parent</w:t>
      </w:r>
    </w:p>
    <w:p w14:paraId="40249542"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Confrontée à des législations qui accordaient certains privilèges à la mère, la Cour EDH, s’est montrée plutôt indulgente. Invoquant l'absence de dénominateur commun dans les États membres, elle a considéré que la limitation dans le temps du droit du père de désavouer un enfant né pendant le mariage, alors que la mère ne subissait pas la même restriction, se justifiait </w:t>
      </w:r>
      <w:r w:rsidRPr="003A09A0">
        <w:rPr>
          <w:rFonts w:ascii="Times New Roman" w:hAnsi="Times New Roman" w:cs="Times New Roman"/>
          <w:iCs/>
          <w:sz w:val="24"/>
          <w:szCs w:val="24"/>
        </w:rPr>
        <w:lastRenderedPageBreak/>
        <w:t>par la protection des intérêts de l'enfant, lesquels rejoignaient en principe ceux de la mère (Rasmussen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"$$Rasmussen (1984)"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Danemark, 28 nov. 1984).</w:t>
      </w:r>
    </w:p>
    <w:p w14:paraId="567EE3D6" w14:textId="77777777" w:rsidR="00691772"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Toutefois, l'impossibilité pour un père non marié de participer à l'exercice de l'autorité parentale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"Autorité parentale"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sans l'accord de la mère que contenait le droit allemand a été supprimée par la Cour constitutionnelle allemande dans un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"$$Burden (2008)"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arrêt du 21 juill. 2010 après la condamnation de l'Allemagne par la Cour européenne dans l'arrêt </w:t>
      </w:r>
      <w:proofErr w:type="spellStart"/>
      <w:r w:rsidRPr="003A09A0">
        <w:rPr>
          <w:rFonts w:ascii="Times New Roman" w:hAnsi="Times New Roman" w:cs="Times New Roman"/>
          <w:iCs/>
          <w:sz w:val="24"/>
          <w:szCs w:val="24"/>
        </w:rPr>
        <w:t>Zaunegger</w:t>
      </w:r>
      <w:proofErr w:type="spellEnd"/>
      <w:r w:rsidRPr="003A09A0">
        <w:rPr>
          <w:rFonts w:ascii="Times New Roman" w:hAnsi="Times New Roman" w:cs="Times New Roman"/>
          <w:iCs/>
          <w:sz w:val="24"/>
          <w:szCs w:val="24"/>
        </w:rPr>
        <w:t xml:space="preserve"> c/ Allemagne du 3 déc. 2009 (dans le même sens </w:t>
      </w:r>
      <w:proofErr w:type="spellStart"/>
      <w:r w:rsidRPr="003A09A0">
        <w:rPr>
          <w:rFonts w:ascii="Times New Roman" w:hAnsi="Times New Roman" w:cs="Times New Roman"/>
          <w:iCs/>
          <w:sz w:val="24"/>
          <w:szCs w:val="24"/>
        </w:rPr>
        <w:t>Sporer</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"$$Sporer (2011)"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Autriche, 3 févr. 2011). Dans ces décisions, la Cour condamne une double discrimination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"Discrimination"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 l'inégalité de traitement entre père et mère et l'inégalité de traitement entre les pères selon qu'ils ont été ou non mariés avec la mère. Elle considère que si l'attribution de l'exercice de l'autorité parentale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"Autorité parentale"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à la mère peut se justifier pour garantir que l'enfant naturel dispose dès sa naissance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"Naissance"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d'un représentant légal, il n'existe aucun consensus européen sur la question de savoir si le père d'un enfant naturel a le droit de demander le partage de l'autorité parentale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"Autorité parentale"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contre la volonté de la mère ; la majorité des États membres semblent considérer que l'attribution de cette prérogative doit reposer sur l'intérêt supérieur de l'enfant</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"Intérêt :supérieur de l'enfant"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et qu'elle doit être soumise au contrôle des juridictions internes en cas de conflit entre les parents. La Cour condamne ainsi le fait qu'en droit autrichien, un tel contrôle est subordonné à la preuve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"Preuve"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que l'attribution de l'autorité parentale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"Autorité parentale"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exclusive à la mère constitue un danger pour l'enfant et que les tribunaux n'ont pas fondé leur décision sur une appréciation concrète de l'intérêt de l'enfant concerné (</w:t>
      </w:r>
      <w:proofErr w:type="spellStart"/>
      <w:r w:rsidRPr="003A09A0">
        <w:rPr>
          <w:rFonts w:ascii="Times New Roman" w:hAnsi="Times New Roman" w:cs="Times New Roman"/>
          <w:iCs/>
          <w:sz w:val="24"/>
          <w:szCs w:val="24"/>
        </w:rPr>
        <w:t>Sporer</w:t>
      </w:r>
      <w:proofErr w:type="spellEnd"/>
      <w:r w:rsidRPr="003A09A0">
        <w:rPr>
          <w:rFonts w:ascii="Times New Roman" w:hAnsi="Times New Roman" w:cs="Times New Roman"/>
          <w:iCs/>
          <w:sz w:val="24"/>
          <w:szCs w:val="24"/>
        </w:rPr>
        <w:t>).</w:t>
      </w:r>
    </w:p>
    <w:p w14:paraId="5CF760EE"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Alors que l’absence de dénominateur commun entre les États européens avait permis à la Cour européenne d’admettre la différence de traitement entre le père et la mère en matière d’allocation de congé parental</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"Congé parental"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w:t>
      </w:r>
      <w:r w:rsidRPr="003A09A0">
        <w:rPr>
          <w:rFonts w:ascii="Times New Roman" w:hAnsi="Times New Roman" w:cs="Times New Roman"/>
          <w:i/>
          <w:iCs/>
          <w:sz w:val="24"/>
          <w:szCs w:val="24"/>
        </w:rPr>
        <w:t>Petrovic</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"$$Petrovic (1998)"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w:t>
      </w:r>
      <w:r w:rsidRPr="003A09A0">
        <w:rPr>
          <w:rFonts w:ascii="Times New Roman" w:hAnsi="Times New Roman" w:cs="Times New Roman"/>
          <w:i/>
          <w:iCs/>
          <w:sz w:val="24"/>
          <w:szCs w:val="24"/>
        </w:rPr>
        <w:t>c/ Autriche</w:t>
      </w:r>
      <w:r w:rsidRPr="003A09A0">
        <w:rPr>
          <w:rFonts w:ascii="Times New Roman" w:hAnsi="Times New Roman" w:cs="Times New Roman"/>
          <w:iCs/>
          <w:sz w:val="24"/>
          <w:szCs w:val="24"/>
        </w:rPr>
        <w:t xml:space="preserve">, 27 mars 1998), elle considère dans l’arrêt </w:t>
      </w:r>
      <w:r w:rsidRPr="003A09A0">
        <w:rPr>
          <w:rFonts w:ascii="Times New Roman" w:hAnsi="Times New Roman" w:cs="Times New Roman"/>
          <w:i/>
          <w:iCs/>
          <w:sz w:val="24"/>
          <w:szCs w:val="24"/>
        </w:rPr>
        <w:t xml:space="preserve">Konstantin </w:t>
      </w:r>
      <w:proofErr w:type="spellStart"/>
      <w:r w:rsidRPr="003A09A0">
        <w:rPr>
          <w:rFonts w:ascii="Times New Roman" w:hAnsi="Times New Roman" w:cs="Times New Roman"/>
          <w:i/>
          <w:iCs/>
          <w:sz w:val="24"/>
          <w:szCs w:val="24"/>
        </w:rPr>
        <w:t>Markin</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"$$Konstantin Markin (2012)"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w:t>
      </w:r>
      <w:r w:rsidRPr="003A09A0">
        <w:rPr>
          <w:rFonts w:ascii="Times New Roman" w:hAnsi="Times New Roman" w:cs="Times New Roman"/>
          <w:i/>
          <w:iCs/>
          <w:sz w:val="24"/>
          <w:szCs w:val="24"/>
        </w:rPr>
        <w:t>c/ Russie</w:t>
      </w:r>
      <w:r w:rsidRPr="003A09A0">
        <w:rPr>
          <w:rFonts w:ascii="Times New Roman" w:hAnsi="Times New Roman" w:cs="Times New Roman"/>
          <w:iCs/>
          <w:sz w:val="24"/>
          <w:szCs w:val="24"/>
        </w:rPr>
        <w:t xml:space="preserve"> du 22 mars 2012, que les pères, fussent</w:t>
      </w:r>
      <w:r w:rsidRPr="003A09A0">
        <w:rPr>
          <w:rFonts w:ascii="Times New Roman" w:hAnsi="Times New Roman" w:cs="Times New Roman"/>
          <w:iCs/>
          <w:sz w:val="24"/>
          <w:szCs w:val="24"/>
        </w:rPr>
        <w:noBreakHyphen/>
        <w:t xml:space="preserve">ils militaires, ne peuvent être privés de ce droit. Comme la chambre avant elle, la Grande Chambre considère que « les stéréotypes liés au sexe – telle que l’idée que ce sont plutôt les femmes qui s’occupent des enfants et plutôt les hommes qui travaillent pour gagner de l’argent – ne peuvent en soi passer pour constituer une justification suffisante de la différence de traitement en cause. La Cour adopte la même solution dans l’arrêt </w:t>
      </w:r>
      <w:proofErr w:type="spellStart"/>
      <w:r w:rsidRPr="003A09A0">
        <w:rPr>
          <w:rFonts w:ascii="Times New Roman" w:hAnsi="Times New Roman" w:cs="Times New Roman"/>
          <w:i/>
          <w:iCs/>
          <w:sz w:val="24"/>
          <w:szCs w:val="24"/>
        </w:rPr>
        <w:t>Gruba</w:t>
      </w:r>
      <w:proofErr w:type="spellEnd"/>
      <w:r w:rsidRPr="003A09A0">
        <w:rPr>
          <w:rFonts w:ascii="Times New Roman" w:hAnsi="Times New Roman" w:cs="Times New Roman"/>
          <w:i/>
          <w:iCs/>
          <w:sz w:val="24"/>
          <w:szCs w:val="24"/>
        </w:rPr>
        <w:t xml:space="preserve"> et al. </w:t>
      </w:r>
      <w:proofErr w:type="gramStart"/>
      <w:r w:rsidRPr="003A09A0">
        <w:rPr>
          <w:rFonts w:ascii="Times New Roman" w:hAnsi="Times New Roman" w:cs="Times New Roman"/>
          <w:i/>
          <w:iCs/>
          <w:sz w:val="24"/>
          <w:szCs w:val="24"/>
        </w:rPr>
        <w:t>c</w:t>
      </w:r>
      <w:proofErr w:type="gramEnd"/>
      <w:r w:rsidRPr="003A09A0">
        <w:rPr>
          <w:rFonts w:ascii="Times New Roman" w:hAnsi="Times New Roman" w:cs="Times New Roman"/>
          <w:i/>
          <w:iCs/>
          <w:sz w:val="24"/>
          <w:szCs w:val="24"/>
        </w:rPr>
        <w:t>/ Russie</w:t>
      </w:r>
      <w:r w:rsidRPr="003A09A0">
        <w:rPr>
          <w:rFonts w:ascii="Times New Roman" w:hAnsi="Times New Roman" w:cs="Times New Roman"/>
          <w:iCs/>
          <w:sz w:val="24"/>
          <w:szCs w:val="24"/>
        </w:rPr>
        <w:t xml:space="preserve"> du 6 juillet 2021 en condamnant le fait que les policiers ne peuvent bénéficier d’un droit congé parental qu’à certaines conditions tandis que les policières ont droit sans condition à un tel congé. Dans le même sens la Cour condamne la différence de régime d’une rente de veuvage selon que son bénéficiaire est une femme ou un homme ayant élevé seul ses enfants, tant en ce qui concerne ses conditions que sa durée (</w:t>
      </w:r>
      <w:proofErr w:type="spellStart"/>
      <w:r w:rsidRPr="003A09A0">
        <w:rPr>
          <w:rFonts w:ascii="Times New Roman" w:hAnsi="Times New Roman" w:cs="Times New Roman"/>
          <w:bCs/>
          <w:i/>
          <w:iCs/>
          <w:sz w:val="24"/>
          <w:szCs w:val="24"/>
        </w:rPr>
        <w:t>Beeler</w:t>
      </w:r>
      <w:proofErr w:type="spellEnd"/>
      <w:r w:rsidRPr="003A09A0">
        <w:rPr>
          <w:rFonts w:ascii="Times New Roman" w:hAnsi="Times New Roman" w:cs="Times New Roman"/>
          <w:bCs/>
          <w:i/>
          <w:iCs/>
          <w:sz w:val="24"/>
          <w:szCs w:val="24"/>
        </w:rPr>
        <w:t xml:space="preserve"> c/ Suisse</w:t>
      </w:r>
      <w:r w:rsidRPr="003A09A0">
        <w:rPr>
          <w:rFonts w:ascii="Times New Roman" w:hAnsi="Times New Roman" w:cs="Times New Roman"/>
          <w:bCs/>
          <w:iCs/>
          <w:sz w:val="24"/>
          <w:szCs w:val="24"/>
        </w:rPr>
        <w:t xml:space="preserve">, </w:t>
      </w:r>
      <w:r w:rsidRPr="003A09A0">
        <w:rPr>
          <w:rFonts w:ascii="Times New Roman" w:hAnsi="Times New Roman" w:cs="Times New Roman"/>
          <w:bCs/>
          <w:i/>
          <w:iCs/>
          <w:sz w:val="24"/>
          <w:szCs w:val="24"/>
        </w:rPr>
        <w:t xml:space="preserve">Gde ch., </w:t>
      </w:r>
      <w:r w:rsidRPr="003A09A0">
        <w:rPr>
          <w:rFonts w:ascii="Times New Roman" w:hAnsi="Times New Roman" w:cs="Times New Roman"/>
          <w:bCs/>
          <w:iCs/>
          <w:sz w:val="24"/>
          <w:szCs w:val="24"/>
        </w:rPr>
        <w:t>11 oct. 2022</w:t>
      </w:r>
      <w:r w:rsidRPr="003A09A0">
        <w:rPr>
          <w:rFonts w:ascii="Times New Roman" w:hAnsi="Times New Roman" w:cs="Times New Roman"/>
          <w:bCs/>
          <w:i/>
          <w:iCs/>
          <w:sz w:val="24"/>
          <w:szCs w:val="24"/>
        </w:rPr>
        <w:t>)</w:t>
      </w:r>
      <w:r w:rsidRPr="003A09A0">
        <w:rPr>
          <w:rFonts w:ascii="Times New Roman" w:hAnsi="Times New Roman" w:cs="Times New Roman"/>
          <w:bCs/>
          <w:iCs/>
          <w:sz w:val="24"/>
          <w:szCs w:val="24"/>
        </w:rPr>
        <w:t>.</w:t>
      </w:r>
      <w:r w:rsidRPr="003A09A0">
        <w:rPr>
          <w:rFonts w:ascii="Times New Roman" w:hAnsi="Times New Roman" w:cs="Times New Roman"/>
          <w:iCs/>
          <w:sz w:val="24"/>
          <w:szCs w:val="24"/>
        </w:rPr>
        <w:t xml:space="preserve"> </w:t>
      </w:r>
    </w:p>
    <w:p w14:paraId="194E82A6" w14:textId="77777777" w:rsidR="00691772" w:rsidRPr="003A09A0" w:rsidRDefault="00691772" w:rsidP="00691772">
      <w:pPr>
        <w:pStyle w:val="Paragraphedeliste"/>
        <w:jc w:val="both"/>
        <w:rPr>
          <w:rFonts w:ascii="Times New Roman" w:hAnsi="Times New Roman" w:cs="Times New Roman"/>
          <w:b/>
          <w:bCs/>
          <w:iCs/>
          <w:sz w:val="24"/>
          <w:szCs w:val="24"/>
        </w:rPr>
      </w:pPr>
      <w:r w:rsidRPr="003A09A0">
        <w:rPr>
          <w:rFonts w:ascii="Times New Roman" w:hAnsi="Times New Roman" w:cs="Times New Roman"/>
          <w:b/>
          <w:bCs/>
          <w:iCs/>
          <w:sz w:val="24"/>
          <w:szCs w:val="24"/>
        </w:rPr>
        <w:t>C. L'inégalité des couples</w:t>
      </w:r>
    </w:p>
    <w:p w14:paraId="73F6DB44"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Si la jurisprudence récente de la Cour européenne témoigne de la reconnaissance par cette dernière de la pluralité des modes de conjugalité (</w:t>
      </w:r>
      <w:proofErr w:type="spellStart"/>
      <w:r w:rsidRPr="003A09A0">
        <w:rPr>
          <w:rFonts w:ascii="Times New Roman" w:hAnsi="Times New Roman" w:cs="Times New Roman"/>
          <w:iCs/>
          <w:sz w:val="24"/>
          <w:szCs w:val="24"/>
        </w:rPr>
        <w:t>Marckx</w:t>
      </w:r>
      <w:proofErr w:type="spellEnd"/>
      <w:r w:rsidRPr="003A09A0">
        <w:rPr>
          <w:rFonts w:ascii="Times New Roman" w:hAnsi="Times New Roman" w:cs="Times New Roman"/>
          <w:iCs/>
          <w:sz w:val="24"/>
          <w:szCs w:val="24"/>
        </w:rPr>
        <w:t>), le principe d’égalité n’est pas appliqué de manière homogène par la Cour européenne en matière de couple. En effet les différents statuts conjugaux ne sont pas égaux aux yeux du juge européen.</w:t>
      </w:r>
    </w:p>
    <w:p w14:paraId="6046AC0C" w14:textId="77777777" w:rsidR="00691772" w:rsidRPr="003A09A0" w:rsidRDefault="00691772" w:rsidP="00691772">
      <w:pPr>
        <w:jc w:val="both"/>
        <w:rPr>
          <w:rFonts w:ascii="Times New Roman" w:hAnsi="Times New Roman" w:cs="Times New Roman"/>
          <w:b/>
          <w:bCs/>
          <w:iCs/>
          <w:sz w:val="24"/>
          <w:szCs w:val="24"/>
        </w:rPr>
      </w:pPr>
      <w:r w:rsidRPr="003A09A0">
        <w:rPr>
          <w:rFonts w:ascii="Times New Roman" w:hAnsi="Times New Roman" w:cs="Times New Roman"/>
          <w:b/>
          <w:bCs/>
          <w:iCs/>
          <w:sz w:val="24"/>
          <w:szCs w:val="24"/>
        </w:rPr>
        <w:t> </w:t>
      </w:r>
      <w:r w:rsidRPr="003A09A0">
        <w:rPr>
          <w:rFonts w:ascii="Times New Roman" w:hAnsi="Times New Roman" w:cs="Times New Roman"/>
          <w:b/>
          <w:bCs/>
          <w:iCs/>
          <w:sz w:val="24"/>
          <w:szCs w:val="24"/>
        </w:rPr>
        <w:t>1° La hiérarchie des statuts</w:t>
      </w:r>
    </w:p>
    <w:p w14:paraId="12433B61"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La Cour admet la primauté des couples officiels, même si elle considère que certaines différences de traitements sont injustifiées.</w:t>
      </w:r>
    </w:p>
    <w:p w14:paraId="3849A4BF"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Dans l'arrêt </w:t>
      </w:r>
      <w:proofErr w:type="spellStart"/>
      <w:r w:rsidRPr="003A09A0">
        <w:rPr>
          <w:rFonts w:ascii="Times New Roman" w:hAnsi="Times New Roman" w:cs="Times New Roman"/>
          <w:iCs/>
          <w:sz w:val="24"/>
          <w:szCs w:val="24"/>
        </w:rPr>
        <w:t>Burden</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"$$Burden (2008)"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Royaume-Uni du 29 avr. 2008, la Grande Chambre de la Cour a considéré que la différence de traitement concernant les droits de succession est légitimée par la différence </w:t>
      </w:r>
      <w:r w:rsidRPr="003A09A0">
        <w:rPr>
          <w:rFonts w:ascii="Times New Roman" w:hAnsi="Times New Roman" w:cs="Times New Roman"/>
          <w:iCs/>
          <w:sz w:val="24"/>
          <w:szCs w:val="24"/>
        </w:rPr>
        <w:lastRenderedPageBreak/>
        <w:t xml:space="preserve">de situation dans laquelle se trouvent deux sœurs par rapport à celle dans laquelle se trouvent des époux ou des partenaires. La Cour estime que, comme pour le mariage, les conséquences juridiques du partenariat civil dans lequel deux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"Homosexualité"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personnes décident expressément et délibérément de s'engager distinguent ce type de relation des autres formes de vie commune</w:t>
      </w:r>
    </w:p>
    <w:p w14:paraId="7C42092D"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La distinction entre les couples qui ont souscrit un engagement public et les autres a été réaffirmée par la Cour dans l'arrêt </w:t>
      </w:r>
      <w:proofErr w:type="spellStart"/>
      <w:r w:rsidRPr="003A09A0">
        <w:rPr>
          <w:rFonts w:ascii="Times New Roman" w:hAnsi="Times New Roman" w:cs="Times New Roman"/>
          <w:iCs/>
          <w:sz w:val="24"/>
          <w:szCs w:val="24"/>
        </w:rPr>
        <w:t>Serife</w:t>
      </w:r>
      <w:proofErr w:type="spellEnd"/>
      <w:r w:rsidRPr="003A09A0">
        <w:rPr>
          <w:rFonts w:ascii="Times New Roman" w:hAnsi="Times New Roman" w:cs="Times New Roman"/>
          <w:iCs/>
          <w:sz w:val="24"/>
          <w:szCs w:val="24"/>
        </w:rPr>
        <w:t xml:space="preserve"> </w:t>
      </w:r>
      <w:proofErr w:type="spellStart"/>
      <w:r w:rsidRPr="003A09A0">
        <w:rPr>
          <w:rFonts w:ascii="Times New Roman" w:hAnsi="Times New Roman" w:cs="Times New Roman"/>
          <w:iCs/>
          <w:sz w:val="24"/>
          <w:szCs w:val="24"/>
        </w:rPr>
        <w:t>Yigit</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"$$Serife Yigit (2009)"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Turquie du 2 nov. 2010, qui concernait un couple marié religieusement en Turquie, alors que ce type de mariage n'était pas reconnu dans cet État. Le couple étant considéré comme des concubins, la femme se voyait dénier tous droits à la pension de son défunt compagnon. Dans la décision </w:t>
      </w:r>
      <w:proofErr w:type="spellStart"/>
      <w:r w:rsidRPr="003A09A0">
        <w:rPr>
          <w:rFonts w:ascii="Times New Roman" w:hAnsi="Times New Roman" w:cs="Times New Roman"/>
          <w:iCs/>
          <w:sz w:val="24"/>
          <w:szCs w:val="24"/>
        </w:rPr>
        <w:t>Shackell</w:t>
      </w:r>
      <w:proofErr w:type="spellEnd"/>
      <w:r w:rsidRPr="003A09A0">
        <w:rPr>
          <w:rFonts w:ascii="Times New Roman" w:hAnsi="Times New Roman" w:cs="Times New Roman"/>
          <w:iCs/>
          <w:sz w:val="24"/>
          <w:szCs w:val="24"/>
        </w:rPr>
        <w:t xml:space="preserve"> c/ Royaume-Uni du 27 avril 2000, la Cour a déjà décidé que la différence de traitement en matière de prestations sociales entre une femme célibataire ayant vécu une relation durable avec un homme entre-temps décédé, et une veuve placée dans la même situation, est justifiée car le mariage demeure une institution largement reconnue comme conférant un statut particulier à ceux qui s'y engagent. Elle a déclaré que la promotion du mariage par l'octroi d'avantages au conjoint survivant ne pouvait être considérée comme excédant la marge d'appréciation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"Marge d'appréciation"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accordée à l'État </w:t>
      </w:r>
      <w:proofErr w:type="gramStart"/>
      <w:r w:rsidRPr="003A09A0">
        <w:rPr>
          <w:rFonts w:ascii="Times New Roman" w:hAnsi="Times New Roman" w:cs="Times New Roman"/>
          <w:iCs/>
          <w:sz w:val="24"/>
          <w:szCs w:val="24"/>
        </w:rPr>
        <w:t>défendeur..</w:t>
      </w:r>
      <w:proofErr w:type="gramEnd"/>
    </w:p>
    <w:p w14:paraId="0C6702BB"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La Cour européenne affirme dans l'arrêt Schalk et </w:t>
      </w:r>
      <w:proofErr w:type="spellStart"/>
      <w:r w:rsidRPr="003A09A0">
        <w:rPr>
          <w:rFonts w:ascii="Times New Roman" w:hAnsi="Times New Roman" w:cs="Times New Roman"/>
          <w:iCs/>
          <w:sz w:val="24"/>
          <w:szCs w:val="24"/>
        </w:rPr>
        <w:t>Kopf</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"$$Schalk et Kopf (2010)"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c/ Autriche du 24 juin 2010 que lorsqu'un État choisit d'accorder aux couples de même sexe une autre forme de reconnaissance que le mariage, il n'est pas tenu de leur conférer un statut analogue au mariage sur tous les points. </w:t>
      </w:r>
    </w:p>
    <w:p w14:paraId="66E06B51"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La Cour a d’abord considéré dans l'arrêt </w:t>
      </w:r>
      <w:proofErr w:type="spellStart"/>
      <w:r w:rsidRPr="003A09A0">
        <w:rPr>
          <w:rFonts w:ascii="Times New Roman" w:hAnsi="Times New Roman" w:cs="Times New Roman"/>
          <w:iCs/>
          <w:sz w:val="24"/>
          <w:szCs w:val="24"/>
        </w:rPr>
        <w:t>Emonet</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"$$Emonet (2007)"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c/ Suisse du 13 déc. 2007 que la différence de régime entre l'adoption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"Adoption"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l'enfant du conjoint et l'adoption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"Adoption"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l'enfant du concubin - seule cette dernière entraînant la rupture du lien de filiation avec le parent d'origine -, n’était pas justifiée. Elle a ensuite admis une telle différence dans l'arrêt Gas et Dubois</w:t>
      </w:r>
      <w:r>
        <w:rPr>
          <w:rFonts w:ascii="Times New Roman" w:hAnsi="Times New Roman" w:cs="Times New Roman"/>
          <w:iCs/>
          <w:sz w:val="24"/>
          <w:szCs w:val="24"/>
        </w:rPr>
        <w:t xml:space="preserve">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"$$Gas et Dubois (2012)"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c/ France du 15 mars 2012. </w:t>
      </w:r>
    </w:p>
    <w:p w14:paraId="4A81E2C9"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La primauté du mariage n'est cependant pas appliquée à toutes les conséquences de l'union. La Cour européenne a ainsi considéré dans l'arrêt Petrov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"$$Petrov (2008)"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c/ Bulgarie du 22 mai 2008 que l'interdiction faite à un couple de concubins dont l'un des membres était incarcéré d'avoir des contacts téléphoniques dont seuls bénéficiaient les couples mariés constitue une discrimination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"Discrimination"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w:t>
      </w:r>
    </w:p>
    <w:p w14:paraId="73E6031F"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Le fait que les parents aient été mariés ou aient vécu en concubinage ne justifie pas non plus la différence de traitement des pères divorcés et des pères non mariés lorsqu'il s'agit pour eux d'obtenir un droit de visite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 de visite"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à l'égard de l'enfant après la séparation (</w:t>
      </w:r>
      <w:proofErr w:type="spellStart"/>
      <w:r w:rsidRPr="003A09A0">
        <w:rPr>
          <w:rFonts w:ascii="Times New Roman" w:hAnsi="Times New Roman" w:cs="Times New Roman"/>
          <w:iCs/>
          <w:sz w:val="24"/>
          <w:szCs w:val="24"/>
        </w:rPr>
        <w:t>Elsholz</w:t>
      </w:r>
      <w:proofErr w:type="spellEnd"/>
      <w:r w:rsidRPr="003A09A0">
        <w:rPr>
          <w:rFonts w:ascii="Times New Roman" w:hAnsi="Times New Roman" w:cs="Times New Roman"/>
          <w:iCs/>
          <w:sz w:val="24"/>
          <w:szCs w:val="24"/>
        </w:rPr>
        <w:t xml:space="preserve"> c/ Allemagne, 13 juill. 2000 ; </w:t>
      </w:r>
      <w:proofErr w:type="spellStart"/>
      <w:r w:rsidRPr="003A09A0">
        <w:rPr>
          <w:rFonts w:ascii="Times New Roman" w:hAnsi="Times New Roman" w:cs="Times New Roman"/>
          <w:iCs/>
          <w:sz w:val="24"/>
          <w:szCs w:val="24"/>
        </w:rPr>
        <w:t>Sommerfield</w:t>
      </w:r>
      <w:proofErr w:type="spellEnd"/>
      <w:r w:rsidRPr="003A09A0">
        <w:rPr>
          <w:rFonts w:ascii="Times New Roman" w:hAnsi="Times New Roman" w:cs="Times New Roman"/>
          <w:iCs/>
          <w:sz w:val="24"/>
          <w:szCs w:val="24"/>
        </w:rPr>
        <w:t xml:space="preserve"> et Sahin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"$$Sahin (2003)"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"$$Sommerfield et Sahin (2003)"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c/ Allemagne, 8 juill. 2003).</w:t>
      </w:r>
    </w:p>
    <w:p w14:paraId="5A12AEC0" w14:textId="77777777" w:rsidR="00691772"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La Cour a également considéré comme étant discriminatoire, dans l'arrêt PB et JS c/ Autriche du 22 juill. 2010, l'impossibilité pour un fonctionnaire de faire bénéficier son compagnon de son assurance-maladie et accident. La discrimination</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"Discrimination"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était cependant, dans ce cas, moins fondée sur la nature du couple, que sur le caractère homosexuel de la relation en cause, puisque la législation prévoyait l'extension de l'assurance-maladie au concubin hétérosexuel. </w:t>
      </w:r>
    </w:p>
    <w:p w14:paraId="19C6EA92" w14:textId="77777777" w:rsidR="00691772" w:rsidRPr="003A09A0" w:rsidRDefault="00691772" w:rsidP="00691772">
      <w:pPr>
        <w:jc w:val="both"/>
        <w:rPr>
          <w:rFonts w:ascii="Times New Roman" w:hAnsi="Times New Roman" w:cs="Times New Roman"/>
          <w:iCs/>
          <w:sz w:val="24"/>
          <w:szCs w:val="24"/>
        </w:rPr>
      </w:pPr>
    </w:p>
    <w:p w14:paraId="7F21AF50"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Par ailleurs, au regard de l'importance conféré par le raisonnement de la Cour à l'engagement public du couple, il semble que la primauté du mariage pourrait être rejetée par la Cour européenne lorsqu'il s'agit de partenaires enregistrés pour certaines prestations ou pensions. Une telle solution viendrait corroborer la position de la Cour de justice de l’Union européenne selon laquelle il incombe au juge, au nom du principe de l'égalité de traitement</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"Égalité :de traitement"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de vérifier si un </w:t>
      </w:r>
      <w:r w:rsidRPr="003A09A0">
        <w:rPr>
          <w:rFonts w:ascii="Times New Roman" w:hAnsi="Times New Roman" w:cs="Times New Roman"/>
          <w:iCs/>
          <w:sz w:val="24"/>
          <w:szCs w:val="24"/>
        </w:rPr>
        <w:lastRenderedPageBreak/>
        <w:t xml:space="preserve">partenaire survivant est dans une situation comparable à celle d'époux bénéficiant d'une pension de réversion (CJUE, 2 avr. 2008, </w:t>
      </w:r>
      <w:proofErr w:type="spellStart"/>
      <w:r w:rsidRPr="003A09A0">
        <w:rPr>
          <w:rFonts w:ascii="Times New Roman" w:hAnsi="Times New Roman" w:cs="Times New Roman"/>
          <w:iCs/>
          <w:sz w:val="24"/>
          <w:szCs w:val="24"/>
        </w:rPr>
        <w:t>aff.</w:t>
      </w:r>
      <w:proofErr w:type="spellEnd"/>
      <w:r w:rsidRPr="003A09A0">
        <w:rPr>
          <w:rFonts w:ascii="Times New Roman" w:hAnsi="Times New Roman" w:cs="Times New Roman"/>
          <w:iCs/>
          <w:sz w:val="24"/>
          <w:szCs w:val="24"/>
        </w:rPr>
        <w:t xml:space="preserve"> </w:t>
      </w:r>
      <w:r w:rsidRPr="003A09A0">
        <w:rPr>
          <w:rFonts w:ascii="Times New Roman" w:hAnsi="Times New Roman" w:cs="Times New Roman"/>
          <w:iCs/>
          <w:sz w:val="24"/>
          <w:szCs w:val="24"/>
          <w:lang w:val="en-US"/>
        </w:rPr>
        <w:t xml:space="preserve">C-267/06, Maruko c/ </w:t>
      </w:r>
      <w:proofErr w:type="spellStart"/>
      <w:r w:rsidRPr="003A09A0">
        <w:rPr>
          <w:rFonts w:ascii="Times New Roman" w:hAnsi="Times New Roman" w:cs="Times New Roman"/>
          <w:iCs/>
          <w:sz w:val="24"/>
          <w:szCs w:val="24"/>
          <w:lang w:val="en-US"/>
        </w:rPr>
        <w:t>Versogungsanstalt</w:t>
      </w:r>
      <w:proofErr w:type="spellEnd"/>
      <w:r w:rsidRPr="003A09A0">
        <w:rPr>
          <w:rFonts w:ascii="Times New Roman" w:hAnsi="Times New Roman" w:cs="Times New Roman"/>
          <w:iCs/>
          <w:sz w:val="24"/>
          <w:szCs w:val="24"/>
          <w:lang w:val="en-US"/>
        </w:rPr>
        <w:t xml:space="preserve"> der </w:t>
      </w:r>
      <w:proofErr w:type="spellStart"/>
      <w:r w:rsidRPr="003A09A0">
        <w:rPr>
          <w:rFonts w:ascii="Times New Roman" w:hAnsi="Times New Roman" w:cs="Times New Roman"/>
          <w:iCs/>
          <w:sz w:val="24"/>
          <w:szCs w:val="24"/>
          <w:lang w:val="en-US"/>
        </w:rPr>
        <w:t>deutschen</w:t>
      </w:r>
      <w:proofErr w:type="spellEnd"/>
      <w:r w:rsidRPr="003A09A0">
        <w:rPr>
          <w:rFonts w:ascii="Times New Roman" w:hAnsi="Times New Roman" w:cs="Times New Roman"/>
          <w:iCs/>
          <w:sz w:val="24"/>
          <w:szCs w:val="24"/>
          <w:lang w:val="en-US"/>
        </w:rPr>
        <w:t xml:space="preserve"> </w:t>
      </w:r>
      <w:proofErr w:type="spellStart"/>
      <w:r w:rsidRPr="003A09A0">
        <w:rPr>
          <w:rFonts w:ascii="Times New Roman" w:hAnsi="Times New Roman" w:cs="Times New Roman"/>
          <w:iCs/>
          <w:sz w:val="24"/>
          <w:szCs w:val="24"/>
          <w:lang w:val="en-US"/>
        </w:rPr>
        <w:t>Bühnen</w:t>
      </w:r>
      <w:proofErr w:type="spellEnd"/>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lang w:val="en-US"/>
        </w:rPr>
        <w:instrText xml:space="preserve"> XE "&amp;&amp;Maruko c/ Versogungsanstalt der deutschen Bühnen (2008)"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lang w:val="en-US"/>
        </w:rPr>
        <w:t xml:space="preserve">, Dr. fam., 2008, no 92, obs. </w:t>
      </w:r>
      <w:r w:rsidRPr="003A09A0">
        <w:rPr>
          <w:rFonts w:ascii="Times New Roman" w:hAnsi="Times New Roman" w:cs="Times New Roman"/>
          <w:iCs/>
          <w:sz w:val="24"/>
          <w:szCs w:val="24"/>
        </w:rPr>
        <w:t>A. Devers).</w:t>
      </w:r>
    </w:p>
    <w:p w14:paraId="4A4F8CD1" w14:textId="77777777" w:rsidR="00691772" w:rsidRPr="003A09A0" w:rsidRDefault="00691772" w:rsidP="00691772">
      <w:pPr>
        <w:jc w:val="both"/>
        <w:rPr>
          <w:rFonts w:ascii="Times New Roman" w:hAnsi="Times New Roman" w:cs="Times New Roman"/>
          <w:b/>
          <w:bCs/>
          <w:iCs/>
          <w:sz w:val="24"/>
          <w:szCs w:val="24"/>
        </w:rPr>
      </w:pPr>
      <w:r w:rsidRPr="003A09A0">
        <w:rPr>
          <w:rFonts w:ascii="Times New Roman" w:hAnsi="Times New Roman" w:cs="Times New Roman"/>
          <w:b/>
          <w:bCs/>
          <w:iCs/>
          <w:sz w:val="24"/>
          <w:szCs w:val="24"/>
        </w:rPr>
        <w:t>2°</w:t>
      </w:r>
      <w:r w:rsidRPr="003A09A0">
        <w:rPr>
          <w:rFonts w:ascii="Times New Roman" w:hAnsi="Times New Roman" w:cs="Times New Roman"/>
          <w:b/>
          <w:bCs/>
          <w:iCs/>
          <w:sz w:val="24"/>
          <w:szCs w:val="24"/>
        </w:rPr>
        <w:t> </w:t>
      </w:r>
      <w:r w:rsidRPr="003A09A0">
        <w:rPr>
          <w:rFonts w:ascii="Times New Roman" w:hAnsi="Times New Roman" w:cs="Times New Roman"/>
          <w:b/>
          <w:bCs/>
          <w:iCs/>
          <w:sz w:val="24"/>
          <w:szCs w:val="24"/>
        </w:rPr>
        <w:t>Les discriminations fondées sur le sexe</w:t>
      </w:r>
    </w:p>
    <w:p w14:paraId="68DA1866" w14:textId="77777777" w:rsidR="00691772" w:rsidRPr="003A09A0" w:rsidRDefault="00691772" w:rsidP="00691772">
      <w:pPr>
        <w:jc w:val="both"/>
        <w:rPr>
          <w:rFonts w:ascii="Times New Roman" w:hAnsi="Times New Roman" w:cs="Times New Roman"/>
          <w:sz w:val="24"/>
          <w:szCs w:val="24"/>
        </w:rPr>
      </w:pPr>
      <w:r w:rsidRPr="003A09A0">
        <w:rPr>
          <w:rFonts w:ascii="Times New Roman" w:hAnsi="Times New Roman" w:cs="Times New Roman"/>
          <w:iCs/>
          <w:sz w:val="24"/>
          <w:szCs w:val="24"/>
        </w:rPr>
        <w:t>La Cour européenne condamne sur le fondement du droit au respect de la vie privée et familiale de l’article 8, les atteintes à l'égalité des droits des époux en matière de nom (</w:t>
      </w:r>
      <w:proofErr w:type="spellStart"/>
      <w:r w:rsidRPr="003A09A0">
        <w:rPr>
          <w:rFonts w:ascii="Times New Roman" w:hAnsi="Times New Roman" w:cs="Times New Roman"/>
          <w:iCs/>
          <w:sz w:val="24"/>
          <w:szCs w:val="24"/>
        </w:rPr>
        <w:t>Burghartz</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"$$Burghartz (1994)"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c</w:t>
      </w:r>
      <w:proofErr w:type="spellEnd"/>
      <w:r w:rsidRPr="003A09A0">
        <w:rPr>
          <w:rFonts w:ascii="Times New Roman" w:hAnsi="Times New Roman" w:cs="Times New Roman"/>
          <w:iCs/>
          <w:sz w:val="24"/>
          <w:szCs w:val="24"/>
        </w:rPr>
        <w:t xml:space="preserve">/ Suisse, 22 févr. 1994, </w:t>
      </w:r>
      <w:proofErr w:type="spellStart"/>
      <w:r w:rsidRPr="003A09A0">
        <w:rPr>
          <w:rFonts w:ascii="Times New Roman" w:hAnsi="Times New Roman" w:cs="Times New Roman"/>
          <w:iCs/>
          <w:sz w:val="24"/>
          <w:szCs w:val="24"/>
        </w:rPr>
        <w:t>Ünal</w:t>
      </w:r>
      <w:proofErr w:type="spellEnd"/>
      <w:r w:rsidRPr="003A09A0">
        <w:rPr>
          <w:rFonts w:ascii="Times New Roman" w:hAnsi="Times New Roman" w:cs="Times New Roman"/>
          <w:iCs/>
          <w:sz w:val="24"/>
          <w:szCs w:val="24"/>
        </w:rPr>
        <w:t xml:space="preserve"> Tekeli </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"$$Unal Tekeli (2004)"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c/ Turquie, 16 nov. 2004 ; </w:t>
      </w:r>
      <w:proofErr w:type="spellStart"/>
      <w:r w:rsidRPr="003A09A0">
        <w:rPr>
          <w:rFonts w:ascii="Times New Roman" w:hAnsi="Times New Roman" w:cs="Times New Roman"/>
          <w:iCs/>
          <w:sz w:val="24"/>
          <w:szCs w:val="24"/>
        </w:rPr>
        <w:t>Losonci</w:t>
      </w:r>
      <w:proofErr w:type="spellEnd"/>
      <w:r w:rsidRPr="003A09A0">
        <w:rPr>
          <w:rFonts w:ascii="Times New Roman" w:hAnsi="Times New Roman" w:cs="Times New Roman"/>
          <w:iCs/>
          <w:sz w:val="24"/>
          <w:szCs w:val="24"/>
        </w:rPr>
        <w:t xml:space="preserve"> Rose et Rose c/ Suisse 9 nov. 2010) mais aussi dans l'exercice de leurs droits parentaux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"Droits parentaux"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(Hoffman). </w:t>
      </w:r>
    </w:p>
    <w:p w14:paraId="11E6DF2B" w14:textId="77777777" w:rsidR="00691772" w:rsidRPr="003A09A0"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 xml:space="preserve">L’affaire </w:t>
      </w:r>
      <w:r w:rsidRPr="003A09A0">
        <w:rPr>
          <w:rFonts w:ascii="Times New Roman" w:hAnsi="Times New Roman" w:cs="Times New Roman"/>
          <w:bCs/>
          <w:sz w:val="24"/>
          <w:szCs w:val="24"/>
        </w:rPr>
        <w:t>León Madrid c/ Espagne du 26 oct. 2021,</w:t>
      </w:r>
      <w:r w:rsidRPr="003A09A0">
        <w:rPr>
          <w:rFonts w:ascii="Times New Roman" w:hAnsi="Times New Roman" w:cs="Times New Roman"/>
          <w:iCs/>
          <w:sz w:val="24"/>
          <w:szCs w:val="24"/>
        </w:rPr>
        <w:t xml:space="preserve"> confrontait la Cour à la règle consistant à accoler le nom du père suivi du nom de la mère. Dans une telle situation, le droit français fait désormais triompher l’ordre alphabétique (art. 311-21, al. 1 in fine du Code civil). La Cour reste insensible à la démonstration et répète sa jurisprudence en matière de nom de famille. La priorité masculine en matière de nom de famille (de la femme mariée ou de l’enfant commun) « peut se révéler nécessaire en pratique et n’est pas forcément en contradiction avec la Convention, [mais] l’impossibilité d’y déroger est excessivement rigide et discriminatoire envers les femmes » (</w:t>
      </w:r>
      <w:proofErr w:type="spellStart"/>
      <w:r w:rsidRPr="003A09A0">
        <w:rPr>
          <w:rFonts w:ascii="Times New Roman" w:hAnsi="Times New Roman" w:cs="Times New Roman"/>
          <w:iCs/>
          <w:sz w:val="24"/>
          <w:szCs w:val="24"/>
        </w:rPr>
        <w:t>Cusan</w:t>
      </w:r>
      <w:proofErr w:type="spellEnd"/>
      <w:r w:rsidRPr="003A09A0">
        <w:rPr>
          <w:rFonts w:ascii="Times New Roman" w:hAnsi="Times New Roman" w:cs="Times New Roman"/>
          <w:iCs/>
          <w:sz w:val="24"/>
          <w:szCs w:val="24"/>
        </w:rPr>
        <w:t xml:space="preserve"> et </w:t>
      </w:r>
      <w:proofErr w:type="spellStart"/>
      <w:r w:rsidRPr="003A09A0">
        <w:rPr>
          <w:rFonts w:ascii="Times New Roman" w:hAnsi="Times New Roman" w:cs="Times New Roman"/>
          <w:iCs/>
          <w:sz w:val="24"/>
          <w:szCs w:val="24"/>
        </w:rPr>
        <w:t>Fazzo</w:t>
      </w:r>
      <w:proofErr w:type="spellEnd"/>
      <w:r w:rsidRPr="003A09A0">
        <w:rPr>
          <w:rFonts w:ascii="Times New Roman" w:hAnsi="Times New Roman" w:cs="Times New Roman"/>
          <w:iCs/>
          <w:sz w:val="24"/>
          <w:szCs w:val="24"/>
        </w:rPr>
        <w:t xml:space="preserve"> c Italie, 7 janvier 2014</w:t>
      </w:r>
    </w:p>
    <w:p w14:paraId="610C2D7D" w14:textId="77777777" w:rsidR="00691772" w:rsidRDefault="00691772" w:rsidP="00691772">
      <w:pPr>
        <w:jc w:val="both"/>
        <w:rPr>
          <w:rFonts w:ascii="Times New Roman" w:hAnsi="Times New Roman" w:cs="Times New Roman"/>
          <w:iCs/>
          <w:sz w:val="24"/>
          <w:szCs w:val="24"/>
        </w:rPr>
      </w:pPr>
      <w:r w:rsidRPr="003A09A0">
        <w:rPr>
          <w:rFonts w:ascii="Times New Roman" w:hAnsi="Times New Roman" w:cs="Times New Roman"/>
          <w:iCs/>
          <w:sz w:val="24"/>
          <w:szCs w:val="24"/>
        </w:rPr>
        <w:t>Par ailleurs, la Cour EDH se fonde également sur l'article 5 du Protocole 7 du 22 novembre 1984 selon lequel « les époux, jouissent de l'égalité de droits et de responsabilités de caractère civil entre eux et dans leurs relations avec leurs enfants au regard du mariage, durant le mariage et lors de sa dissolution » pour  refuser de faire produire des effets à la rupture du mariage lorsque les modalités de celle-ci étaient incompatibles avec l'égalité des époux</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"Égalité :des époux"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"Époux :égalité des"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 D. c/ France</w:t>
      </w:r>
      <w:r w:rsidRPr="003A09A0">
        <w:rPr>
          <w:rFonts w:ascii="Times New Roman" w:hAnsi="Times New Roman" w:cs="Times New Roman"/>
          <w:iCs/>
          <w:sz w:val="24"/>
          <w:szCs w:val="24"/>
        </w:rPr>
        <w:fldChar w:fldCharType="begin"/>
      </w:r>
      <w:r w:rsidRPr="003A09A0">
        <w:rPr>
          <w:rFonts w:ascii="Times New Roman" w:hAnsi="Times New Roman" w:cs="Times New Roman"/>
          <w:iCs/>
          <w:sz w:val="24"/>
          <w:szCs w:val="24"/>
        </w:rPr>
        <w:instrText xml:space="preserve"> XE "$$D. D. c/ France (2005)" </w:instrText>
      </w:r>
      <w:r w:rsidRPr="003A09A0">
        <w:rPr>
          <w:rFonts w:ascii="Times New Roman" w:hAnsi="Times New Roman" w:cs="Times New Roman"/>
          <w:iCs/>
          <w:sz w:val="24"/>
          <w:szCs w:val="24"/>
        </w:rPr>
        <w:fldChar w:fldCharType="end"/>
      </w:r>
      <w:r w:rsidRPr="003A09A0">
        <w:rPr>
          <w:rFonts w:ascii="Times New Roman" w:hAnsi="Times New Roman" w:cs="Times New Roman"/>
          <w:iCs/>
          <w:sz w:val="24"/>
          <w:szCs w:val="24"/>
        </w:rPr>
        <w:t xml:space="preserve"> du 8 nov. 2005).</w:t>
      </w:r>
    </w:p>
    <w:p w14:paraId="2B3A0F72" w14:textId="77777777" w:rsidR="00691772" w:rsidRPr="00AC71EA" w:rsidRDefault="00691772" w:rsidP="00691772">
      <w:pPr>
        <w:jc w:val="both"/>
        <w:rPr>
          <w:rFonts w:ascii="Times New Roman" w:hAnsi="Times New Roman" w:cs="Times New Roman"/>
          <w:iCs/>
          <w:sz w:val="24"/>
          <w:szCs w:val="24"/>
        </w:rPr>
      </w:pPr>
      <w:r w:rsidRPr="00AC71EA">
        <w:rPr>
          <w:rFonts w:ascii="Times New Roman" w:hAnsi="Times New Roman" w:cs="Times New Roman"/>
          <w:iCs/>
          <w:sz w:val="24"/>
          <w:szCs w:val="24"/>
        </w:rPr>
        <w:t>Le délai de viduité imposée seulement aux femmes constitue en outre une violation de l’égalité entre les sexes qui « reflète une vision traditionnelle de la sexualité féminine – essentiellement liée aux fonctions reproductrices de la femme » (</w:t>
      </w:r>
      <w:proofErr w:type="spellStart"/>
      <w:r w:rsidRPr="00AC71EA">
        <w:rPr>
          <w:rFonts w:ascii="Times New Roman" w:hAnsi="Times New Roman" w:cs="Times New Roman"/>
          <w:bCs/>
          <w:i/>
          <w:iCs/>
          <w:sz w:val="24"/>
          <w:szCs w:val="24"/>
        </w:rPr>
        <w:t>Nurcan</w:t>
      </w:r>
      <w:proofErr w:type="spellEnd"/>
      <w:r w:rsidRPr="00AC71EA">
        <w:rPr>
          <w:rFonts w:ascii="Times New Roman" w:hAnsi="Times New Roman" w:cs="Times New Roman"/>
          <w:bCs/>
          <w:i/>
          <w:iCs/>
          <w:sz w:val="24"/>
          <w:szCs w:val="24"/>
        </w:rPr>
        <w:t xml:space="preserve"> </w:t>
      </w:r>
      <w:proofErr w:type="spellStart"/>
      <w:r w:rsidRPr="00AC71EA">
        <w:rPr>
          <w:rFonts w:ascii="Times New Roman" w:hAnsi="Times New Roman" w:cs="Times New Roman"/>
          <w:bCs/>
          <w:i/>
          <w:iCs/>
          <w:sz w:val="24"/>
          <w:szCs w:val="24"/>
        </w:rPr>
        <w:t>Bayraktar</w:t>
      </w:r>
      <w:proofErr w:type="spellEnd"/>
      <w:r w:rsidRPr="00AC71EA">
        <w:rPr>
          <w:rFonts w:ascii="Times New Roman" w:hAnsi="Times New Roman" w:cs="Times New Roman"/>
          <w:bCs/>
          <w:i/>
          <w:iCs/>
          <w:sz w:val="24"/>
          <w:szCs w:val="24"/>
        </w:rPr>
        <w:t xml:space="preserve"> c/ Turquie, </w:t>
      </w:r>
      <w:r w:rsidRPr="00AC71EA">
        <w:rPr>
          <w:rFonts w:ascii="Times New Roman" w:hAnsi="Times New Roman" w:cs="Times New Roman"/>
          <w:bCs/>
          <w:iCs/>
          <w:sz w:val="24"/>
          <w:szCs w:val="24"/>
        </w:rPr>
        <w:t>27 juin 2023</w:t>
      </w:r>
      <w:r>
        <w:rPr>
          <w:rFonts w:ascii="Times New Roman" w:hAnsi="Times New Roman" w:cs="Times New Roman"/>
          <w:bCs/>
          <w:iCs/>
          <w:sz w:val="24"/>
          <w:szCs w:val="24"/>
        </w:rPr>
        <w:t>).</w:t>
      </w:r>
    </w:p>
    <w:p w14:paraId="6D6F45A1" w14:textId="77777777" w:rsidR="00987196" w:rsidRDefault="00987196"/>
    <w:sectPr w:rsidR="00987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72"/>
    <w:rsid w:val="001C1C78"/>
    <w:rsid w:val="001F5E21"/>
    <w:rsid w:val="00691772"/>
    <w:rsid w:val="00987196"/>
    <w:rsid w:val="009E69F4"/>
    <w:rsid w:val="00C26CDC"/>
    <w:rsid w:val="00F65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004E"/>
  <w15:chartTrackingRefBased/>
  <w15:docId w15:val="{C88DFEC9-C567-435F-ADBA-21F76218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72"/>
    <w:rPr>
      <w:kern w:val="0"/>
      <w14:ligatures w14:val="none"/>
    </w:rPr>
  </w:style>
  <w:style w:type="paragraph" w:styleId="Titre1">
    <w:name w:val="heading 1"/>
    <w:basedOn w:val="Normal"/>
    <w:next w:val="Normal"/>
    <w:link w:val="Titre1Car"/>
    <w:uiPriority w:val="9"/>
    <w:qFormat/>
    <w:rsid w:val="0069177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69177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69177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69177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69177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69177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691772"/>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691772"/>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691772"/>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17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17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17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17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17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17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17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17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1772"/>
    <w:rPr>
      <w:rFonts w:eastAsiaTheme="majorEastAsia" w:cstheme="majorBidi"/>
      <w:color w:val="272727" w:themeColor="text1" w:themeTint="D8"/>
    </w:rPr>
  </w:style>
  <w:style w:type="paragraph" w:styleId="Titre">
    <w:name w:val="Title"/>
    <w:basedOn w:val="Normal"/>
    <w:next w:val="Normal"/>
    <w:link w:val="TitreCar"/>
    <w:uiPriority w:val="10"/>
    <w:qFormat/>
    <w:rsid w:val="006917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6917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177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6917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1772"/>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691772"/>
    <w:rPr>
      <w:i/>
      <w:iCs/>
      <w:color w:val="404040" w:themeColor="text1" w:themeTint="BF"/>
    </w:rPr>
  </w:style>
  <w:style w:type="paragraph" w:styleId="Paragraphedeliste">
    <w:name w:val="List Paragraph"/>
    <w:basedOn w:val="Normal"/>
    <w:uiPriority w:val="34"/>
    <w:qFormat/>
    <w:rsid w:val="00691772"/>
    <w:pPr>
      <w:ind w:left="720"/>
      <w:contextualSpacing/>
    </w:pPr>
    <w:rPr>
      <w:kern w:val="2"/>
      <w14:ligatures w14:val="standardContextual"/>
    </w:rPr>
  </w:style>
  <w:style w:type="character" w:styleId="Accentuationintense">
    <w:name w:val="Intense Emphasis"/>
    <w:basedOn w:val="Policepardfaut"/>
    <w:uiPriority w:val="21"/>
    <w:qFormat/>
    <w:rsid w:val="00691772"/>
    <w:rPr>
      <w:i/>
      <w:iCs/>
      <w:color w:val="0F4761" w:themeColor="accent1" w:themeShade="BF"/>
    </w:rPr>
  </w:style>
  <w:style w:type="paragraph" w:styleId="Citationintense">
    <w:name w:val="Intense Quote"/>
    <w:basedOn w:val="Normal"/>
    <w:next w:val="Normal"/>
    <w:link w:val="CitationintenseCar"/>
    <w:uiPriority w:val="30"/>
    <w:qFormat/>
    <w:rsid w:val="0069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691772"/>
    <w:rPr>
      <w:i/>
      <w:iCs/>
      <w:color w:val="0F4761" w:themeColor="accent1" w:themeShade="BF"/>
    </w:rPr>
  </w:style>
  <w:style w:type="character" w:styleId="Rfrenceintense">
    <w:name w:val="Intense Reference"/>
    <w:basedOn w:val="Policepardfaut"/>
    <w:uiPriority w:val="32"/>
    <w:qFormat/>
    <w:rsid w:val="00691772"/>
    <w:rPr>
      <w:b/>
      <w:bCs/>
      <w:smallCaps/>
      <w:color w:val="0F4761" w:themeColor="accent1" w:themeShade="BF"/>
      <w:spacing w:val="5"/>
    </w:rPr>
  </w:style>
  <w:style w:type="paragraph" w:customStyle="1" w:styleId="Inter3">
    <w:name w:val="Inter_3"/>
    <w:basedOn w:val="Normal"/>
    <w:next w:val="Normal"/>
    <w:qFormat/>
    <w:rsid w:val="00691772"/>
    <w:pPr>
      <w:spacing w:before="120" w:after="60" w:line="240" w:lineRule="auto"/>
      <w:ind w:left="1701"/>
      <w:outlineLvl w:val="8"/>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2910</Words>
  <Characters>16008</Characters>
  <Application>Microsoft Office Word</Application>
  <DocSecurity>0</DocSecurity>
  <Lines>133</Lines>
  <Paragraphs>37</Paragraphs>
  <ScaleCrop>false</ScaleCrop>
  <Company>Universite de Bordeaux</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2</cp:revision>
  <dcterms:created xsi:type="dcterms:W3CDTF">2025-11-27T18:17:00Z</dcterms:created>
  <dcterms:modified xsi:type="dcterms:W3CDTF">2025-11-27T18:19:00Z</dcterms:modified>
</cp:coreProperties>
</file>