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EB" w:rsidRDefault="00090DEB" w:rsidP="00090DEB">
      <w:r>
        <w:rPr>
          <w:noProof/>
        </w:rPr>
        <w:drawing>
          <wp:anchor distT="0" distB="0" distL="114300" distR="114300" simplePos="0" relativeHeight="251659264" behindDoc="0" locked="0" layoutInCell="1" allowOverlap="1" wp14:anchorId="234A2786" wp14:editId="6EDB0BE1">
            <wp:simplePos x="0" y="0"/>
            <wp:positionH relativeFrom="column">
              <wp:posOffset>86360</wp:posOffset>
            </wp:positionH>
            <wp:positionV relativeFrom="paragraph">
              <wp:posOffset>-685800</wp:posOffset>
            </wp:positionV>
            <wp:extent cx="2171700" cy="867410"/>
            <wp:effectExtent l="0" t="0" r="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DEB" w:rsidRDefault="00090DEB" w:rsidP="00090DEB"/>
    <w:p w:rsidR="00090DEB" w:rsidRDefault="00090DEB" w:rsidP="00090DEB">
      <w:pPr>
        <w:jc w:val="center"/>
      </w:pPr>
    </w:p>
    <w:p w:rsidR="00090DEB" w:rsidRDefault="00090DEB" w:rsidP="00090DEB"/>
    <w:p w:rsidR="00090DEB" w:rsidRDefault="00090DEB" w:rsidP="00090DEB">
      <w:pPr>
        <w:jc w:val="center"/>
      </w:pPr>
    </w:p>
    <w:tbl>
      <w:tblPr>
        <w:tblpPr w:leftFromText="187" w:rightFromText="187" w:vertAnchor="page" w:horzAnchor="page" w:tblpYSpec="top"/>
        <w:tblW w:w="0" w:type="auto"/>
        <w:tblLook w:val="04A0" w:firstRow="1" w:lastRow="0" w:firstColumn="1" w:lastColumn="0" w:noHBand="0" w:noVBand="1"/>
      </w:tblPr>
      <w:tblGrid>
        <w:gridCol w:w="1327"/>
        <w:gridCol w:w="6340"/>
      </w:tblGrid>
      <w:tr w:rsidR="00090DEB" w:rsidTr="007730E2">
        <w:trPr>
          <w:trHeight w:val="1796"/>
        </w:trPr>
        <w:tc>
          <w:tcPr>
            <w:tcW w:w="1327" w:type="dxa"/>
            <w:tcBorders>
              <w:right w:val="single" w:sz="4" w:space="0" w:color="FFFFFF"/>
            </w:tcBorders>
            <w:shd w:val="clear" w:color="auto" w:fill="943634"/>
          </w:tcPr>
          <w:p w:rsidR="00090DEB" w:rsidRPr="0061576E" w:rsidRDefault="00090DEB" w:rsidP="007730E2"/>
        </w:tc>
        <w:tc>
          <w:tcPr>
            <w:tcW w:w="6340" w:type="dxa"/>
            <w:tcBorders>
              <w:left w:val="single" w:sz="4" w:space="0" w:color="FFFFFF"/>
            </w:tcBorders>
            <w:shd w:val="clear" w:color="auto" w:fill="943634"/>
            <w:vAlign w:val="bottom"/>
          </w:tcPr>
          <w:p w:rsidR="00090DEB" w:rsidRDefault="00090DEB" w:rsidP="00090DEB">
            <w:pPr>
              <w:pStyle w:val="Sansinterligne"/>
              <w:rPr>
                <w:rFonts w:ascii="Calibri" w:hAnsi="Calibri"/>
                <w:b/>
                <w:bCs/>
                <w:color w:val="FFFFFF"/>
                <w:sz w:val="72"/>
                <w:szCs w:val="72"/>
              </w:rPr>
            </w:pPr>
            <w:r>
              <w:rPr>
                <w:rFonts w:ascii="Calibri" w:hAnsi="Calibri"/>
                <w:b/>
                <w:bCs/>
                <w:color w:val="FFFFFF"/>
                <w:sz w:val="72"/>
                <w:szCs w:val="72"/>
              </w:rPr>
              <w:t>Droit des propriétés</w:t>
            </w:r>
          </w:p>
          <w:p w:rsidR="00090DEB" w:rsidRDefault="00090DEB" w:rsidP="00090DEB">
            <w:pPr>
              <w:pStyle w:val="Sansinterligne"/>
              <w:rPr>
                <w:rFonts w:ascii="Calibri" w:hAnsi="Calibri"/>
                <w:b/>
                <w:bCs/>
                <w:color w:val="FFFFFF"/>
                <w:sz w:val="72"/>
                <w:szCs w:val="72"/>
              </w:rPr>
            </w:pPr>
            <w:r>
              <w:rPr>
                <w:rFonts w:ascii="Calibri" w:hAnsi="Calibri"/>
                <w:b/>
                <w:bCs/>
                <w:color w:val="FFFFFF"/>
                <w:sz w:val="72"/>
                <w:szCs w:val="72"/>
              </w:rPr>
              <w:t>publiques</w:t>
            </w:r>
          </w:p>
        </w:tc>
      </w:tr>
    </w:tbl>
    <w:p w:rsidR="00090DEB" w:rsidRDefault="00090DEB" w:rsidP="00090DEB">
      <w:pPr>
        <w:pStyle w:val="Sansinterligne1"/>
        <w:rPr>
          <w:rFonts w:ascii="Times New Roman" w:hAnsi="Times New Roman"/>
          <w:sz w:val="24"/>
          <w:szCs w:val="24"/>
        </w:rPr>
      </w:pPr>
    </w:p>
    <w:p w:rsidR="00090DEB" w:rsidRDefault="00090DEB" w:rsidP="00090DEB">
      <w:pPr>
        <w:pStyle w:val="Sansinterligne1"/>
        <w:rPr>
          <w:rFonts w:ascii="Times New Roman" w:hAnsi="Times New Roman"/>
          <w:sz w:val="24"/>
          <w:szCs w:val="24"/>
        </w:rPr>
      </w:pPr>
    </w:p>
    <w:p w:rsidR="00090DEB" w:rsidRPr="00E92C2E" w:rsidRDefault="00090DEB" w:rsidP="00090DEB">
      <w:pPr>
        <w:pStyle w:val="Sansinterligne1"/>
        <w:rPr>
          <w:rFonts w:ascii="Times New Roman" w:hAnsi="Times New Roman"/>
          <w:sz w:val="26"/>
          <w:szCs w:val="26"/>
        </w:rPr>
      </w:pPr>
      <w:r>
        <w:rPr>
          <w:rFonts w:ascii="Times New Roman" w:hAnsi="Times New Roman"/>
          <w:sz w:val="26"/>
          <w:szCs w:val="26"/>
        </w:rPr>
        <w:t>Master 1 -</w:t>
      </w:r>
      <w:r w:rsidRPr="00E92C2E">
        <w:rPr>
          <w:rFonts w:ascii="Times New Roman" w:hAnsi="Times New Roman"/>
          <w:sz w:val="26"/>
          <w:szCs w:val="26"/>
        </w:rPr>
        <w:t xml:space="preserve"> Droit  </w:t>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p>
    <w:p w:rsidR="00090DEB" w:rsidRPr="00E92C2E" w:rsidRDefault="00090DEB" w:rsidP="00090DEB">
      <w:pPr>
        <w:pStyle w:val="Sansinterligne1"/>
        <w:rPr>
          <w:rFonts w:ascii="Times New Roman" w:hAnsi="Times New Roman"/>
          <w:sz w:val="26"/>
          <w:szCs w:val="26"/>
        </w:rPr>
      </w:pPr>
      <w:r>
        <w:rPr>
          <w:rFonts w:ascii="Times New Roman" w:hAnsi="Times New Roman"/>
          <w:sz w:val="26"/>
          <w:szCs w:val="26"/>
        </w:rPr>
        <w:t xml:space="preserve">Année 2015 / </w:t>
      </w:r>
      <w:r w:rsidRPr="00E92C2E">
        <w:rPr>
          <w:rFonts w:ascii="Times New Roman" w:hAnsi="Times New Roman"/>
          <w:sz w:val="26"/>
          <w:szCs w:val="26"/>
        </w:rPr>
        <w:t>201</w:t>
      </w:r>
      <w:r>
        <w:rPr>
          <w:rFonts w:ascii="Times New Roman" w:hAnsi="Times New Roman"/>
          <w:sz w:val="26"/>
          <w:szCs w:val="26"/>
        </w:rPr>
        <w:t>6, Semestre 1</w:t>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sidRPr="00E92C2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92C2E">
        <w:rPr>
          <w:rFonts w:ascii="Times New Roman" w:hAnsi="Times New Roman"/>
          <w:sz w:val="26"/>
          <w:szCs w:val="26"/>
        </w:rPr>
        <w:t xml:space="preserve">Pessac </w:t>
      </w:r>
    </w:p>
    <w:p w:rsidR="00314615" w:rsidRDefault="00617F0E"/>
    <w:p w:rsidR="00090DEB" w:rsidRDefault="00090DEB"/>
    <w:p w:rsidR="00090DEB" w:rsidRDefault="00090DEB"/>
    <w:p w:rsidR="00090DEB" w:rsidRDefault="00090DEB"/>
    <w:p w:rsidR="00090DEB" w:rsidRDefault="00090DEB"/>
    <w:p w:rsidR="00090DEB" w:rsidRPr="002514D1" w:rsidRDefault="00090DEB" w:rsidP="00090DEB">
      <w:pPr>
        <w:pStyle w:val="Sansinterligne1"/>
        <w:rPr>
          <w:rFonts w:ascii="Times New Roman" w:hAnsi="Times New Roman"/>
          <w:sz w:val="24"/>
          <w:szCs w:val="24"/>
        </w:rPr>
      </w:pPr>
    </w:p>
    <w:p w:rsidR="00090DEB" w:rsidRPr="00E92C2E" w:rsidRDefault="00090DEB" w:rsidP="00090DEB">
      <w:pPr>
        <w:pBdr>
          <w:top w:val="single" w:sz="24" w:space="1" w:color="auto" w:shadow="1"/>
          <w:left w:val="single" w:sz="24" w:space="4" w:color="auto" w:shadow="1"/>
          <w:bottom w:val="single" w:sz="24" w:space="1" w:color="auto" w:shadow="1"/>
          <w:right w:val="single" w:sz="24" w:space="11" w:color="auto" w:shadow="1"/>
        </w:pBdr>
        <w:tabs>
          <w:tab w:val="center" w:pos="4536"/>
          <w:tab w:val="left" w:pos="6300"/>
          <w:tab w:val="left" w:pos="8235"/>
        </w:tabs>
        <w:rPr>
          <w:b/>
          <w:sz w:val="36"/>
        </w:rPr>
      </w:pPr>
      <w:r>
        <w:rPr>
          <w:b/>
          <w:i/>
          <w:sz w:val="36"/>
        </w:rPr>
        <w:tab/>
      </w:r>
      <w:r w:rsidRPr="00E92C2E">
        <w:rPr>
          <w:b/>
          <w:sz w:val="36"/>
        </w:rPr>
        <w:t>Séance n°</w:t>
      </w:r>
      <w:r>
        <w:rPr>
          <w:b/>
          <w:sz w:val="36"/>
        </w:rPr>
        <w:t>6</w:t>
      </w:r>
      <w:r w:rsidRPr="00E92C2E">
        <w:rPr>
          <w:b/>
          <w:sz w:val="36"/>
        </w:rPr>
        <w:t xml:space="preserve"> : </w:t>
      </w:r>
      <w:r w:rsidRPr="00E92C2E">
        <w:rPr>
          <w:b/>
          <w:sz w:val="36"/>
        </w:rPr>
        <w:tab/>
      </w:r>
      <w:r w:rsidRPr="00E92C2E">
        <w:rPr>
          <w:b/>
          <w:sz w:val="36"/>
        </w:rPr>
        <w:tab/>
      </w:r>
    </w:p>
    <w:p w:rsidR="00090DEB" w:rsidRPr="00E92C2E" w:rsidRDefault="00BD3A6C" w:rsidP="00090DEB">
      <w:pPr>
        <w:pBdr>
          <w:top w:val="single" w:sz="24" w:space="1" w:color="auto" w:shadow="1"/>
          <w:left w:val="single" w:sz="24" w:space="4" w:color="auto" w:shadow="1"/>
          <w:bottom w:val="single" w:sz="24" w:space="1" w:color="auto" w:shadow="1"/>
          <w:right w:val="single" w:sz="24" w:space="11" w:color="auto" w:shadow="1"/>
        </w:pBdr>
        <w:jc w:val="center"/>
        <w:rPr>
          <w:i/>
          <w:sz w:val="40"/>
          <w:szCs w:val="40"/>
        </w:rPr>
      </w:pPr>
      <w:r>
        <w:rPr>
          <w:b/>
          <w:i/>
          <w:sz w:val="40"/>
          <w:szCs w:val="40"/>
        </w:rPr>
        <w:t xml:space="preserve">Occupation et </w:t>
      </w:r>
      <w:r w:rsidR="001F702F">
        <w:rPr>
          <w:b/>
          <w:i/>
          <w:sz w:val="40"/>
          <w:szCs w:val="40"/>
        </w:rPr>
        <w:t>utilisation</w:t>
      </w:r>
      <w:r w:rsidR="00090DEB">
        <w:rPr>
          <w:b/>
          <w:i/>
          <w:sz w:val="40"/>
          <w:szCs w:val="40"/>
        </w:rPr>
        <w:t xml:space="preserve"> du domaine public</w:t>
      </w:r>
    </w:p>
    <w:p w:rsidR="00090DEB" w:rsidRDefault="00090DEB" w:rsidP="00090DEB">
      <w:pPr>
        <w:jc w:val="center"/>
      </w:pPr>
    </w:p>
    <w:p w:rsidR="00090DEB" w:rsidRDefault="00090DEB" w:rsidP="00090DEB">
      <w:pPr>
        <w:jc w:val="center"/>
      </w:pPr>
    </w:p>
    <w:p w:rsidR="00754CBF" w:rsidRDefault="00754CBF" w:rsidP="00090DEB">
      <w:pPr>
        <w:rPr>
          <w:b/>
          <w:bCs/>
        </w:rPr>
      </w:pPr>
      <w:r>
        <w:rPr>
          <w:b/>
          <w:bCs/>
        </w:rPr>
        <w:t xml:space="preserve">Consultation juridique : </w:t>
      </w:r>
    </w:p>
    <w:p w:rsidR="00754CBF" w:rsidRDefault="00754CBF" w:rsidP="00090DEB">
      <w:pPr>
        <w:rPr>
          <w:b/>
          <w:bCs/>
        </w:rPr>
      </w:pPr>
    </w:p>
    <w:p w:rsidR="00754CBF" w:rsidRPr="00F64B88" w:rsidRDefault="00754CBF" w:rsidP="00F64B88">
      <w:pPr>
        <w:jc w:val="both"/>
        <w:rPr>
          <w:bCs/>
        </w:rPr>
      </w:pPr>
      <w:r w:rsidRPr="00F64B88">
        <w:rPr>
          <w:bCs/>
        </w:rPr>
        <w:t>La Communauté d’agglomération du « </w:t>
      </w:r>
      <w:r w:rsidR="005C2147" w:rsidRPr="00F64B88">
        <w:rPr>
          <w:bCs/>
        </w:rPr>
        <w:t>Long des golfe</w:t>
      </w:r>
      <w:r w:rsidRPr="00F64B88">
        <w:rPr>
          <w:bCs/>
        </w:rPr>
        <w:t xml:space="preserve">s clairs » gère </w:t>
      </w:r>
      <w:r w:rsidR="005C2147" w:rsidRPr="00F64B88">
        <w:rPr>
          <w:bCs/>
        </w:rPr>
        <w:t>le peti</w:t>
      </w:r>
      <w:r w:rsidR="00E10A6A">
        <w:rPr>
          <w:bCs/>
        </w:rPr>
        <w:t>t port de plaisance du « Vague à l’âme</w:t>
      </w:r>
      <w:r w:rsidR="005C2147" w:rsidRPr="00F64B88">
        <w:rPr>
          <w:bCs/>
        </w:rPr>
        <w:t xml:space="preserve"> » que l’Etat lui a transféré en application de la loi du 13 août 2004. Dès les premiers beaux jours, ce port de plaisance connaît une activité touristique intense. Les touristes viennent de loin y admirer les vieux gréments qui stationnent à quai. </w:t>
      </w:r>
    </w:p>
    <w:p w:rsidR="005C2147" w:rsidRPr="00F64B88" w:rsidRDefault="005C2147" w:rsidP="00F64B88">
      <w:pPr>
        <w:jc w:val="both"/>
        <w:rPr>
          <w:bCs/>
        </w:rPr>
      </w:pPr>
    </w:p>
    <w:p w:rsidR="005C2147" w:rsidRPr="00F64B88" w:rsidRDefault="005C2147" w:rsidP="00F64B88">
      <w:pPr>
        <w:jc w:val="both"/>
        <w:rPr>
          <w:bCs/>
        </w:rPr>
      </w:pPr>
      <w:r w:rsidRPr="00F64B88">
        <w:rPr>
          <w:bCs/>
        </w:rPr>
        <w:t xml:space="preserve">Flairant la bonne affaire, Philippe </w:t>
      </w:r>
      <w:r w:rsidR="00F64B88">
        <w:rPr>
          <w:bCs/>
        </w:rPr>
        <w:t xml:space="preserve">Escabèche, </w:t>
      </w:r>
      <w:r w:rsidRPr="00F64B88">
        <w:rPr>
          <w:bCs/>
        </w:rPr>
        <w:t>restaurateur bien conn</w:t>
      </w:r>
      <w:r w:rsidR="00E10A6A">
        <w:rPr>
          <w:bCs/>
        </w:rPr>
        <w:t>u sur la place et animateur télé</w:t>
      </w:r>
      <w:bookmarkStart w:id="0" w:name="_GoBack"/>
      <w:bookmarkEnd w:id="0"/>
      <w:r w:rsidR="00E10A6A">
        <w:rPr>
          <w:bCs/>
        </w:rPr>
        <w:t xml:space="preserve"> </w:t>
      </w:r>
      <w:r w:rsidRPr="00F64B88">
        <w:rPr>
          <w:bCs/>
        </w:rPr>
        <w:t xml:space="preserve">, a fait l’acquisition de deux petites embarcations –les bateaux-resto- destinées à assurer un service de « brasserie chic » ambulante et s’en est ouvert au Président de la Communauté d’agglomération Phil-Ed Mac Row. </w:t>
      </w:r>
    </w:p>
    <w:p w:rsidR="005C2147" w:rsidRPr="00F64B88" w:rsidRDefault="005C2147" w:rsidP="00F64B88">
      <w:pPr>
        <w:jc w:val="both"/>
        <w:rPr>
          <w:bCs/>
        </w:rPr>
      </w:pPr>
    </w:p>
    <w:p w:rsidR="005C2147" w:rsidRPr="00F64B88" w:rsidRDefault="005C2147" w:rsidP="00F64B88">
      <w:pPr>
        <w:jc w:val="both"/>
        <w:rPr>
          <w:bCs/>
        </w:rPr>
      </w:pPr>
      <w:r w:rsidRPr="00F64B88">
        <w:rPr>
          <w:bCs/>
        </w:rPr>
        <w:t>Ce dernier lui explique qu’il ne voit pas son initiative d’un bon œil</w:t>
      </w:r>
      <w:r w:rsidR="00E10A6A">
        <w:rPr>
          <w:bCs/>
        </w:rPr>
        <w:t>,</w:t>
      </w:r>
      <w:r w:rsidRPr="00F64B88">
        <w:rPr>
          <w:bCs/>
        </w:rPr>
        <w:t xml:space="preserve"> qu’il s’agisse du stationnement à quai prolongé de ces « bateaux-resto »</w:t>
      </w:r>
      <w:r w:rsidR="00F64B88" w:rsidRPr="00F64B88">
        <w:rPr>
          <w:bCs/>
        </w:rPr>
        <w:t xml:space="preserve"> que de l’afflux de la clientèle sur les quais aux heures de repas.</w:t>
      </w:r>
    </w:p>
    <w:p w:rsidR="00754CBF" w:rsidRDefault="00754CBF" w:rsidP="00F64B88">
      <w:pPr>
        <w:jc w:val="both"/>
        <w:rPr>
          <w:bCs/>
        </w:rPr>
      </w:pPr>
    </w:p>
    <w:p w:rsidR="00754CBF" w:rsidRDefault="00F64B88" w:rsidP="00F64B88">
      <w:pPr>
        <w:jc w:val="both"/>
        <w:rPr>
          <w:bCs/>
        </w:rPr>
      </w:pPr>
      <w:r>
        <w:rPr>
          <w:bCs/>
        </w:rPr>
        <w:t xml:space="preserve">Il explique qu’il va soumettre au conseil communautaire un projet de délibération visant à soumettre son activité à une autorisation préalable et au paiement d’une forte redevance compte tenu de l’afflux de clients sur les quais  ; que par ailleurs, il se réserve le droit de demander au préfet d’interdire purement et simplement cette activité. </w:t>
      </w:r>
    </w:p>
    <w:p w:rsidR="00F64B88" w:rsidRDefault="00F64B88" w:rsidP="00F64B88">
      <w:pPr>
        <w:jc w:val="both"/>
        <w:rPr>
          <w:bCs/>
        </w:rPr>
      </w:pPr>
    </w:p>
    <w:p w:rsidR="0034589A" w:rsidRDefault="00F64B88" w:rsidP="00F64B88">
      <w:pPr>
        <w:jc w:val="both"/>
        <w:rPr>
          <w:bCs/>
        </w:rPr>
      </w:pPr>
      <w:r>
        <w:rPr>
          <w:bCs/>
        </w:rPr>
        <w:t xml:space="preserve">Très inquiet, Philippe Escabèche vous consulte. </w:t>
      </w:r>
    </w:p>
    <w:p w:rsidR="0034589A" w:rsidRDefault="0034589A" w:rsidP="00F64B88">
      <w:pPr>
        <w:jc w:val="both"/>
        <w:rPr>
          <w:bCs/>
        </w:rPr>
      </w:pPr>
    </w:p>
    <w:p w:rsidR="0034589A" w:rsidRDefault="00F64B88" w:rsidP="00F64B88">
      <w:pPr>
        <w:jc w:val="both"/>
        <w:rPr>
          <w:bCs/>
        </w:rPr>
      </w:pPr>
      <w:r>
        <w:rPr>
          <w:bCs/>
        </w:rPr>
        <w:t xml:space="preserve">Il voudrait savoir sur quels types d’arguments peut s’appuyer Phil-Ed Mac Row et s’il est vraiment nécessaire de mêler le préfet à cette histoire. </w:t>
      </w:r>
    </w:p>
    <w:p w:rsidR="0034589A" w:rsidRDefault="0034589A" w:rsidP="00F64B88">
      <w:pPr>
        <w:jc w:val="both"/>
        <w:rPr>
          <w:bCs/>
        </w:rPr>
      </w:pPr>
    </w:p>
    <w:p w:rsidR="0034589A" w:rsidRDefault="00F64B88" w:rsidP="00F64B88">
      <w:pPr>
        <w:jc w:val="both"/>
        <w:rPr>
          <w:bCs/>
        </w:rPr>
      </w:pPr>
      <w:r>
        <w:rPr>
          <w:bCs/>
        </w:rPr>
        <w:t>Il se demande s’i</w:t>
      </w:r>
      <w:r w:rsidR="0034589A">
        <w:rPr>
          <w:bCs/>
        </w:rPr>
        <w:t>l ne serait pas plus simple pour lui d</w:t>
      </w:r>
      <w:r>
        <w:rPr>
          <w:bCs/>
        </w:rPr>
        <w:t xml:space="preserve">’installer directement </w:t>
      </w:r>
      <w:r w:rsidR="0034589A">
        <w:rPr>
          <w:bCs/>
        </w:rPr>
        <w:t>des tentes – des « igloo-resto » -</w:t>
      </w:r>
      <w:r>
        <w:rPr>
          <w:bCs/>
        </w:rPr>
        <w:t>sur les terres-plein qui bordent les quais</w:t>
      </w:r>
      <w:r w:rsidR="0034589A">
        <w:rPr>
          <w:bCs/>
        </w:rPr>
        <w:t xml:space="preserve"> ou encore de faire l’acquisition de « vélos-resto »</w:t>
      </w:r>
      <w:r>
        <w:rPr>
          <w:bCs/>
        </w:rPr>
        <w:t xml:space="preserve">. </w:t>
      </w:r>
    </w:p>
    <w:p w:rsidR="0034589A" w:rsidRDefault="0034589A" w:rsidP="00F64B88">
      <w:pPr>
        <w:jc w:val="both"/>
        <w:rPr>
          <w:bCs/>
        </w:rPr>
      </w:pPr>
    </w:p>
    <w:p w:rsidR="00F64B88" w:rsidRDefault="00F64B88" w:rsidP="00F64B88">
      <w:pPr>
        <w:jc w:val="both"/>
        <w:rPr>
          <w:bCs/>
        </w:rPr>
      </w:pPr>
      <w:r>
        <w:rPr>
          <w:bCs/>
        </w:rPr>
        <w:t xml:space="preserve">Qu’en pensez-vous ? </w:t>
      </w:r>
    </w:p>
    <w:p w:rsidR="00F64B88" w:rsidRDefault="00F64B88" w:rsidP="00F64B88">
      <w:pPr>
        <w:jc w:val="both"/>
        <w:rPr>
          <w:bCs/>
        </w:rPr>
      </w:pPr>
    </w:p>
    <w:p w:rsidR="00F64B88" w:rsidRPr="00F64B88" w:rsidRDefault="00F64B88" w:rsidP="00F64B88">
      <w:pPr>
        <w:jc w:val="both"/>
        <w:rPr>
          <w:bCs/>
        </w:rPr>
      </w:pPr>
    </w:p>
    <w:p w:rsidR="00754CBF" w:rsidRDefault="00754CBF" w:rsidP="00090DEB">
      <w:pPr>
        <w:rPr>
          <w:b/>
          <w:bCs/>
        </w:rPr>
      </w:pPr>
    </w:p>
    <w:p w:rsidR="00090DEB" w:rsidRDefault="00C4003F" w:rsidP="00090DEB">
      <w:pPr>
        <w:rPr>
          <w:b/>
          <w:bCs/>
        </w:rPr>
      </w:pPr>
      <w:r>
        <w:rPr>
          <w:b/>
          <w:bCs/>
        </w:rPr>
        <w:t xml:space="preserve">Documents </w:t>
      </w:r>
    </w:p>
    <w:p w:rsidR="00090DEB" w:rsidRDefault="00090DEB" w:rsidP="00090DEB">
      <w:pPr>
        <w:rPr>
          <w:b/>
          <w:bCs/>
        </w:rPr>
      </w:pPr>
    </w:p>
    <w:tbl>
      <w:tblPr>
        <w:tblW w:w="0" w:type="auto"/>
        <w:tblCellSpacing w:w="0" w:type="dxa"/>
        <w:tblCellMar>
          <w:left w:w="0" w:type="dxa"/>
          <w:right w:w="0" w:type="dxa"/>
        </w:tblCellMar>
        <w:tblLook w:val="04A0" w:firstRow="1" w:lastRow="0" w:firstColumn="1" w:lastColumn="0" w:noHBand="0" w:noVBand="1"/>
      </w:tblPr>
      <w:tblGrid>
        <w:gridCol w:w="7831"/>
      </w:tblGrid>
      <w:tr w:rsidR="00F64B88" w:rsidRPr="00F64B88" w:rsidTr="00F64B88">
        <w:trPr>
          <w:tblCellSpacing w:w="0" w:type="dxa"/>
        </w:trPr>
        <w:tc>
          <w:tcPr>
            <w:tcW w:w="0" w:type="auto"/>
            <w:vAlign w:val="center"/>
            <w:hideMark/>
          </w:tcPr>
          <w:p w:rsidR="00F64B88" w:rsidRPr="00F64B88" w:rsidRDefault="00F64B88" w:rsidP="00F64B88">
            <w:bookmarkStart w:id="1" w:name="PNUM_17"/>
            <w:bookmarkEnd w:id="1"/>
            <w:r w:rsidRPr="00F64B88">
              <w:t>Jean Dufau La réorganisation des compétences de police dans les ports maritimes</w:t>
            </w:r>
          </w:p>
          <w:p w:rsidR="00F64B88" w:rsidRPr="00F64B88" w:rsidRDefault="00F64B88" w:rsidP="00F64B88">
            <w:r w:rsidRPr="00F64B88">
              <w:t>AJDA 2005 p.2459</w:t>
            </w:r>
          </w:p>
        </w:tc>
      </w:tr>
      <w:tr w:rsidR="00F64B88" w:rsidRPr="00F64B88" w:rsidTr="00F64B88">
        <w:trPr>
          <w:tblCellSpacing w:w="0" w:type="dxa"/>
        </w:trPr>
        <w:tc>
          <w:tcPr>
            <w:tcW w:w="0" w:type="auto"/>
            <w:vAlign w:val="center"/>
          </w:tcPr>
          <w:p w:rsidR="00F64B88" w:rsidRPr="00F64B88" w:rsidRDefault="00F64B88" w:rsidP="00F64B88"/>
        </w:tc>
      </w:tr>
    </w:tbl>
    <w:p w:rsidR="00F56742" w:rsidRPr="00BD3A6C" w:rsidRDefault="00F56742" w:rsidP="00F56742">
      <w:pPr>
        <w:jc w:val="both"/>
        <w:rPr>
          <w:rFonts w:eastAsiaTheme="minorHAnsi"/>
        </w:rPr>
      </w:pPr>
      <w:r w:rsidRPr="00BD3A6C">
        <w:t>CE, 17 janvier 1986, Mansuy, n°</w:t>
      </w:r>
      <w:r w:rsidRPr="00BD3A6C">
        <w:rPr>
          <w:rFonts w:eastAsiaTheme="minorHAnsi"/>
        </w:rPr>
        <w:t>55713</w:t>
      </w:r>
    </w:p>
    <w:p w:rsidR="00F56742" w:rsidRPr="00BD3A6C" w:rsidRDefault="00F56742" w:rsidP="00F56742">
      <w:pPr>
        <w:jc w:val="both"/>
      </w:pPr>
    </w:p>
    <w:p w:rsidR="00F56742" w:rsidRPr="00BD3A6C" w:rsidRDefault="00F56742" w:rsidP="00F56742">
      <w:r w:rsidRPr="00BD3A6C">
        <w:t xml:space="preserve">CAA, Marseille, 26 juin 2012, </w:t>
      </w:r>
      <w:r w:rsidRPr="00BD3A6C">
        <w:rPr>
          <w:rFonts w:eastAsiaTheme="minorHAnsi"/>
          <w:lang w:eastAsia="en-US"/>
        </w:rPr>
        <w:t xml:space="preserve">M. Chiappinelli et autres, </w:t>
      </w:r>
      <w:r w:rsidRPr="00BD3A6C">
        <w:rPr>
          <w:rFonts w:eastAsiaTheme="minorHAnsi"/>
        </w:rPr>
        <w:t>n</w:t>
      </w:r>
      <w:r w:rsidRPr="00BD3A6C">
        <w:rPr>
          <w:rFonts w:eastAsiaTheme="minorHAnsi"/>
          <w:vertAlign w:val="superscript"/>
        </w:rPr>
        <w:t>os</w:t>
      </w:r>
      <w:r w:rsidRPr="00BD3A6C">
        <w:rPr>
          <w:rFonts w:eastAsiaTheme="minorHAnsi"/>
        </w:rPr>
        <w:t>11MA01675-11MA01676</w:t>
      </w:r>
      <w:r w:rsidRPr="00BD3A6C">
        <w:rPr>
          <w:rFonts w:ascii="Verdana,Bold" w:eastAsiaTheme="minorHAnsi" w:hAnsi="Verdana,Bold" w:cs="Verdana,Bold"/>
          <w:lang w:eastAsia="en-US"/>
        </w:rPr>
        <w:t xml:space="preserve"> </w:t>
      </w:r>
      <w:r w:rsidRPr="00BD3A6C">
        <w:t>et conclusions Deliancourt</w:t>
      </w:r>
    </w:p>
    <w:p w:rsidR="00F56742" w:rsidRPr="00BD3A6C" w:rsidRDefault="00F56742" w:rsidP="00F56742"/>
    <w:p w:rsidR="00F56742" w:rsidRPr="00BD3A6C" w:rsidRDefault="00F56742" w:rsidP="00F56742">
      <w:pPr>
        <w:jc w:val="both"/>
      </w:pPr>
      <w:r w:rsidRPr="00BD3A6C">
        <w:t>CAA, Marseille, 9 avril 2013, Commune du Lavandou, 11MA02622</w:t>
      </w:r>
    </w:p>
    <w:p w:rsidR="00F56742" w:rsidRPr="00BD3A6C" w:rsidRDefault="00F56742" w:rsidP="00F56742">
      <w:pPr>
        <w:jc w:val="both"/>
      </w:pPr>
      <w:r w:rsidRPr="00BD3A6C">
        <w:tab/>
      </w:r>
    </w:p>
    <w:p w:rsidR="00F56742" w:rsidRPr="00BD3A6C" w:rsidRDefault="00F56742" w:rsidP="00F56742">
      <w:pPr>
        <w:jc w:val="both"/>
      </w:pPr>
      <w:r w:rsidRPr="00BD3A6C">
        <w:rPr>
          <w:rStyle w:val="lev"/>
          <w:rFonts w:eastAsiaTheme="majorEastAsia"/>
          <w:b w:val="0"/>
        </w:rPr>
        <w:t>Conseil d’État, 31 mars 2014, Commune d’Avignon, n°362140   </w:t>
      </w:r>
    </w:p>
    <w:p w:rsidR="00F56742" w:rsidRPr="00BD3A6C" w:rsidRDefault="00F56742" w:rsidP="00F56742">
      <w:pPr>
        <w:jc w:val="both"/>
      </w:pPr>
    </w:p>
    <w:p w:rsidR="0034589A" w:rsidRDefault="0034589A" w:rsidP="002F541B">
      <w:pPr>
        <w:jc w:val="both"/>
        <w:rPr>
          <w:b/>
        </w:rPr>
      </w:pPr>
    </w:p>
    <w:p w:rsidR="002F541B" w:rsidRDefault="00B83848" w:rsidP="002F541B">
      <w:pPr>
        <w:jc w:val="both"/>
        <w:rPr>
          <w:rStyle w:val="lev"/>
        </w:rPr>
      </w:pPr>
      <w:r w:rsidRPr="007E4625">
        <w:rPr>
          <w:b/>
        </w:rPr>
        <w:t>C.A.A., Marseille, 26 juin 2015, SARL Sosogood contre Commune de Fréjus</w:t>
      </w:r>
      <w:r w:rsidRPr="007E4625">
        <w:t xml:space="preserve">, </w:t>
      </w:r>
      <w:r w:rsidR="002F541B" w:rsidRPr="007E4625">
        <w:rPr>
          <w:rStyle w:val="lev"/>
        </w:rPr>
        <w:t>n°14MA00177</w:t>
      </w:r>
    </w:p>
    <w:p w:rsidR="002F541B" w:rsidRPr="007E4625" w:rsidRDefault="002F541B" w:rsidP="002F541B">
      <w:pPr>
        <w:jc w:val="both"/>
      </w:pPr>
    </w:p>
    <w:p w:rsidR="002F541B" w:rsidRDefault="002F541B" w:rsidP="002F541B">
      <w:pPr>
        <w:jc w:val="both"/>
      </w:pPr>
      <w:r w:rsidRPr="007E4625">
        <w:t xml:space="preserve">Vu la requête, enregistrée le 13 janvier 2014 au greffe de la Cour, sous le n° 14MA00177, présentée pour la SARL Sosogood dont le siège social est sis 199 rue Hélène Boucher à Castelnau-le-Lez (34170), prise en la personne de son représentant légal en exercice, par MeB... ; </w:t>
      </w:r>
    </w:p>
    <w:p w:rsidR="002F541B" w:rsidRDefault="002F541B" w:rsidP="002F541B">
      <w:pPr>
        <w:jc w:val="both"/>
      </w:pPr>
      <w:r w:rsidRPr="007E4625">
        <w:br/>
        <w:t>La SARL Sosogood demande à la Cour :</w:t>
      </w:r>
    </w:p>
    <w:p w:rsidR="002F541B" w:rsidRDefault="002F541B" w:rsidP="002F541B">
      <w:pPr>
        <w:jc w:val="both"/>
      </w:pPr>
      <w:r w:rsidRPr="007E4625">
        <w:br/>
        <w:t>1°) d'annuler le jugement n° 1102730 du 14 novembre 2013 du tribunal administratif de Toulon en tant qu'il n'a annulé que partiellement l'arrêté municipal du 29 juillet 2011 portant réglementation des ventes ambulantes de denrées de bouche ;</w:t>
      </w:r>
    </w:p>
    <w:p w:rsidR="002F541B" w:rsidRDefault="002F541B" w:rsidP="002F541B">
      <w:pPr>
        <w:jc w:val="both"/>
      </w:pPr>
      <w:r w:rsidRPr="007E4625">
        <w:br/>
        <w:t xml:space="preserve">2°) d'annuler l'arrêté susvisé ; </w:t>
      </w:r>
    </w:p>
    <w:p w:rsidR="002F541B" w:rsidRPr="007E4625" w:rsidRDefault="002F541B" w:rsidP="002F541B">
      <w:pPr>
        <w:jc w:val="both"/>
      </w:pPr>
      <w:r w:rsidRPr="007E4625">
        <w:t>(…)</w:t>
      </w:r>
    </w:p>
    <w:p w:rsidR="002F541B" w:rsidRPr="007E4625" w:rsidRDefault="002F541B" w:rsidP="002F541B">
      <w:pPr>
        <w:jc w:val="both"/>
      </w:pPr>
      <w:r w:rsidRPr="007E4625">
        <w:t xml:space="preserve">[La commune soutient notamment que :] - la société Sosogood se doit d'être soumise au paiement d'une redevance quant bien même elle ne stationnerait que quelques instants sur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le temps de conclure une vente ;</w:t>
      </w:r>
    </w:p>
    <w:p w:rsidR="002F541B" w:rsidRDefault="002F541B" w:rsidP="002F541B">
      <w:pPr>
        <w:jc w:val="both"/>
      </w:pPr>
      <w:r w:rsidRPr="007E4625">
        <w:br/>
        <w:t>Vu le mémoire en défense, enregistré le 29 janvier 2015, pour la commune de Fréjus, qui persiste dans ses conclusions et fait valoir, en outre, que :</w:t>
      </w:r>
    </w:p>
    <w:p w:rsidR="002F541B" w:rsidRDefault="002F541B" w:rsidP="002F541B">
      <w:pPr>
        <w:jc w:val="both"/>
      </w:pPr>
      <w:r w:rsidRPr="007E4625">
        <w:t>- un non-lieu peut être prononcé, dès lors que l'acte abrogé n'a produit aucun effet et que l'abrogation est devenue définitive ;</w:t>
      </w:r>
    </w:p>
    <w:p w:rsidR="002F541B" w:rsidRDefault="002F541B" w:rsidP="002F541B">
      <w:pPr>
        <w:jc w:val="both"/>
      </w:pPr>
      <w:r w:rsidRPr="007E4625">
        <w:t xml:space="preserve">- en l'espèce la société appelante ne démontre pas avoir respecté l'arrêté en litige ; </w:t>
      </w:r>
    </w:p>
    <w:p w:rsidR="002F541B" w:rsidRDefault="002F541B" w:rsidP="002F541B">
      <w:pPr>
        <w:jc w:val="both"/>
      </w:pPr>
      <w:r w:rsidRPr="007E4625">
        <w:t>- face à cette absence l'arrêté litigieux doit être considéré comme n'ayant pas reçu application ;</w:t>
      </w:r>
    </w:p>
    <w:p w:rsidR="002F541B" w:rsidRDefault="002F541B" w:rsidP="002F541B">
      <w:pPr>
        <w:jc w:val="both"/>
      </w:pPr>
      <w:r w:rsidRPr="007E4625">
        <w:t xml:space="preserve">- le fait de s'arrêter momentanément ne suffit pas à démontrer que les vendeurs ambulants n'utilisent pas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maritime ;</w:t>
      </w:r>
    </w:p>
    <w:p w:rsidR="002F541B" w:rsidRDefault="002F541B" w:rsidP="002F541B">
      <w:pPr>
        <w:jc w:val="both"/>
      </w:pPr>
      <w:r w:rsidRPr="007E4625">
        <w:t xml:space="preserve">- l'arrêt " commune du Lavandou " rendu par la cour administrative de Marseille méconnaît l'utilisation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en énonçant que les vendeurs se bornent à s'arrêter momentanément pour conclure une vente ;</w:t>
      </w:r>
    </w:p>
    <w:p w:rsidR="002F541B" w:rsidRDefault="002F541B" w:rsidP="002F541B">
      <w:pPr>
        <w:jc w:val="both"/>
      </w:pPr>
      <w:r w:rsidRPr="007E4625">
        <w:t xml:space="preserve">- la société confond la notion d'autorisation préalable pour l'exercice d'une activité et l'autorisation requise pour occuper de façon privative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w:t>
      </w:r>
    </w:p>
    <w:p w:rsidR="002F541B" w:rsidRPr="007E4625" w:rsidRDefault="002F541B" w:rsidP="002F541B">
      <w:pPr>
        <w:jc w:val="both"/>
      </w:pPr>
      <w:r w:rsidRPr="007E4625">
        <w:t>- la mesure litigieuse est à la fois nécessaire et proportionnée ;</w:t>
      </w:r>
    </w:p>
    <w:p w:rsidR="002F541B" w:rsidRPr="007E4625" w:rsidRDefault="002F541B" w:rsidP="002F541B">
      <w:pPr>
        <w:jc w:val="both"/>
      </w:pPr>
    </w:p>
    <w:p w:rsidR="002F541B" w:rsidRDefault="002F541B" w:rsidP="002F541B">
      <w:pPr>
        <w:jc w:val="both"/>
      </w:pPr>
      <w:r w:rsidRPr="007E4625">
        <w:t>Elle soutient que :</w:t>
      </w:r>
    </w:p>
    <w:p w:rsidR="002F541B" w:rsidRDefault="002F541B" w:rsidP="002F541B">
      <w:pPr>
        <w:jc w:val="both"/>
      </w:pPr>
      <w:r w:rsidRPr="007E4625">
        <w:br/>
        <w:t>- la requête est recevable ;</w:t>
      </w:r>
    </w:p>
    <w:p w:rsidR="002F541B" w:rsidRDefault="002F541B" w:rsidP="002F541B">
      <w:pPr>
        <w:jc w:val="both"/>
      </w:pPr>
      <w:r w:rsidRPr="007E4625">
        <w:lastRenderedPageBreak/>
        <w:t xml:space="preserve">- le jugement attaqué est irrégulier, dès lors que son dispositif est en contradiction avec ses motifs ; </w:t>
      </w:r>
    </w:p>
    <w:p w:rsidR="002F541B" w:rsidRDefault="002F541B" w:rsidP="002F541B">
      <w:pPr>
        <w:jc w:val="both"/>
      </w:pPr>
      <w:r w:rsidRPr="007E4625">
        <w:t>- les marchands ambulants ne peuvent être soumis à une autorisation préalable d'activité en l'absence d'une législation spécifique ;</w:t>
      </w:r>
    </w:p>
    <w:p w:rsidR="002F541B" w:rsidRDefault="002F541B" w:rsidP="002F541B">
      <w:pPr>
        <w:jc w:val="both"/>
      </w:pPr>
      <w:r w:rsidRPr="007E4625">
        <w:t>- les marchands ambulants ne peuvent pas non plus être soumis à un permis de stationnement ;</w:t>
      </w:r>
      <w:r w:rsidRPr="007E4625">
        <w:br/>
        <w:t xml:space="preserve">- l'article 1er de l'arrêté contesté, qui subordonne l'exercice de toute activité de vente ambulante à une autorisation préalable, est contraire au principe de la </w:t>
      </w:r>
      <w:r w:rsidRPr="007E4625">
        <w:rPr>
          <w:rStyle w:val="surlignage"/>
          <w:rFonts w:eastAsiaTheme="majorEastAsia"/>
        </w:rPr>
        <w:t>liberté</w:t>
      </w:r>
      <w:r w:rsidRPr="007E4625">
        <w:t xml:space="preserve"> du </w:t>
      </w:r>
      <w:r w:rsidRPr="007E4625">
        <w:rPr>
          <w:rStyle w:val="surlignage"/>
          <w:rFonts w:eastAsiaTheme="majorEastAsia"/>
        </w:rPr>
        <w:t>commerce</w:t>
      </w:r>
      <w:r w:rsidRPr="007E4625">
        <w:t xml:space="preserve"> et de l'</w:t>
      </w:r>
      <w:r w:rsidRPr="007E4625">
        <w:rPr>
          <w:rStyle w:val="surlignage"/>
          <w:rFonts w:eastAsiaTheme="majorEastAsia"/>
        </w:rPr>
        <w:t>industrie</w:t>
      </w:r>
      <w:r w:rsidRPr="007E4625">
        <w:t xml:space="preserve"> et à la loi n° 69-3 du 3 janvier 1969 relative à l'exercice des activités ambulantes ; </w:t>
      </w:r>
      <w:r w:rsidRPr="007E4625">
        <w:br/>
        <w:t xml:space="preserve">- le tribunal s'est contredit dès lors qu'il a annulé les dispositions relatives au versement d'une redevance relative au stationnement sur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lequel s'avère inexistant, tout en refusant d'annuler les dispositions imposant un régime d'autorisation préalable de stationnement ;</w:t>
      </w:r>
    </w:p>
    <w:p w:rsidR="002F541B" w:rsidRDefault="002F541B" w:rsidP="002F541B">
      <w:pPr>
        <w:jc w:val="both"/>
      </w:pPr>
      <w:r w:rsidRPr="007E4625">
        <w:t>- le tribunal a jugé à tort que les dispositions de l'article L. 2122-1 du code général des collectivités territoriales étaient applicables à l'espèce ;</w:t>
      </w:r>
    </w:p>
    <w:p w:rsidR="002F541B" w:rsidRDefault="002F541B" w:rsidP="002F541B">
      <w:pPr>
        <w:jc w:val="both"/>
      </w:pPr>
      <w:r w:rsidRPr="007E4625">
        <w:t xml:space="preserve">- les premiers juges ont considéré à tort que l'usage fait par les vendeurs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de la société excédait l'usage normal ;</w:t>
      </w:r>
    </w:p>
    <w:p w:rsidR="002F541B" w:rsidRDefault="002F541B" w:rsidP="002F541B">
      <w:pPr>
        <w:jc w:val="both"/>
      </w:pPr>
      <w:r w:rsidRPr="007E4625">
        <w:t>- l'arrêté contesté, qui interdit toute vente ambulante sur toutes les plages de la commune où cette activité peut être utilement exercée, sur la période du 15 juin au 30 septembre correspondant à toute la saison touristique, et aux heures de l'après-midi où la clientèle est nombreuse, s'apparente à une interdiction générale et absolue ;</w:t>
      </w:r>
    </w:p>
    <w:p w:rsidR="002F541B" w:rsidRDefault="002F541B" w:rsidP="002F541B">
      <w:pPr>
        <w:jc w:val="both"/>
      </w:pPr>
      <w:r w:rsidRPr="007E4625">
        <w:t>- le maire ne pouvait pas faire prévaloir des motifs, comme la lutte contre la vente à la sauvette et la prévention des risques d'atteinte à l'hygiène et la salubrité publique, pour interdire la vente ambulante ;</w:t>
      </w:r>
    </w:p>
    <w:p w:rsidR="002F541B" w:rsidRDefault="002F541B" w:rsidP="002F541B">
      <w:pPr>
        <w:jc w:val="both"/>
      </w:pPr>
    </w:p>
    <w:p w:rsidR="002F541B" w:rsidRDefault="002F541B" w:rsidP="002F541B">
      <w:pPr>
        <w:jc w:val="both"/>
      </w:pPr>
      <w:r w:rsidRPr="00D8685F">
        <w:t xml:space="preserve">1. Considérant que la SARL Sosogood exerce une activité de ventes ambulantes sur le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arpentant les plages aux fins de proposer aux baigneurs des denrées alimentaires et des boissons ; que par un arrêté en date du 29 juillet 2011 le maire de Fréjus a décidé de réglementer ce type de ventes ; qu'aux termes de l'article 1er de cet arrêté " il est formellement interdit d'utiliser sans autorisation préalable du maire ou de son représentant, et ce du 15 juin au 30 septembre de chaque année, de 14h00 à 18h00, aux fins d'y offrir, d'y mettre en vente, d'y exposer en vue de leur vente des denrées de bouche, les espaces énumérés ci-après situés sur le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communal, sur le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concédé ou transféré en gestion ainsi que sur leurs dépendances " : a) Fréjus-plage (...) ; b) base naturelle François Léotard (...) c) Saint-Aygulf (...) " ; que l'article 2 prévoit que " toute utilisation du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est subordonnée à autorisation préalable du maire ou de son représentant délivré sous la forme d'un permis de stationnement lorsqu'elle concerne une </w:t>
      </w:r>
      <w:r w:rsidRPr="00D8685F">
        <w:rPr>
          <w:rStyle w:val="surlignage"/>
          <w:rFonts w:eastAsiaTheme="majorEastAsia"/>
        </w:rPr>
        <w:t>occupation</w:t>
      </w:r>
      <w:r w:rsidRPr="00D8685F">
        <w:t xml:space="preserve"> sans emprise dans le sous-sol ou d'une permission de voirie lorsque la vente est réalisée à partir d'une installation fixe incorporée au sol " ; que l'article 3 ajoute que " les autorisations temporaires d'occuper peuvent être consenties moyennant le versement d'une redevance dont le montant est fixé chaque année par le conseil municipal " ; que l'article 4 dispose enfin que " toute vente non autorisée de denrées de bouche sur le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sera sanctionnée, en ce qu'elle constitue désormais un délit, en application des nouvelles dispositions réglementaires en vigueur " ; que la société Sosogood relève appel du jugement rendu le 10 novembre 2013 par le tribunal administratif de Toulon en tant qu'il n'a annulé que partiellement l'arrêté municipal du 29 juillet 2011 portant réglementation des ventes ambulantes de denrées de bouche ;</w:t>
      </w:r>
    </w:p>
    <w:p w:rsidR="002F541B" w:rsidRDefault="002F541B" w:rsidP="002F541B">
      <w:pPr>
        <w:jc w:val="both"/>
      </w:pPr>
    </w:p>
    <w:p w:rsidR="002F541B" w:rsidRDefault="002F541B" w:rsidP="002F541B">
      <w:pPr>
        <w:jc w:val="both"/>
      </w:pPr>
      <w:r>
        <w:t>(…)</w:t>
      </w:r>
    </w:p>
    <w:p w:rsidR="002F541B" w:rsidRDefault="002F541B" w:rsidP="002F541B">
      <w:pPr>
        <w:jc w:val="both"/>
      </w:pPr>
      <w:r w:rsidRPr="00D8685F">
        <w:br/>
        <w:t xml:space="preserve">En ce qui concerne la légalité interne de l'arrêté du 29 juillet 2011 : </w:t>
      </w:r>
    </w:p>
    <w:p w:rsidR="002F541B" w:rsidRDefault="002F541B" w:rsidP="002F541B">
      <w:pPr>
        <w:jc w:val="both"/>
      </w:pPr>
      <w:r w:rsidRPr="00D8685F">
        <w:br/>
        <w:t>S'agissant de la légalité de l'article 1er de l'arrêté municipal du 29 juillet 2011 :</w:t>
      </w:r>
    </w:p>
    <w:p w:rsidR="002F541B" w:rsidRDefault="002F541B" w:rsidP="002F541B">
      <w:pPr>
        <w:jc w:val="both"/>
      </w:pPr>
      <w:r w:rsidRPr="00D8685F">
        <w:lastRenderedPageBreak/>
        <w:br/>
        <w:t xml:space="preserve">9. Considérant qu'il appartient au maire, dans l'exercice de ses pouvoirs de police générale de réglementer dans l'intérêt de la sécurité, de la tranquillité et de la salubrité publiques, la vente de marchandises par des commerçants ambulants ; qu'il appartient également au maire dans l'exercice de ses pouvoirs de gestion du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de réglementer les conditions de l'utilisation privative de ce </w:t>
      </w:r>
      <w:r w:rsidRPr="00D8685F">
        <w:rPr>
          <w:rStyle w:val="surlignage"/>
          <w:rFonts w:eastAsiaTheme="majorEastAsia"/>
        </w:rPr>
        <w:t>domaine</w:t>
      </w:r>
      <w:r w:rsidRPr="00D8685F">
        <w:t xml:space="preserve">, et notamment de subordonner une telle utilisation à la délivrance préalable d'une autorisation dont il doit alors déterminer les conditions d'obtention ; que, dans cette perspective, il appartient seulement aux maires, en vue de remédier aux inconvénients pouvant résulter, en certains cas, pour la circulation et l'ordre </w:t>
      </w:r>
      <w:r w:rsidRPr="00D8685F">
        <w:rPr>
          <w:rStyle w:val="surlignage"/>
          <w:rFonts w:eastAsiaTheme="majorEastAsia"/>
        </w:rPr>
        <w:t>public</w:t>
      </w:r>
      <w:r w:rsidRPr="00D8685F">
        <w:t>, de 1'exercice de cette profession, de prendre les mesures nécessaires pour assurer notamment le libre passage sur les plages et dans les voies publiques comme l'interdiction ou la limitation de l'exercice de ladite profession dans certains espaces ou à certaines heures ou de fixer des emplacements réservés à la vente, et même, dans des circonstances exceptionnelles, de limiter le nombre des marchands admis à occuper ces emplacements en fixant, s'il y a lieu, un ordre de préférence, dont il appartient, le cas échéant, au juge de l'excès de pouvoir de vérifier s'il a été établi pour des motifs légitimes ;</w:t>
      </w:r>
    </w:p>
    <w:p w:rsidR="002F541B" w:rsidRDefault="002F541B" w:rsidP="002F541B">
      <w:pPr>
        <w:jc w:val="both"/>
      </w:pPr>
    </w:p>
    <w:p w:rsidR="002F541B" w:rsidRDefault="002F541B" w:rsidP="002F541B">
      <w:pPr>
        <w:jc w:val="both"/>
      </w:pPr>
      <w:r w:rsidRPr="00D8685F">
        <w:t xml:space="preserve">10. Considérant que la société appelante soutient, tout d'abord, que le maire ne pouvait soumettre les marchands ambulants à une autorisation préalable d'activité en l'absence de législation spécifique et que par suite l'article 1er de l'arrêté en litige est illégal et doit donc être annulé ; que la société a également contesté la légalité des mesures de police, faisant valoir qu'elle présentait les caractères d'une interdiction générale et absolue ; qu'il résulte de l'instruction que l'article 1er de l'arrêté litigieux a réglementé l'exercice des ventes ambulantes en soumettant à autorisation préalable la vente des denrées alimentaires de bouches sur certains espaces du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dûment énumérés et à certaines heures de la période estivale ; que, d'une part, il ne résulte pas de la lecture de l'arrêté litigieux que le maire ait entendu instaurer un régime d'autorisation préalable à ladite profession de vendeur ambulant mais seulement de prendre des mesures fondées à la fois sur ses pouvoirs de police générale qu'il tient des articles L. 2212-1, L. 2212-2, L. 2212-3 et L. 2213-6 du code général des collectivités territoriales et de son pouvoir de gestion du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 que, d'autre part, et à l'inverse de ce que soutient la société appelante, il est loisible à un maire de soumettre une activité au principe de l'autorisation préalable, si cette soumission s'impose pour des considérations d'ordre </w:t>
      </w:r>
      <w:r w:rsidRPr="00D8685F">
        <w:rPr>
          <w:rStyle w:val="surlignage"/>
          <w:rFonts w:eastAsiaTheme="majorEastAsia"/>
        </w:rPr>
        <w:t>public</w:t>
      </w:r>
      <w:r w:rsidRPr="00D8685F">
        <w:t xml:space="preserve"> et ce sans méconnaître ni le principe de la liberté du commerce et de l'industrie, ni la loi n° 69-3 du 3 janvier 1969 relative à l'exercice des activités ambulantes ; qu'en l'espèce le maire s'est effectivement appuyé sur des motifs d'ordre </w:t>
      </w:r>
      <w:r w:rsidRPr="00D8685F">
        <w:rPr>
          <w:rStyle w:val="surlignage"/>
          <w:rFonts w:eastAsiaTheme="majorEastAsia"/>
        </w:rPr>
        <w:t>public</w:t>
      </w:r>
      <w:r w:rsidRPr="00D8685F">
        <w:t xml:space="preserve"> ; que par suite le moyen tiré de l'impossibilité de principe de mettre en place une autorisation préalable, tel qu'il est formulé, ne peut être qu'écarté ; qu'en ce qui concerne l'interdiction proprement dite, il appartenait au maire de Fréjus, en vertu des pouvoirs de police qu'il tient des dispositions du code général des collectivités territoriales, de réglementer dans l'intérêt de la sécurité, de la tranquillité, de l'hygiène et de la salubrité publiques la vente ambulante sur les espaces situés sur le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communal, sur le </w:t>
      </w:r>
      <w:r w:rsidRPr="00D8685F">
        <w:rPr>
          <w:rStyle w:val="surlignage"/>
          <w:rFonts w:eastAsiaTheme="majorEastAsia"/>
        </w:rPr>
        <w:t>domaine</w:t>
      </w:r>
      <w:r w:rsidRPr="00D8685F">
        <w:t xml:space="preserve"> </w:t>
      </w:r>
      <w:r w:rsidRPr="00D8685F">
        <w:rPr>
          <w:rStyle w:val="surlignage"/>
          <w:rFonts w:eastAsiaTheme="majorEastAsia"/>
        </w:rPr>
        <w:t>public</w:t>
      </w:r>
      <w:r w:rsidRPr="00D8685F">
        <w:t xml:space="preserve"> concédé ou transféré en gestion ainsi que sur leurs dépendances tel que Fréjus-plage, la base naturelle François Léotard et Saint-Aygulf par une mesure qui bien que concernant toute la période estivale ne s'avère ni générale ni absolue, dès lors que l'interdiction qu'elle pose est limitée de manière spatiale, temporelle et visent les seules ventes de denrées de bouche ; que, par suite, la disproportion au regard du motif de prévention des atteintes à l'hygiène et à la salubrité n'apparaît pas non plus établie ; qu'en conséquence, ces moyens ne sauraient être admis</w:t>
      </w:r>
      <w:r>
        <w:t xml:space="preserve"> </w:t>
      </w:r>
      <w:r w:rsidRPr="00D8685F">
        <w:t>;</w:t>
      </w:r>
    </w:p>
    <w:p w:rsidR="002F541B" w:rsidRPr="00D8685F" w:rsidRDefault="002F541B" w:rsidP="002F541B">
      <w:pPr>
        <w:jc w:val="both"/>
      </w:pPr>
    </w:p>
    <w:p w:rsidR="002F541B" w:rsidRDefault="002F541B" w:rsidP="002F541B">
      <w:pPr>
        <w:jc w:val="both"/>
      </w:pPr>
      <w:r w:rsidRPr="007E4625">
        <w:t>S'agissant de la légalité des articles 2 et 3 de l'arrêté municipal du 29 juillet 2011 :</w:t>
      </w:r>
    </w:p>
    <w:p w:rsidR="002F541B" w:rsidRDefault="002F541B" w:rsidP="002F541B">
      <w:pPr>
        <w:jc w:val="both"/>
      </w:pPr>
    </w:p>
    <w:p w:rsidR="002F541B" w:rsidRDefault="002F541B" w:rsidP="002F541B">
      <w:pPr>
        <w:jc w:val="both"/>
      </w:pPr>
      <w:r w:rsidRPr="007E4625">
        <w:t xml:space="preserve">11. Considérant, tout d'abord, que s'il appartient à l'autorité administrative affectataire de dépendances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de gérer celles-ci tant dans l'intérêt du </w:t>
      </w:r>
      <w:r w:rsidRPr="007E4625">
        <w:rPr>
          <w:rStyle w:val="surlignage"/>
          <w:rFonts w:eastAsiaTheme="majorEastAsia"/>
        </w:rPr>
        <w:t>domaine</w:t>
      </w:r>
      <w:r w:rsidRPr="007E4625">
        <w:t xml:space="preserve"> et de son affectation, que dans l'intérêt général et de fixer sur le fondement des mêmes critères les conditions auxquelles elle entend subordonner les permissions d'occupation, il lui incombe en </w:t>
      </w:r>
      <w:r w:rsidRPr="007E4625">
        <w:lastRenderedPageBreak/>
        <w:t xml:space="preserve">outre lorsque, conformément à l'affectation de ces dépendances, celles-ci sont le siège d'activités de production, de distribution ou de services, de prendre en considération le principe de la </w:t>
      </w:r>
      <w:r w:rsidRPr="007E4625">
        <w:rPr>
          <w:rStyle w:val="surlignage"/>
          <w:rFonts w:eastAsiaTheme="majorEastAsia"/>
        </w:rPr>
        <w:t>liberté</w:t>
      </w:r>
      <w:r w:rsidRPr="007E4625">
        <w:t xml:space="preserve"> du </w:t>
      </w:r>
      <w:r w:rsidRPr="007E4625">
        <w:rPr>
          <w:rStyle w:val="surlignage"/>
          <w:rFonts w:eastAsiaTheme="majorEastAsia"/>
        </w:rPr>
        <w:t>commerce</w:t>
      </w:r>
      <w:r w:rsidRPr="007E4625">
        <w:t xml:space="preserve"> et de l'</w:t>
      </w:r>
      <w:r w:rsidRPr="007E4625">
        <w:rPr>
          <w:rStyle w:val="surlignage"/>
          <w:rFonts w:eastAsiaTheme="majorEastAsia"/>
        </w:rPr>
        <w:t>industrie</w:t>
      </w:r>
      <w:r w:rsidRPr="007E4625">
        <w:t xml:space="preserve"> ; qu'ensuite aux termes des dispositions de l'article L. 2122-1 du code général de la propriété des personnes publiques : " Nul ne peut, sans disposer d'un titre l'y habilitant, occuper une dépendance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d'une personne publique mentionnée à l'article L. 1 ou l'utiliser dans des limites dépassant le droit d'usage qui appartient à tous " ; que l'article L. 2125-1 du même code dans sa rédaction issue de la loi n° 2010-1658 du 29 décembre 2010 dispose que : " Toute occupation ou 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d'une personne publique mentionnée à l'article L. 1 donne lieu au paiement d'une redevance (...) " et prévoit les cas dans lesquels, par dérogation à ce principe, " l'autorisation d'occupation ou d'utilisation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peut être délivrée gratuitement " ; qu'aux termes de l'article L. 2125-3 du même code : " La redevance due pour l'occupation ou l'utilisation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tient compte des avantages de toute nature procurés au titulaire de l'autorisation " ; qu'il résulte de la combinaison de ces dispositions, d'une part, que l'occupation ou l'utilisation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n'est soumise à la délivrance d'une autorisation que lorsqu'elle constitue un usage privatif de ce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excédant le droit d'usage appartenant à tous, d'autre part, que lorsqu'une telle autorisation est donnée par la personne publique gestionnaire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concerné, la redevance d'occupation ou d'utilisation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constitue la contrepartie du droit d'occupation ou d'utilisation privative ainsi accordé ; que, dès lors, si la personne publique est fondée à demander à celui qui occupe ou utilise irrégulièrement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le versement d'une indemnité calculée par référence à la redevance qu'il aurait versée s'il avait été titulaire d'un titre régulier à cet effet, l'occupation ou l'utilisation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dans les limites ne dépassant pas le droit d'usage appartenant à tous, qui n'est soumise à la délivrance d'aucune autorisation, ne peut, par suite, être assujettie au paiement d'une redevance ;</w:t>
      </w:r>
    </w:p>
    <w:p w:rsidR="002F541B" w:rsidRDefault="002F541B" w:rsidP="002F541B">
      <w:pPr>
        <w:jc w:val="both"/>
      </w:pPr>
    </w:p>
    <w:p w:rsidR="002F541B" w:rsidRPr="007E4625" w:rsidRDefault="002F541B" w:rsidP="002F541B">
      <w:pPr>
        <w:jc w:val="both"/>
      </w:pPr>
      <w:r w:rsidRPr="007E4625">
        <w:t xml:space="preserve">12. Considérant, d'une part, que comme le reconnaît d'ailleurs la commune de Fréjus, pour exercer son activité le vendeur ambulant déambule sur la plage, portant un panier, poussant ou tirant son chariot, à la recherche de clients potentiels qui généralement lui font signe à son passage ; que suivant l'encombrement de la plage, il longera plus ou moins le rivage, rejoignant le client ou attendant que celui-ci se fraie un chemin jusqu'à lui ; que face à l'abondance de marchandises plus ou moins variées, le client fera alors son choix ; que contrairement à ce que soutient ladite commune, le vendeur et l'acheteur et éventuellement le chariot, ne seront alors immobilisés que le temps de cette transaction commerciale ; qu'ainsi, par nature la vente ambulante n'implique pas une occupation prolongée de la même portion de plage voire même une installation de quelque nature que se soit sur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et par là-même aucun stationnement ; que cette présence passagère qui n'est donc pas exclusive de la présence d'autres usagers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ni incompatible avec l'affectation de celui-ci, n'est constitutive, pour cette activité, quand bien même elle est nécessaire au mode d'exercice de leur </w:t>
      </w:r>
      <w:r w:rsidRPr="007E4625">
        <w:rPr>
          <w:rStyle w:val="surlignage"/>
          <w:rFonts w:eastAsiaTheme="majorEastAsia"/>
        </w:rPr>
        <w:t>commerce</w:t>
      </w:r>
      <w:r w:rsidRPr="007E4625">
        <w:t xml:space="preserve">, ni d'un usage privatif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ni même d'une occupation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excédant le droit d'usage qui appartient à tous ; que la commune de Fréjus n'établit pas que la SARL Sosogood procèderait différemment dans la mise en oeuvre de son activité, se bornant à faire valoir à tort que les vendeurs ambulants se livrent à une utilisation anormale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dès lors qu'ils s'apparenteraient davantage aux débits de boissons qui installent une terrasse sur le trottoir qu'aux piétons qui ne font qu'y circuler ; que, dès lors, la commune de Fréjus ne pouvait légalement et sans méconnaître le principe de la </w:t>
      </w:r>
      <w:r w:rsidRPr="007E4625">
        <w:rPr>
          <w:rStyle w:val="surlignage"/>
          <w:rFonts w:eastAsiaTheme="majorEastAsia"/>
        </w:rPr>
        <w:t>liberté</w:t>
      </w:r>
      <w:r w:rsidRPr="007E4625">
        <w:t xml:space="preserve"> du </w:t>
      </w:r>
      <w:r w:rsidRPr="007E4625">
        <w:rPr>
          <w:rStyle w:val="surlignage"/>
          <w:rFonts w:eastAsiaTheme="majorEastAsia"/>
        </w:rPr>
        <w:t>commerce</w:t>
      </w:r>
      <w:r w:rsidRPr="007E4625">
        <w:t xml:space="preserve"> et de l'</w:t>
      </w:r>
      <w:r w:rsidRPr="007E4625">
        <w:rPr>
          <w:rStyle w:val="surlignage"/>
          <w:rFonts w:eastAsiaTheme="majorEastAsia"/>
        </w:rPr>
        <w:t>industrie</w:t>
      </w:r>
      <w:r w:rsidRPr="007E4625">
        <w:t xml:space="preserve"> soumettre à autorisation préalable et à permis de stationnement la vente de denrées de bouche sur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w:t>
      </w:r>
    </w:p>
    <w:p w:rsidR="002F541B" w:rsidRPr="007E4625" w:rsidRDefault="002F541B" w:rsidP="002F541B">
      <w:pPr>
        <w:jc w:val="both"/>
      </w:pPr>
      <w:r w:rsidRPr="007E4625">
        <w:br/>
        <w:t xml:space="preserve">13. Considérant, d'autre part, ainsi qu'il vient d'être dit au point 12, que les conditions d'occupation des plages par des vendeurs ambulants de denrées consommables n'impliquent pas un stationnement permanent sur le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mais tout au plus un arrêt momentané ; que dans ces conditions le versement d'une redevance d'occupation ou d'utilisation du </w:t>
      </w:r>
      <w:r w:rsidRPr="007E4625">
        <w:rPr>
          <w:rStyle w:val="surlignage"/>
          <w:rFonts w:eastAsiaTheme="majorEastAsia"/>
        </w:rPr>
        <w:t>domaine</w:t>
      </w:r>
      <w:r w:rsidRPr="007E4625">
        <w:t xml:space="preserve"> </w:t>
      </w:r>
      <w:r w:rsidRPr="007E4625">
        <w:rPr>
          <w:rStyle w:val="surlignage"/>
          <w:rFonts w:eastAsiaTheme="majorEastAsia"/>
        </w:rPr>
        <w:t>public</w:t>
      </w:r>
      <w:r w:rsidRPr="007E4625">
        <w:t xml:space="preserve">, telle que prévue par les dispositions ci-dessus, ne peut être exigé de la part de </w:t>
      </w:r>
      <w:r w:rsidRPr="007E4625">
        <w:lastRenderedPageBreak/>
        <w:t>ces vendeurs ambulants qui se bornent à circuler sur une plage publique en quête d'acheteurs et ne s'arrêtent que momentanément pour conclure une vente ; que, dès lors, la commune de Fréjus ne pouvait légalement instaurer la perception de la redevance prévue par son arrêté litigieux ;</w:t>
      </w:r>
    </w:p>
    <w:p w:rsidR="00B83848" w:rsidRDefault="00B83848" w:rsidP="002F541B">
      <w:pPr>
        <w:jc w:val="both"/>
      </w:pPr>
    </w:p>
    <w:p w:rsidR="00DB0591" w:rsidRDefault="00DB0591" w:rsidP="002F541B">
      <w:pPr>
        <w:jc w:val="both"/>
      </w:pPr>
      <w:r>
        <w:t>14. Considérant qu'il résulte de l'ensemble de ce qui précède que la SARL Sosogood est seulement fondée à demander l'annulation des articles 2 et 3 de l'arrêté en litige, sans qu'il soit besoin d'examiner les autres moyens de la requête ;</w:t>
      </w:r>
    </w:p>
    <w:p w:rsidR="00DB0591" w:rsidRDefault="00DB0591" w:rsidP="002F541B">
      <w:pPr>
        <w:jc w:val="both"/>
      </w:pPr>
    </w:p>
    <w:p w:rsidR="00DB0591" w:rsidRDefault="00DB0591" w:rsidP="002F541B">
      <w:pPr>
        <w:jc w:val="both"/>
      </w:pPr>
      <w:r>
        <w:br/>
        <w:t>D E C I D E :</w:t>
      </w:r>
    </w:p>
    <w:p w:rsidR="00DB0591" w:rsidRDefault="00DB0591" w:rsidP="002F541B">
      <w:pPr>
        <w:jc w:val="both"/>
      </w:pPr>
      <w:r>
        <w:t>Article 1er : Le jugement n° 1102730 du 14 novembre 2013 du tribunal administratif de Toulon est annulé.</w:t>
      </w:r>
    </w:p>
    <w:p w:rsidR="00DB0591" w:rsidRDefault="00DB0591" w:rsidP="002F541B">
      <w:pPr>
        <w:jc w:val="both"/>
      </w:pPr>
      <w:r>
        <w:t>Article 2 : Les articles 2 et 3 de l'arrêté municipal du 29 juillet 2011 portant réglementation des ventes ambulantes de denrées de bouche sont annulés.</w:t>
      </w:r>
    </w:p>
    <w:sectPr w:rsidR="00DB0591" w:rsidSect="0034589A">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1697D"/>
    <w:multiLevelType w:val="hybridMultilevel"/>
    <w:tmpl w:val="48846990"/>
    <w:lvl w:ilvl="0" w:tplc="594054B6">
      <w:start w:val="1"/>
      <w:numFmt w:val="upperLetter"/>
      <w:lvlText w:val="%1."/>
      <w:lvlJc w:val="left"/>
      <w:pPr>
        <w:ind w:left="502"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5DBB1AB1"/>
    <w:multiLevelType w:val="multilevel"/>
    <w:tmpl w:val="22906E86"/>
    <w:lvl w:ilvl="0">
      <w:start w:val="1"/>
      <w:numFmt w:val="decimal"/>
      <w:pStyle w:val="Titre1"/>
      <w:lvlText w:val="Partie %1 :"/>
      <w:lvlJc w:val="center"/>
      <w:pPr>
        <w:ind w:left="0" w:firstLine="1134"/>
      </w:pPr>
      <w:rPr>
        <w:b/>
        <w:i w:val="0"/>
        <w:u w:val="single"/>
      </w:rPr>
    </w:lvl>
    <w:lvl w:ilvl="1">
      <w:start w:val="2"/>
      <w:numFmt w:val="decimal"/>
      <w:lvlText w:val="Titre %2 : "/>
      <w:lvlJc w:val="left"/>
      <w:pPr>
        <w:ind w:left="0" w:firstLine="1134"/>
      </w:pPr>
    </w:lvl>
    <w:lvl w:ilvl="2">
      <w:start w:val="2"/>
      <w:numFmt w:val="decimal"/>
      <w:lvlText w:val="Chapitre %3 :"/>
      <w:lvlJc w:val="right"/>
      <w:pPr>
        <w:ind w:left="0" w:firstLine="1134"/>
      </w:pPr>
    </w:lvl>
    <w:lvl w:ilvl="3">
      <w:start w:val="1"/>
      <w:numFmt w:val="decimal"/>
      <w:lvlText w:val="Section %4 :"/>
      <w:lvlJc w:val="left"/>
      <w:pPr>
        <w:ind w:left="0" w:firstLine="0"/>
      </w:pPr>
    </w:lvl>
    <w:lvl w:ilvl="4">
      <w:start w:val="1"/>
      <w:numFmt w:val="decimal"/>
      <w:lvlText w:val="§ %5 :"/>
      <w:lvlJc w:val="left"/>
      <w:pPr>
        <w:ind w:left="567" w:firstLine="0"/>
      </w:pPr>
      <w:rPr>
        <w:i/>
      </w:rPr>
    </w:lvl>
    <w:lvl w:ilvl="5">
      <w:start w:val="1"/>
      <w:numFmt w:val="upperLetter"/>
      <w:lvlText w:val="%6) "/>
      <w:lvlJc w:val="left"/>
      <w:pPr>
        <w:ind w:left="0" w:firstLine="1134"/>
      </w:pPr>
      <w:rPr>
        <w:b w:val="0"/>
      </w:rPr>
    </w:lvl>
    <w:lvl w:ilvl="6">
      <w:start w:val="1"/>
      <w:numFmt w:val="decimal"/>
      <w:lvlText w:val="%7."/>
      <w:lvlJc w:val="left"/>
      <w:pPr>
        <w:ind w:left="0" w:firstLine="1134"/>
      </w:pPr>
    </w:lvl>
    <w:lvl w:ilvl="7">
      <w:start w:val="1"/>
      <w:numFmt w:val="lowerLetter"/>
      <w:lvlText w:val="%8."/>
      <w:lvlJc w:val="left"/>
      <w:pPr>
        <w:ind w:left="0" w:firstLine="1134"/>
      </w:pPr>
      <w:rPr>
        <w:color w:val="auto"/>
      </w:rPr>
    </w:lvl>
    <w:lvl w:ilvl="8">
      <w:start w:val="1"/>
      <w:numFmt w:val="lowerRoman"/>
      <w:lvlText w:val="%9."/>
      <w:lvlJc w:val="right"/>
      <w:pPr>
        <w:ind w:left="0" w:firstLine="113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EB"/>
    <w:rsid w:val="00090DEB"/>
    <w:rsid w:val="00125AF5"/>
    <w:rsid w:val="00135AD6"/>
    <w:rsid w:val="0014558C"/>
    <w:rsid w:val="001F702F"/>
    <w:rsid w:val="002F541B"/>
    <w:rsid w:val="0034589A"/>
    <w:rsid w:val="005C2147"/>
    <w:rsid w:val="00754CBF"/>
    <w:rsid w:val="008D1AB4"/>
    <w:rsid w:val="00B83848"/>
    <w:rsid w:val="00BD3A6C"/>
    <w:rsid w:val="00BD71AE"/>
    <w:rsid w:val="00C23CCF"/>
    <w:rsid w:val="00C321DE"/>
    <w:rsid w:val="00C4003F"/>
    <w:rsid w:val="00DB0591"/>
    <w:rsid w:val="00E10A6A"/>
    <w:rsid w:val="00F56742"/>
    <w:rsid w:val="00F64B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DE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35AD6"/>
    <w:pPr>
      <w:keepNext/>
      <w:keepLines/>
      <w:numPr>
        <w:numId w:val="1"/>
      </w:numPr>
      <w:spacing w:before="480"/>
      <w:outlineLvl w:val="0"/>
    </w:pPr>
    <w:rPr>
      <w:rFonts w:eastAsiaTheme="majorEastAsia" w:cstheme="majorBidi"/>
      <w:bCs/>
      <w:sz w:val="28"/>
      <w:szCs w:val="28"/>
    </w:rPr>
  </w:style>
  <w:style w:type="paragraph" w:styleId="Titre3">
    <w:name w:val="heading 3"/>
    <w:basedOn w:val="Normal"/>
    <w:next w:val="Normal"/>
    <w:link w:val="Titre3Car"/>
    <w:uiPriority w:val="9"/>
    <w:semiHidden/>
    <w:unhideWhenUsed/>
    <w:qFormat/>
    <w:rsid w:val="00125AF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5AD6"/>
    <w:rPr>
      <w:rFonts w:ascii="Times New Roman" w:eastAsiaTheme="majorEastAsia" w:hAnsi="Times New Roman" w:cstheme="majorBidi"/>
      <w:bCs/>
      <w:sz w:val="28"/>
      <w:szCs w:val="28"/>
    </w:rPr>
  </w:style>
  <w:style w:type="paragraph" w:customStyle="1" w:styleId="Sansinterligne1">
    <w:name w:val="Sans interligne1"/>
    <w:rsid w:val="00090DEB"/>
    <w:pPr>
      <w:spacing w:after="0" w:line="240" w:lineRule="auto"/>
    </w:pPr>
    <w:rPr>
      <w:rFonts w:ascii="Calibri" w:eastAsia="Times New Roman" w:hAnsi="Calibri" w:cs="Times New Roman"/>
    </w:rPr>
  </w:style>
  <w:style w:type="paragraph" w:styleId="Sansinterligne">
    <w:name w:val="No Spacing"/>
    <w:link w:val="SansinterligneCar"/>
    <w:uiPriority w:val="1"/>
    <w:qFormat/>
    <w:rsid w:val="00090DEB"/>
    <w:pPr>
      <w:spacing w:after="0" w:line="240" w:lineRule="auto"/>
    </w:pPr>
    <w:rPr>
      <w:rFonts w:ascii="Cambria" w:eastAsia="Times New Roman" w:hAnsi="Cambria" w:cs="Times New Roman"/>
      <w:lang w:eastAsia="fr-FR"/>
    </w:rPr>
  </w:style>
  <w:style w:type="character" w:customStyle="1" w:styleId="SansinterligneCar">
    <w:name w:val="Sans interligne Car"/>
    <w:basedOn w:val="Policepardfaut"/>
    <w:link w:val="Sansinterligne"/>
    <w:uiPriority w:val="1"/>
    <w:rsid w:val="00090DEB"/>
    <w:rPr>
      <w:rFonts w:ascii="Cambria" w:eastAsia="Times New Roman" w:hAnsi="Cambria" w:cs="Times New Roman"/>
      <w:lang w:eastAsia="fr-FR"/>
    </w:rPr>
  </w:style>
  <w:style w:type="character" w:styleId="lev">
    <w:name w:val="Strong"/>
    <w:basedOn w:val="Policepardfaut"/>
    <w:uiPriority w:val="22"/>
    <w:qFormat/>
    <w:rsid w:val="00090DEB"/>
    <w:rPr>
      <w:b/>
      <w:bCs/>
    </w:rPr>
  </w:style>
  <w:style w:type="paragraph" w:styleId="Paragraphedeliste">
    <w:name w:val="List Paragraph"/>
    <w:basedOn w:val="Normal"/>
    <w:uiPriority w:val="34"/>
    <w:qFormat/>
    <w:rsid w:val="00090DEB"/>
    <w:pPr>
      <w:ind w:left="720"/>
      <w:contextualSpacing/>
    </w:pPr>
  </w:style>
  <w:style w:type="character" w:customStyle="1" w:styleId="bold">
    <w:name w:val="bold"/>
    <w:basedOn w:val="Policepardfaut"/>
    <w:rsid w:val="00090DEB"/>
  </w:style>
  <w:style w:type="character" w:customStyle="1" w:styleId="Titre3Car">
    <w:name w:val="Titre 3 Car"/>
    <w:basedOn w:val="Policepardfaut"/>
    <w:link w:val="Titre3"/>
    <w:uiPriority w:val="9"/>
    <w:semiHidden/>
    <w:rsid w:val="00125AF5"/>
    <w:rPr>
      <w:rFonts w:asciiTheme="majorHAnsi" w:eastAsiaTheme="majorEastAsia" w:hAnsiTheme="majorHAnsi" w:cstheme="majorBidi"/>
      <w:b/>
      <w:bCs/>
      <w:color w:val="4F81BD" w:themeColor="accent1"/>
      <w:sz w:val="24"/>
      <w:szCs w:val="24"/>
      <w:lang w:eastAsia="fr-FR"/>
    </w:rPr>
  </w:style>
  <w:style w:type="character" w:customStyle="1" w:styleId="surlignage">
    <w:name w:val="surlignage"/>
    <w:basedOn w:val="Policepardfaut"/>
    <w:rsid w:val="00B83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DE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35AD6"/>
    <w:pPr>
      <w:keepNext/>
      <w:keepLines/>
      <w:numPr>
        <w:numId w:val="1"/>
      </w:numPr>
      <w:spacing w:before="480"/>
      <w:outlineLvl w:val="0"/>
    </w:pPr>
    <w:rPr>
      <w:rFonts w:eastAsiaTheme="majorEastAsia" w:cstheme="majorBidi"/>
      <w:bCs/>
      <w:sz w:val="28"/>
      <w:szCs w:val="28"/>
    </w:rPr>
  </w:style>
  <w:style w:type="paragraph" w:styleId="Titre3">
    <w:name w:val="heading 3"/>
    <w:basedOn w:val="Normal"/>
    <w:next w:val="Normal"/>
    <w:link w:val="Titre3Car"/>
    <w:uiPriority w:val="9"/>
    <w:semiHidden/>
    <w:unhideWhenUsed/>
    <w:qFormat/>
    <w:rsid w:val="00125AF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5AD6"/>
    <w:rPr>
      <w:rFonts w:ascii="Times New Roman" w:eastAsiaTheme="majorEastAsia" w:hAnsi="Times New Roman" w:cstheme="majorBidi"/>
      <w:bCs/>
      <w:sz w:val="28"/>
      <w:szCs w:val="28"/>
    </w:rPr>
  </w:style>
  <w:style w:type="paragraph" w:customStyle="1" w:styleId="Sansinterligne1">
    <w:name w:val="Sans interligne1"/>
    <w:rsid w:val="00090DEB"/>
    <w:pPr>
      <w:spacing w:after="0" w:line="240" w:lineRule="auto"/>
    </w:pPr>
    <w:rPr>
      <w:rFonts w:ascii="Calibri" w:eastAsia="Times New Roman" w:hAnsi="Calibri" w:cs="Times New Roman"/>
    </w:rPr>
  </w:style>
  <w:style w:type="paragraph" w:styleId="Sansinterligne">
    <w:name w:val="No Spacing"/>
    <w:link w:val="SansinterligneCar"/>
    <w:uiPriority w:val="1"/>
    <w:qFormat/>
    <w:rsid w:val="00090DEB"/>
    <w:pPr>
      <w:spacing w:after="0" w:line="240" w:lineRule="auto"/>
    </w:pPr>
    <w:rPr>
      <w:rFonts w:ascii="Cambria" w:eastAsia="Times New Roman" w:hAnsi="Cambria" w:cs="Times New Roman"/>
      <w:lang w:eastAsia="fr-FR"/>
    </w:rPr>
  </w:style>
  <w:style w:type="character" w:customStyle="1" w:styleId="SansinterligneCar">
    <w:name w:val="Sans interligne Car"/>
    <w:basedOn w:val="Policepardfaut"/>
    <w:link w:val="Sansinterligne"/>
    <w:uiPriority w:val="1"/>
    <w:rsid w:val="00090DEB"/>
    <w:rPr>
      <w:rFonts w:ascii="Cambria" w:eastAsia="Times New Roman" w:hAnsi="Cambria" w:cs="Times New Roman"/>
      <w:lang w:eastAsia="fr-FR"/>
    </w:rPr>
  </w:style>
  <w:style w:type="character" w:styleId="lev">
    <w:name w:val="Strong"/>
    <w:basedOn w:val="Policepardfaut"/>
    <w:uiPriority w:val="22"/>
    <w:qFormat/>
    <w:rsid w:val="00090DEB"/>
    <w:rPr>
      <w:b/>
      <w:bCs/>
    </w:rPr>
  </w:style>
  <w:style w:type="paragraph" w:styleId="Paragraphedeliste">
    <w:name w:val="List Paragraph"/>
    <w:basedOn w:val="Normal"/>
    <w:uiPriority w:val="34"/>
    <w:qFormat/>
    <w:rsid w:val="00090DEB"/>
    <w:pPr>
      <w:ind w:left="720"/>
      <w:contextualSpacing/>
    </w:pPr>
  </w:style>
  <w:style w:type="character" w:customStyle="1" w:styleId="bold">
    <w:name w:val="bold"/>
    <w:basedOn w:val="Policepardfaut"/>
    <w:rsid w:val="00090DEB"/>
  </w:style>
  <w:style w:type="character" w:customStyle="1" w:styleId="Titre3Car">
    <w:name w:val="Titre 3 Car"/>
    <w:basedOn w:val="Policepardfaut"/>
    <w:link w:val="Titre3"/>
    <w:uiPriority w:val="9"/>
    <w:semiHidden/>
    <w:rsid w:val="00125AF5"/>
    <w:rPr>
      <w:rFonts w:asciiTheme="majorHAnsi" w:eastAsiaTheme="majorEastAsia" w:hAnsiTheme="majorHAnsi" w:cstheme="majorBidi"/>
      <w:b/>
      <w:bCs/>
      <w:color w:val="4F81BD" w:themeColor="accent1"/>
      <w:sz w:val="24"/>
      <w:szCs w:val="24"/>
      <w:lang w:eastAsia="fr-FR"/>
    </w:rPr>
  </w:style>
  <w:style w:type="character" w:customStyle="1" w:styleId="surlignage">
    <w:name w:val="surlignage"/>
    <w:basedOn w:val="Policepardfaut"/>
    <w:rsid w:val="00B8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6516">
      <w:bodyDiv w:val="1"/>
      <w:marLeft w:val="0"/>
      <w:marRight w:val="0"/>
      <w:marTop w:val="0"/>
      <w:marBottom w:val="0"/>
      <w:divBdr>
        <w:top w:val="none" w:sz="0" w:space="0" w:color="auto"/>
        <w:left w:val="none" w:sz="0" w:space="0" w:color="auto"/>
        <w:bottom w:val="none" w:sz="0" w:space="0" w:color="auto"/>
        <w:right w:val="none" w:sz="0" w:space="0" w:color="auto"/>
      </w:divBdr>
      <w:divsChild>
        <w:div w:id="733701494">
          <w:marLeft w:val="0"/>
          <w:marRight w:val="0"/>
          <w:marTop w:val="0"/>
          <w:marBottom w:val="0"/>
          <w:divBdr>
            <w:top w:val="none" w:sz="0" w:space="0" w:color="auto"/>
            <w:left w:val="none" w:sz="0" w:space="0" w:color="auto"/>
            <w:bottom w:val="none" w:sz="0" w:space="0" w:color="auto"/>
            <w:right w:val="none" w:sz="0" w:space="0" w:color="auto"/>
          </w:divBdr>
        </w:div>
        <w:div w:id="1215921121">
          <w:marLeft w:val="0"/>
          <w:marRight w:val="0"/>
          <w:marTop w:val="0"/>
          <w:marBottom w:val="0"/>
          <w:divBdr>
            <w:top w:val="none" w:sz="0" w:space="0" w:color="auto"/>
            <w:left w:val="none" w:sz="0" w:space="0" w:color="auto"/>
            <w:bottom w:val="none" w:sz="0" w:space="0" w:color="auto"/>
            <w:right w:val="none" w:sz="0" w:space="0" w:color="auto"/>
          </w:divBdr>
        </w:div>
      </w:divsChild>
    </w:div>
    <w:div w:id="1695034613">
      <w:bodyDiv w:val="1"/>
      <w:marLeft w:val="0"/>
      <w:marRight w:val="0"/>
      <w:marTop w:val="0"/>
      <w:marBottom w:val="0"/>
      <w:divBdr>
        <w:top w:val="none" w:sz="0" w:space="0" w:color="auto"/>
        <w:left w:val="none" w:sz="0" w:space="0" w:color="auto"/>
        <w:bottom w:val="none" w:sz="0" w:space="0" w:color="auto"/>
        <w:right w:val="none" w:sz="0" w:space="0" w:color="auto"/>
      </w:divBdr>
      <w:divsChild>
        <w:div w:id="1468351418">
          <w:marLeft w:val="0"/>
          <w:marRight w:val="0"/>
          <w:marTop w:val="0"/>
          <w:marBottom w:val="0"/>
          <w:divBdr>
            <w:top w:val="none" w:sz="0" w:space="0" w:color="auto"/>
            <w:left w:val="none" w:sz="0" w:space="0" w:color="auto"/>
            <w:bottom w:val="none" w:sz="0" w:space="0" w:color="auto"/>
            <w:right w:val="none" w:sz="0" w:space="0" w:color="auto"/>
          </w:divBdr>
        </w:div>
      </w:divsChild>
    </w:div>
    <w:div w:id="2088114276">
      <w:bodyDiv w:val="1"/>
      <w:marLeft w:val="0"/>
      <w:marRight w:val="0"/>
      <w:marTop w:val="0"/>
      <w:marBottom w:val="0"/>
      <w:divBdr>
        <w:top w:val="none" w:sz="0" w:space="0" w:color="auto"/>
        <w:left w:val="none" w:sz="0" w:space="0" w:color="auto"/>
        <w:bottom w:val="none" w:sz="0" w:space="0" w:color="auto"/>
        <w:right w:val="none" w:sz="0" w:space="0" w:color="auto"/>
      </w:divBdr>
      <w:divsChild>
        <w:div w:id="1169755425">
          <w:marLeft w:val="0"/>
          <w:marRight w:val="0"/>
          <w:marTop w:val="0"/>
          <w:marBottom w:val="0"/>
          <w:divBdr>
            <w:top w:val="none" w:sz="0" w:space="0" w:color="auto"/>
            <w:left w:val="none" w:sz="0" w:space="0" w:color="auto"/>
            <w:bottom w:val="none" w:sz="0" w:space="0" w:color="auto"/>
            <w:right w:val="none" w:sz="0" w:space="0" w:color="auto"/>
          </w:divBdr>
        </w:div>
        <w:div w:id="1180850627">
          <w:marLeft w:val="0"/>
          <w:marRight w:val="0"/>
          <w:marTop w:val="0"/>
          <w:marBottom w:val="0"/>
          <w:divBdr>
            <w:top w:val="none" w:sz="0" w:space="0" w:color="auto"/>
            <w:left w:val="none" w:sz="0" w:space="0" w:color="auto"/>
            <w:bottom w:val="none" w:sz="0" w:space="0" w:color="auto"/>
            <w:right w:val="none" w:sz="0" w:space="0" w:color="auto"/>
          </w:divBdr>
        </w:div>
        <w:div w:id="918097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2820</Words>
  <Characters>15516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Université Bordeaux 4</Company>
  <LinksUpToDate>false</LinksUpToDate>
  <CharactersWithSpaces>18300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 PA</dc:creator>
  <cp:lastModifiedBy>Jean-François Brisson</cp:lastModifiedBy>
  <cp:revision>4</cp:revision>
  <dcterms:created xsi:type="dcterms:W3CDTF">2015-11-12T10:42:00Z</dcterms:created>
  <dcterms:modified xsi:type="dcterms:W3CDTF">2015-11-12T11:10:00Z</dcterms:modified>
</cp:coreProperties>
</file>