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0738" w:rsidRPr="00455F3F" w:rsidRDefault="00080738" w:rsidP="00080738"/>
    <w:p w:rsidR="00B5608B" w:rsidRPr="00B5608B" w:rsidRDefault="00B5608B" w:rsidP="00B56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merican Typewriter" w:hAnsi="American Typewriter"/>
          <w:sz w:val="28"/>
        </w:rPr>
      </w:pPr>
      <w:r>
        <w:rPr>
          <w:rFonts w:ascii="American Typewriter" w:hAnsi="American Typewriter"/>
          <w:sz w:val="28"/>
        </w:rPr>
        <w:t>Un exemple d</w:t>
      </w:r>
      <w:r w:rsidRPr="00B5608B">
        <w:rPr>
          <w:rFonts w:ascii="American Typewriter" w:hAnsi="American Typewriter"/>
          <w:sz w:val="28"/>
        </w:rPr>
        <w:t xml:space="preserve">e </w:t>
      </w:r>
      <w:r>
        <w:rPr>
          <w:rFonts w:ascii="American Typewriter" w:hAnsi="American Typewriter"/>
          <w:sz w:val="28"/>
        </w:rPr>
        <w:t>rédaction</w:t>
      </w:r>
      <w:r w:rsidRPr="00B5608B">
        <w:rPr>
          <w:rFonts w:ascii="American Typewriter" w:hAnsi="American Typewriter"/>
          <w:sz w:val="28"/>
        </w:rPr>
        <w:t xml:space="preserve"> d’une consultation en ophtalmologie</w:t>
      </w:r>
    </w:p>
    <w:p w:rsidR="00B5608B" w:rsidRDefault="00B5608B" w:rsidP="00B5608B">
      <w:r>
        <w:t>Voilà ce qu’un bon externe pourrait noter sur la feuille de soin.</w:t>
      </w:r>
    </w:p>
    <w:p w:rsidR="00B5608B" w:rsidRDefault="00B5608B" w:rsidP="00B5608B"/>
    <w:p w:rsidR="00B5608B" w:rsidRPr="00D76773" w:rsidRDefault="00B5608B" w:rsidP="00B5608B">
      <w:pPr>
        <w:tabs>
          <w:tab w:val="left" w:pos="1152"/>
        </w:tabs>
        <w:jc w:val="both"/>
        <w:rPr>
          <w:rFonts w:ascii="Handwriting - Dakota" w:hAnsi="Handwriting - Dakota"/>
        </w:rPr>
      </w:pPr>
      <w:r>
        <w:rPr>
          <w:rFonts w:ascii="Handwriting - Dakota" w:hAnsi="Handwriting - Dakota"/>
        </w:rPr>
        <w:t>Acuité OD 20/20, OG 20/2</w:t>
      </w:r>
      <w:r w:rsidRPr="00D76773">
        <w:rPr>
          <w:rFonts w:ascii="Handwriting - Dakota" w:hAnsi="Handwriting - Dakota"/>
        </w:rPr>
        <w:t>0. Champs visuels : RAS. Examen de la structure externe des yeux est normal. Les pupilles sont égales, rondes ; elles réagissent à la lumière et à l’accommodation. Les mouvements du</w:t>
      </w:r>
      <w:r>
        <w:rPr>
          <w:rFonts w:ascii="Handwriting - Dakota" w:hAnsi="Handwriting - Dakota"/>
        </w:rPr>
        <w:t xml:space="preserve"> globe oculaire sont normaux ; </w:t>
      </w:r>
      <w:r w:rsidRPr="00D76773">
        <w:rPr>
          <w:rFonts w:ascii="Handwriting - Dakota" w:hAnsi="Handwriting - Dakota"/>
        </w:rPr>
        <w:t xml:space="preserve">à l’examen ophtalmoscopique, les bords de la papille sont nets. </w:t>
      </w:r>
    </w:p>
    <w:p w:rsidR="00B5608B" w:rsidRPr="00D76773" w:rsidRDefault="00B5608B" w:rsidP="00B5608B">
      <w:pPr>
        <w:tabs>
          <w:tab w:val="left" w:pos="1152"/>
        </w:tabs>
        <w:jc w:val="both"/>
      </w:pPr>
      <w:proofErr w:type="gramStart"/>
      <w:r w:rsidRPr="00D76773">
        <w:t>OU</w:t>
      </w:r>
      <w:proofErr w:type="gramEnd"/>
    </w:p>
    <w:p w:rsidR="00B5608B" w:rsidRDefault="00B5608B" w:rsidP="00B5608B">
      <w:pPr>
        <w:tabs>
          <w:tab w:val="left" w:pos="1152"/>
        </w:tabs>
        <w:jc w:val="both"/>
        <w:rPr>
          <w:rFonts w:ascii="Handwriting - Dakota" w:hAnsi="Handwriting - Dakota"/>
        </w:rPr>
      </w:pPr>
      <w:r w:rsidRPr="00D76773">
        <w:rPr>
          <w:rFonts w:ascii="Handwriting - Dakota" w:hAnsi="Handwriting - Dakota"/>
        </w:rPr>
        <w:t>Acuité visuelle des 2 yeux diminué</w:t>
      </w:r>
      <w:r>
        <w:rPr>
          <w:rFonts w:ascii="Handwriting - Dakota" w:hAnsi="Handwriting - Dakota"/>
        </w:rPr>
        <w:t>e</w:t>
      </w:r>
      <w:r w:rsidRPr="00D76773">
        <w:rPr>
          <w:rFonts w:ascii="Handwriting - Dakota" w:hAnsi="Handwriting - Dakota"/>
        </w:rPr>
        <w:t xml:space="preserve">. Le patient a des difficultés pour lire les caractères d’imprimerie d’environ 6mm. Il existe une NVP </w:t>
      </w:r>
      <w:r>
        <w:rPr>
          <w:rFonts w:ascii="Handwriting - Dakota" w:hAnsi="Handwriting - Dakota"/>
        </w:rPr>
        <w:t xml:space="preserve"> (</w:t>
      </w:r>
      <w:proofErr w:type="spellStart"/>
      <w:r>
        <w:rPr>
          <w:rFonts w:ascii="Handwriting - Dakota" w:hAnsi="Handwriting - Dakota"/>
        </w:rPr>
        <w:t>néovascularisation</w:t>
      </w:r>
      <w:proofErr w:type="spellEnd"/>
      <w:r>
        <w:rPr>
          <w:rFonts w:ascii="Handwriting - Dakota" w:hAnsi="Handwriting - Dakota"/>
        </w:rPr>
        <w:t xml:space="preserve"> rétinienne</w:t>
      </w:r>
      <w:r w:rsidRPr="00D76773">
        <w:rPr>
          <w:rFonts w:ascii="Handwriting - Dakota" w:hAnsi="Handwriting - Dakota"/>
        </w:rPr>
        <w:t xml:space="preserve"> de la Papille) de l’OG. L’examen extérieur de l’œil est normal. Les mouvements des globes oculaires : RAS. Le bord nasal de la pupi</w:t>
      </w:r>
      <w:r>
        <w:rPr>
          <w:rFonts w:ascii="Handwriting - Dakota" w:hAnsi="Handwriting - Dakota"/>
        </w:rPr>
        <w:t>lle gauche est légèrement flou.</w:t>
      </w:r>
      <w:r w:rsidRPr="00D76773">
        <w:rPr>
          <w:rFonts w:ascii="Handwriting - Dakota" w:hAnsi="Handwriting - Dakota"/>
        </w:rPr>
        <w:t xml:space="preserve"> De multiples exsudats mous, cotonneux, sont présents dans les 2 yeux. Important</w:t>
      </w:r>
      <w:r>
        <w:rPr>
          <w:rFonts w:ascii="Handwriting - Dakota" w:hAnsi="Handwriting - Dakota"/>
        </w:rPr>
        <w:t>e</w:t>
      </w:r>
      <w:r w:rsidRPr="00D76773">
        <w:rPr>
          <w:rFonts w:ascii="Handwriting - Dakota" w:hAnsi="Handwriting - Dakota"/>
        </w:rPr>
        <w:t xml:space="preserve"> hémorragie en flammèche est vue dans l’œil droit à 2heures. Signe de croisement </w:t>
      </w:r>
      <w:proofErr w:type="spellStart"/>
      <w:r w:rsidRPr="00D76773">
        <w:rPr>
          <w:rFonts w:ascii="Handwriting - Dakota" w:hAnsi="Handwriting - Dakota"/>
        </w:rPr>
        <w:t>artérioveineux</w:t>
      </w:r>
      <w:proofErr w:type="spellEnd"/>
      <w:r w:rsidRPr="00D76773">
        <w:rPr>
          <w:rFonts w:ascii="Handwriting - Dakota" w:hAnsi="Handwriting - Dakota"/>
        </w:rPr>
        <w:t xml:space="preserve"> bilatéral.</w:t>
      </w:r>
    </w:p>
    <w:p w:rsidR="00B5608B" w:rsidRPr="00D76773" w:rsidRDefault="00B5608B" w:rsidP="00B5608B">
      <w:pPr>
        <w:tabs>
          <w:tab w:val="left" w:pos="1152"/>
        </w:tabs>
        <w:jc w:val="both"/>
        <w:rPr>
          <w:rFonts w:ascii="Handwriting - Dakota" w:hAnsi="Handwriting - Dakota"/>
        </w:rPr>
      </w:pPr>
    </w:p>
    <w:p w:rsidR="00080738" w:rsidRPr="00B5608B" w:rsidRDefault="00080738" w:rsidP="00B56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merican Typewriter" w:hAnsi="American Typewriter"/>
          <w:sz w:val="28"/>
        </w:rPr>
      </w:pPr>
      <w:r w:rsidRPr="00B5608B">
        <w:rPr>
          <w:rFonts w:ascii="American Typewriter" w:hAnsi="American Typewriter"/>
          <w:sz w:val="28"/>
        </w:rPr>
        <w:t>Le vocabulaire que j’ai appris</w:t>
      </w:r>
    </w:p>
    <w:tbl>
      <w:tblPr>
        <w:tblW w:w="0" w:type="auto"/>
        <w:tblBorders>
          <w:bottom w:val="dotted" w:sz="4" w:space="0" w:color="17365D"/>
          <w:insideH w:val="dotted" w:sz="4" w:space="0" w:color="17365D"/>
          <w:insideV w:val="double" w:sz="4" w:space="0" w:color="auto"/>
        </w:tblBorders>
        <w:tblLook w:val="01E0"/>
      </w:tblPr>
      <w:tblGrid>
        <w:gridCol w:w="4606"/>
        <w:gridCol w:w="4606"/>
      </w:tblGrid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net/nettement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cacher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clair/clairement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prévenir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Default="00554A27" w:rsidP="00AE1988">
            <w:pPr>
              <w:spacing w:before="80"/>
              <w:rPr>
                <w:sz w:val="28"/>
                <w:szCs w:val="28"/>
              </w:rPr>
            </w:pPr>
            <w:proofErr w:type="gramStart"/>
            <w:r w:rsidRPr="00455F3F">
              <w:rPr>
                <w:sz w:val="28"/>
                <w:szCs w:val="28"/>
              </w:rPr>
              <w:t>flou(</w:t>
            </w:r>
            <w:proofErr w:type="spellStart"/>
            <w:proofErr w:type="gramEnd"/>
            <w:r w:rsidRPr="00455F3F">
              <w:rPr>
                <w:sz w:val="28"/>
                <w:szCs w:val="28"/>
              </w:rPr>
              <w:t>-e</w:t>
            </w:r>
            <w:proofErr w:type="spellEnd"/>
            <w:r w:rsidRPr="00455F3F">
              <w:rPr>
                <w:sz w:val="28"/>
                <w:szCs w:val="28"/>
              </w:rPr>
              <w:t>)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 w:rsidRPr="00455F3F">
              <w:rPr>
                <w:sz w:val="28"/>
                <w:szCs w:val="28"/>
              </w:rPr>
              <w:t>une étincelle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voir double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éclair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 w:rsidRPr="00455F3F">
              <w:rPr>
                <w:sz w:val="28"/>
                <w:szCs w:val="28"/>
              </w:rPr>
              <w:t>loucher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tache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faire sombre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mouche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 w:rsidRPr="00554A27">
              <w:rPr>
                <w:sz w:val="28"/>
                <w:szCs w:val="28"/>
                <w:vertAlign w:val="subscript"/>
              </w:rPr>
              <w:t>(vue)</w:t>
            </w:r>
            <w:r>
              <w:rPr>
                <w:sz w:val="28"/>
                <w:szCs w:val="28"/>
              </w:rPr>
              <w:t xml:space="preserve"> baisser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écoulement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 w:rsidRPr="00455F3F">
              <w:rPr>
                <w:sz w:val="28"/>
                <w:szCs w:val="28"/>
              </w:rPr>
              <w:t xml:space="preserve">cligner </w:t>
            </w:r>
            <w:r w:rsidRPr="00554A27">
              <w:rPr>
                <w:sz w:val="28"/>
                <w:szCs w:val="28"/>
                <w:vertAlign w:val="subscript"/>
              </w:rPr>
              <w:t>(des yeux)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atteinte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brouiller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r w:rsidRPr="00554A27">
              <w:rPr>
                <w:b/>
                <w:sz w:val="28"/>
                <w:szCs w:val="28"/>
              </w:rPr>
              <w:t>étourdissement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frotter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caractère </w:t>
            </w:r>
            <w:r w:rsidRPr="00554A27">
              <w:rPr>
                <w:sz w:val="28"/>
                <w:szCs w:val="28"/>
                <w:vertAlign w:val="subscript"/>
              </w:rPr>
              <w:t>(écriture)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 w:rsidRPr="00455F3F">
              <w:rPr>
                <w:sz w:val="28"/>
                <w:szCs w:val="28"/>
              </w:rPr>
              <w:t>démanger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AE1988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cacher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 w:rsidRPr="00455F3F">
              <w:rPr>
                <w:sz w:val="28"/>
                <w:szCs w:val="28"/>
              </w:rPr>
              <w:t xml:space="preserve">garder 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655211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Cs w:val="28"/>
              </w:rPr>
              <w:t>dès que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 w:rsidRPr="00455F3F">
              <w:rPr>
                <w:sz w:val="28"/>
                <w:szCs w:val="28"/>
              </w:rPr>
              <w:t>soulager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 w:rsidRPr="00554A27">
              <w:rPr>
                <w:sz w:val="28"/>
                <w:szCs w:val="28"/>
                <w:vertAlign w:val="subscript"/>
              </w:rPr>
              <w:t>un point/ une zone</w:t>
            </w:r>
            <w:r>
              <w:rPr>
                <w:sz w:val="28"/>
                <w:szCs w:val="28"/>
              </w:rPr>
              <w:t xml:space="preserve"> aveugle</w:t>
            </w:r>
          </w:p>
        </w:tc>
      </w:tr>
      <w:tr w:rsidR="00554A27" w:rsidRPr="00455F3F">
        <w:tc>
          <w:tcPr>
            <w:tcW w:w="4606" w:type="dxa"/>
            <w:tcBorders>
              <w:righ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 w:rsidRPr="00455F3F">
              <w:rPr>
                <w:sz w:val="28"/>
                <w:szCs w:val="28"/>
              </w:rPr>
              <w:t>(se) rincer</w:t>
            </w:r>
          </w:p>
        </w:tc>
        <w:tc>
          <w:tcPr>
            <w:tcW w:w="4606" w:type="dxa"/>
            <w:tcBorders>
              <w:left w:val="double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loin/près</w:t>
            </w:r>
          </w:p>
        </w:tc>
      </w:tr>
      <w:tr w:rsidR="00554A27" w:rsidRPr="00455F3F" w:rsidTr="00655211">
        <w:tc>
          <w:tcPr>
            <w:tcW w:w="4606" w:type="dxa"/>
            <w:tcBorders>
              <w:right w:val="double" w:sz="4" w:space="0" w:color="17365D"/>
            </w:tcBorders>
            <w:vAlign w:val="bottom"/>
          </w:tcPr>
          <w:p w:rsidR="00554A27" w:rsidRPr="00537CCA" w:rsidRDefault="00AE1988" w:rsidP="00AE1988">
            <w:pPr>
              <w:spacing w:before="80"/>
              <w:rPr>
                <w:szCs w:val="28"/>
              </w:rPr>
            </w:pPr>
            <w:r w:rsidRPr="00455F3F">
              <w:rPr>
                <w:sz w:val="28"/>
                <w:szCs w:val="28"/>
              </w:rPr>
              <w:t>C</w:t>
            </w:r>
            <w:r w:rsidR="00554A27" w:rsidRPr="00455F3F">
              <w:rPr>
                <w:sz w:val="28"/>
                <w:szCs w:val="28"/>
              </w:rPr>
              <w:t>oudre</w:t>
            </w:r>
          </w:p>
        </w:tc>
        <w:tc>
          <w:tcPr>
            <w:tcW w:w="4606" w:type="dxa"/>
            <w:tcBorders>
              <w:left w:val="double" w:sz="4" w:space="0" w:color="17365D"/>
              <w:bottom w:val="dotted" w:sz="4" w:space="0" w:color="17365D"/>
            </w:tcBorders>
          </w:tcPr>
          <w:p w:rsidR="00554A27" w:rsidRPr="00455F3F" w:rsidRDefault="00554A27" w:rsidP="00AE1988">
            <w:pPr>
              <w:spacing w:before="80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éloigné(</w:t>
            </w:r>
            <w:proofErr w:type="gramEnd"/>
            <w:r>
              <w:rPr>
                <w:szCs w:val="28"/>
              </w:rPr>
              <w:t>vs)rapproché</w:t>
            </w:r>
          </w:p>
        </w:tc>
      </w:tr>
      <w:tr w:rsidR="00AE1988" w:rsidRPr="00455F3F" w:rsidTr="00655211">
        <w:tc>
          <w:tcPr>
            <w:tcW w:w="4606" w:type="dxa"/>
            <w:tcBorders>
              <w:right w:val="double" w:sz="4" w:space="0" w:color="17365D"/>
            </w:tcBorders>
            <w:vAlign w:val="bottom"/>
          </w:tcPr>
          <w:p w:rsidR="00AE1988" w:rsidRPr="00455F3F" w:rsidRDefault="00AE1988" w:rsidP="00AE1988">
            <w:pPr>
              <w:spacing w:befor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couvrir</w:t>
            </w:r>
          </w:p>
        </w:tc>
        <w:tc>
          <w:tcPr>
            <w:tcW w:w="4606" w:type="dxa"/>
            <w:tcBorders>
              <w:top w:val="dotted" w:sz="4" w:space="0" w:color="17365D"/>
              <w:left w:val="double" w:sz="4" w:space="0" w:color="17365D"/>
              <w:bottom w:val="nil"/>
            </w:tcBorders>
          </w:tcPr>
          <w:p w:rsidR="00AE1988" w:rsidRDefault="00AE1988" w:rsidP="00AE1988">
            <w:pPr>
              <w:spacing w:before="80"/>
              <w:rPr>
                <w:szCs w:val="28"/>
              </w:rPr>
            </w:pPr>
          </w:p>
        </w:tc>
      </w:tr>
    </w:tbl>
    <w:p w:rsidR="00080738" w:rsidRPr="00E21551" w:rsidRDefault="00080738" w:rsidP="00080738">
      <w:pPr>
        <w:rPr>
          <w:color w:val="1F497D" w:themeColor="text2"/>
        </w:rPr>
      </w:pPr>
    </w:p>
    <w:sectPr w:rsidR="00080738" w:rsidRPr="00E21551" w:rsidSect="00693CAD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80738" w:rsidRPr="00E41479" w:rsidRDefault="00080738" w:rsidP="00080738">
    <w:pPr>
      <w:pStyle w:val="En-tte"/>
      <w:jc w:val="center"/>
      <w:rPr>
        <w:rFonts w:ascii="Palatino Linotype" w:hAnsi="Palatino Linotype"/>
        <w:sz w:val="52"/>
        <w:szCs w:val="52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E3619D2"/>
    <w:multiLevelType w:val="hybridMultilevel"/>
    <w:tmpl w:val="5A3C1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7DB8"/>
    <w:multiLevelType w:val="hybridMultilevel"/>
    <w:tmpl w:val="7C72864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proofState w:spelling="clean" w:grammar="clean"/>
  <w:doNotTrackMoves/>
  <w:defaultTabStop w:val="708"/>
  <w:hyphenationZone w:val="425"/>
  <w:noPunctuationKerning/>
  <w:characterSpacingControl w:val="doNotCompress"/>
  <w:doNotValidateAgainstSchema/>
  <w:doNotDemarcateInvalidXml/>
  <w:compat/>
  <w:rsids>
    <w:rsidRoot w:val="008054E1"/>
    <w:rsid w:val="00080738"/>
    <w:rsid w:val="003D3547"/>
    <w:rsid w:val="00554A27"/>
    <w:rsid w:val="00655211"/>
    <w:rsid w:val="00693CAD"/>
    <w:rsid w:val="008054E1"/>
    <w:rsid w:val="00AE1988"/>
    <w:rsid w:val="00B5608B"/>
    <w:rsid w:val="00BF6EA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AD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D2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4147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4147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560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1161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Bruno le Mière</cp:lastModifiedBy>
  <cp:revision>4</cp:revision>
  <cp:lastPrinted>2010-07-12T08:01:00Z</cp:lastPrinted>
  <dcterms:created xsi:type="dcterms:W3CDTF">2020-03-07T08:30:00Z</dcterms:created>
  <dcterms:modified xsi:type="dcterms:W3CDTF">2020-03-07T09:54:00Z</dcterms:modified>
</cp:coreProperties>
</file>